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广元市昭化区职业高级中学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2024年单位预算编制说明</w:t>
      </w:r>
    </w:p>
    <w:p>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一、基本职能及主要工作..............................(3)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（一）单位职能简介..................................(3)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（二）单位2024年重点工作...........................(3)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二、部门预算单位构成................................(4)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三、收支预算情况说明................................(4)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（一）收入预算情况..................................(4)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（二）支出预算情况..................................(4)</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四、财政拨款收支预算情况说明........................(5)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五、一般公共预算当年拨款情况说明....................(5)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（一）一般公共预算当年拨款规模变化情况..............(5)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（二）一般公共预算当年拨款结构情况..................(5)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（三）一般公共预算当年拨款具体使用情况..............(5)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六、一般公共预算基本支出情况说明....................(5)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七、“三公”经费财政拨款预算安排情况说明............(6)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八、政府性基金预算支出情况说明......................(6)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九、国有资本经营预算支出情况说明....................(6)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十、其他重要事项的情况说明........................(7)</w:t>
      </w:r>
    </w:p>
    <w:p>
      <w:pPr>
        <w:jc w:val="both"/>
        <w:rPr>
          <w:rFonts w:hint="eastAsia" w:ascii="仿宋_GB2312" w:hAnsi="仿宋_GB2312" w:eastAsia="仿宋_GB2312" w:cs="仿宋_GB2312"/>
          <w:i w:val="0"/>
          <w:caps w:val="0"/>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十一、名词解释....................................(7)</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default" w:ascii="宋体" w:hAnsi="宋体" w:eastAsia="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一、基本职能及主要工作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广元市昭化区职业高级中学是由四川省教育厅批准成立，由广元市昭化区人民政府主办的全日制国办中等职业学校，主要培养高中、初中学历技术应用人才，提高社会职业素质；文秘、财会等专业学历教育与相关职业培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（二）单位2024年重点工作</w:t>
      </w:r>
    </w:p>
    <w:p>
      <w:pPr>
        <w:pStyle w:val="4"/>
        <w:pageBreakBefore w:val="0"/>
        <w:numPr>
          <w:ilvl w:val="0"/>
          <w:numId w:val="1"/>
        </w:numPr>
        <w:kinsoku/>
        <w:wordWrap/>
        <w:overflowPunct/>
        <w:topLinePunct w:val="0"/>
        <w:autoSpaceDE/>
        <w:autoSpaceDN/>
        <w:bidi w:val="0"/>
        <w:adjustRightInd w:val="0"/>
        <w:snapToGrid w:val="0"/>
        <w:spacing w:before="93" w:beforeLines="0" w:line="560" w:lineRule="exact"/>
        <w:ind w:left="168" w:leftChars="0" w:firstLine="672" w:firstLineChars="0"/>
        <w:textAlignment w:val="auto"/>
        <w:outlineLvl w:val="2"/>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以党员队伍为抓手，带动干部队伍的建设；学校班子成员分工明确，责任落实；各处室各司其职，充分的发挥了职能作用；班子团结勤奋，作风民主，凝聚力强。全面贯彻了“谁主管，谁负责，责、权高度统一”的原则；全面落实了“块线结合，以块为主，分校分区包干，分年级管理”的管理策略，实现了“规范管理、阳光行政、民主监督”的管理要求，争取2024年职业教育硬件和软件达标。</w:t>
      </w:r>
    </w:p>
    <w:p>
      <w:pPr>
        <w:pStyle w:val="4"/>
        <w:pageBreakBefore w:val="0"/>
        <w:numPr>
          <w:ilvl w:val="0"/>
          <w:numId w:val="1"/>
        </w:numPr>
        <w:kinsoku/>
        <w:wordWrap/>
        <w:overflowPunct/>
        <w:topLinePunct w:val="0"/>
        <w:autoSpaceDE/>
        <w:autoSpaceDN/>
        <w:bidi w:val="0"/>
        <w:adjustRightInd w:val="0"/>
        <w:snapToGrid w:val="0"/>
        <w:spacing w:before="93" w:beforeLines="0" w:line="560" w:lineRule="exact"/>
        <w:ind w:left="168" w:leftChars="0" w:firstLine="672" w:firstLineChars="0"/>
        <w:textAlignment w:val="auto"/>
        <w:outlineLvl w:val="2"/>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学校教研工作重点围绕促进教师专业化发展这一中心任务，广泛开展校本教研活动，提高教师的教育科研能力。充分利用多媒体教学提升教师的教育教学水平和业务能力。</w:t>
      </w:r>
    </w:p>
    <w:p>
      <w:pPr>
        <w:pStyle w:val="4"/>
        <w:pageBreakBefore w:val="0"/>
        <w:numPr>
          <w:ilvl w:val="0"/>
          <w:numId w:val="1"/>
        </w:numPr>
        <w:kinsoku/>
        <w:wordWrap/>
        <w:overflowPunct/>
        <w:topLinePunct w:val="0"/>
        <w:autoSpaceDE/>
        <w:autoSpaceDN/>
        <w:bidi w:val="0"/>
        <w:adjustRightInd w:val="0"/>
        <w:snapToGrid w:val="0"/>
        <w:spacing w:before="93" w:beforeLines="0" w:line="560" w:lineRule="exact"/>
        <w:ind w:left="168" w:leftChars="0" w:firstLine="672" w:firstLineChars="0"/>
        <w:textAlignment w:val="auto"/>
        <w:outlineLvl w:val="2"/>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学校始终把“养成”教育放在首位，以精细管理推动养成教育；以学习引导和氛围营造为主线，致力于学生自律意识的培养；围绕“感恩教育·生命教育”的德育主题，深入开展爱国主义教育、感恩教育、礼仪教育和生命教育，切实提高德育工作的针对性、主动性和实效性。</w:t>
      </w:r>
    </w:p>
    <w:p>
      <w:pPr>
        <w:pStyle w:val="4"/>
        <w:pageBreakBefore w:val="0"/>
        <w:numPr>
          <w:ilvl w:val="0"/>
          <w:numId w:val="1"/>
        </w:numPr>
        <w:kinsoku/>
        <w:wordWrap/>
        <w:overflowPunct/>
        <w:topLinePunct w:val="0"/>
        <w:autoSpaceDE/>
        <w:autoSpaceDN/>
        <w:bidi w:val="0"/>
        <w:adjustRightInd w:val="0"/>
        <w:snapToGrid w:val="0"/>
        <w:spacing w:before="93" w:beforeLines="0" w:line="560" w:lineRule="exact"/>
        <w:ind w:left="168" w:leftChars="0" w:firstLine="672" w:firstLineChars="0"/>
        <w:textAlignment w:val="auto"/>
        <w:outlineLvl w:val="2"/>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学校坚持以人为本，牢固树立“安全第一，预防为主”</w:t>
      </w:r>
    </w:p>
    <w:p>
      <w:pPr>
        <w:pStyle w:val="4"/>
        <w:pageBreakBefore w:val="0"/>
        <w:numPr>
          <w:ilvl w:val="0"/>
          <w:numId w:val="0"/>
        </w:numPr>
        <w:kinsoku/>
        <w:wordWrap/>
        <w:overflowPunct/>
        <w:topLinePunct w:val="0"/>
        <w:autoSpaceDE/>
        <w:autoSpaceDN/>
        <w:bidi w:val="0"/>
        <w:adjustRightInd w:val="0"/>
        <w:snapToGrid w:val="0"/>
        <w:spacing w:before="93" w:beforeLines="0" w:line="560" w:lineRule="exact"/>
        <w:textAlignment w:val="auto"/>
        <w:outlineLvl w:val="2"/>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思想，明确责任，强化措施，常抓不懈，确保不发生安全责任事故。</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二、部门预算单位构成</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我单位为昭化区教育局的下属二级预算单位，本单位无下属机构。</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三、收支预算情况说明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按照综合预算的原则，昭化职中所有收入和支出均纳入部门预算管理。收入包括：一般公共预算拨款收入；支出包括：教育支出。昭化职中2024年收支预算总数1549.89万元,比2023年收支预算总数增加211.18万元，主要原因是新增加在编教师10人的人员经费和外聘专业教师10人的工员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（一）收入预算情况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昭化职中2024年收入预算1549.89万元，其中：一般公共预算拨款收入1549.89万元，占100%。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（二）支出预算情况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昭化职中2024年支出预算1549.89万元，其中：基本支出899.18万元，占58.02%；项目支出650.71万元，占41.98%</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四、财政拨款收支预算情况说明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昭化职中2024年财政拨款收支预算总数1549.89万元,比2023年财政拨款收支预算总数增加211.18万元，主要原因是新增加在编教师10人的人员经费和外聘专业教师10人的工员经费。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收入包括：本年一般公共预算拨款收入1549.89万元；支出包括：教育支出1549.89万元。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五、一般公共预算当年拨款情况说明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昭化职中2024年一般公共预算当年拨款1549.89万元，比2023年预算数增加211.18万元，主要原因是新增加在编教师10人的人员经费和外聘专业教师10人的工员经费。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教育支出1549.89万元，占100%。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t>教育205（类）职业教育03（款）中等职业教育02（项），2024年预算数为1549.89万元，主要用于：对事业单位经常性补助，包括：工资福利支出、商品服务支出；对个人和家庭补助支出，包括：社会福利和补助、助学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六、一般公共预算基本支出情况说明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昭化职中2024年一般公共预算基本支出899.18万元，其中：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人员经费899.18万元，主要包括：基本工资、津贴补贴、奖金、绩效工资、社会保险缴费、住房公积金、对个人和家庭的补助等支出。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七、“三公”经费财政拨款预算安排情况说明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昭化职中2024年“三公”经费财政拨款预算数0万元，其中：公务接待费0万元，公务用车购置及运行维护费0万元，因公出国（境）经费0万元。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（一）公务接待费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公务接待费与2023年预算相比下降 万元，主要原因是奉行节约理念，严格执行三公经费压减政策。2024年未预算公务接待费。</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公务用车购置及运行维护费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昭化职中现有公务用车0辆。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2024公务用车购置及运行维护费与2023年预算相比持平。</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三）因公出国（境）经费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八、政府性基金预算支出情况说明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昭化职中2024年无政府性基金预算拨款安排的支出。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九、国有资本经营预算支出情况说明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昭化职中2024年无国有资本经营预算拨款安排的支出。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十、其他重要事项的情况说明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2024年，本单位属公益二类事业单位，无机关运行经费，与2023年预算相比持平。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（二）政府采购情况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2024年，本单位未安排政府采购预算。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（三）国有资产占有使用情况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截至2023年底，本单位共有车辆0辆，单位无价值200万元以上的大型设备。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（四）绩效目标设置情况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2024年本单位开展绩效目标管理的项目5个，涉及预算650.71万元。其中：人员类项目1个，涉及预算32.03万元；运转类项目4个，涉及预算618.68万元。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十一、名词解释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default"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指财政当年安排的财政预算收入。按现行管理制度</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部门预算中反映的财政拨款包括一般公共预算拨款和政府性基金预算拨款。</w:t>
      </w:r>
    </w:p>
    <w:p>
      <w:pPr>
        <w:pStyle w:val="8"/>
        <w:keepNext w:val="0"/>
        <w:keepLines w:val="0"/>
        <w:pageBreakBefore w:val="0"/>
        <w:widowControl/>
        <w:suppressLineNumbers w:val="0"/>
        <w:shd w:val="clear" w:color="auto" w:fill="auto"/>
        <w:kinsoku/>
        <w:wordWrap/>
        <w:overflowPunct/>
        <w:topLinePunct w:val="0"/>
        <w:autoSpaceDE/>
        <w:autoSpaceDN/>
        <w:bidi w:val="0"/>
        <w:adjustRightInd/>
        <w:snapToGrid/>
        <w:spacing w:before="0" w:beforeLines="0" w:beforeAutospacing="0" w:after="0" w:afterLines="0" w:afterAutospacing="0" w:line="560" w:lineRule="exact"/>
        <w:ind w:left="0" w:leftChars="0" w:right="0"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楷体_GB2312" w:hAnsi="楷体_GB2312" w:eastAsia="楷体_GB2312" w:cs="楷体_GB2312"/>
          <w:sz w:val="32"/>
          <w:szCs w:val="32"/>
          <w:lang w:val="en-US" w:eastAsia="zh-CN"/>
        </w:rPr>
        <w:t>（二）</w:t>
      </w:r>
      <w:r>
        <w:rPr>
          <w:rFonts w:hint="eastAsia" w:ascii="楷体_GB2312" w:hAnsi="楷体_GB2312" w:eastAsia="楷体_GB2312" w:cs="楷体_GB2312"/>
          <w:color w:val="auto"/>
          <w:kern w:val="2"/>
          <w:sz w:val="32"/>
          <w:szCs w:val="32"/>
          <w:lang w:val="en-US" w:eastAsia="zh-CN" w:bidi="ar-SA"/>
        </w:rPr>
        <w:t>教育支出（类）普通教育（款）中等职业教育（项）：</w:t>
      </w:r>
      <w:r>
        <w:rPr>
          <w:rFonts w:hint="eastAsia" w:ascii="仿宋_GB2312" w:hAnsi="仿宋_GB2312" w:eastAsia="仿宋_GB2312" w:cs="仿宋_GB2312"/>
          <w:color w:val="auto"/>
          <w:kern w:val="2"/>
          <w:sz w:val="32"/>
          <w:szCs w:val="32"/>
          <w:lang w:val="en-US" w:eastAsia="zh-CN" w:bidi="ar-SA"/>
        </w:rPr>
        <w:t>包括人员工资、社会保险、学生助学金、办公费、差旅费、培训费、日常维修费、专用材料及一般设备购置费、办公用房水电费、办公用房物业管理费以及其他费用。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color w:val="auto"/>
          <w:sz w:val="32"/>
          <w:szCs w:val="32"/>
          <w:lang w:val="en-US" w:eastAsia="zh-CN"/>
        </w:rPr>
        <w:t>（五）“三公”经费：</w:t>
      </w:r>
      <w:r>
        <w:rPr>
          <w:rFonts w:hint="eastAsia" w:ascii="仿宋_GB2312" w:hAnsi="仿宋_GB2312" w:eastAsia="仿宋_GB2312" w:cs="仿宋_GB2312"/>
          <w:color w:val="auto"/>
          <w:sz w:val="32"/>
          <w:szCs w:val="32"/>
          <w:lang w:val="en-US" w:eastAsia="zh-CN"/>
        </w:rPr>
        <w:t>纳入财政预算管理的“三公”经费，是指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Start w:id="0" w:name="_GoBack"/>
      <w:bookmarkEnd w:id="0"/>
      <w:r>
        <w:rPr>
          <w:rFonts w:hint="eastAsia" w:ascii="仿宋_GB2312" w:hAnsi="仿宋_GB2312" w:eastAsia="仿宋_GB2312" w:cs="仿宋_GB2312"/>
          <w:color w:val="auto"/>
          <w:sz w:val="32"/>
          <w:szCs w:val="32"/>
          <w:lang w:val="en-US" w:eastAsia="zh-CN"/>
        </w:rPr>
        <w:br w:type="textWrapping"/>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 预算公开表</w:t>
      </w:r>
    </w:p>
    <w:p>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left="1600" w:leftChars="0"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项目支出绩效目标表</w:t>
      </w: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Liberation Sans">
    <w:altName w:val="Vijaya"/>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Vijaya">
    <w:panose1 w:val="020B0604020202020204"/>
    <w:charset w:val="00"/>
    <w:family w:val="auto"/>
    <w:pitch w:val="default"/>
    <w:sig w:usb0="001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C"/>
    <w:multiLevelType w:val="singleLevel"/>
    <w:tmpl w:val="0000000C"/>
    <w:lvl w:ilvl="0" w:tentative="0">
      <w:start w:val="1"/>
      <w:numFmt w:val="decimal"/>
      <w:suff w:val="nothing"/>
      <w:lvlText w:val="%1、"/>
      <w:lvlJc w:val="left"/>
      <w:pPr>
        <w:ind w:left="168"/>
      </w:pPr>
    </w:lvl>
  </w:abstractNum>
  <w:abstractNum w:abstractNumId="1">
    <w:nsid w:val="3516E233"/>
    <w:multiLevelType w:val="singleLevel"/>
    <w:tmpl w:val="3516E233"/>
    <w:lvl w:ilvl="0" w:tentative="0">
      <w:start w:val="2"/>
      <w:numFmt w:val="decimal"/>
      <w:lvlText w:val="%1."/>
      <w:lvlJc w:val="left"/>
      <w:pPr>
        <w:tabs>
          <w:tab w:val="left" w:pos="312"/>
        </w:tabs>
        <w:ind w:left="1600" w:leftChars="0" w:firstLine="0" w:firstLineChars="0"/>
      </w:pPr>
    </w:lvl>
  </w:abstractNum>
  <w:abstractNum w:abstractNumId="2">
    <w:nsid w:val="5BFCE1D6"/>
    <w:multiLevelType w:val="singleLevel"/>
    <w:tmpl w:val="5BFCE1D6"/>
    <w:lvl w:ilvl="0" w:tentative="0">
      <w:start w:val="2"/>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 w:name="KSO_WPS_MARK_KEY" w:val="dcfb3404-58b5-4ff5-8c3c-88a07977da29"/>
  </w:docVars>
  <w:rsids>
    <w:rsidRoot w:val="00000000"/>
    <w:rsid w:val="012352D1"/>
    <w:rsid w:val="114E65C0"/>
    <w:rsid w:val="1F7BF06F"/>
    <w:rsid w:val="1FEE4B73"/>
    <w:rsid w:val="23CE9849"/>
    <w:rsid w:val="27161D70"/>
    <w:rsid w:val="30BF23B0"/>
    <w:rsid w:val="364221DA"/>
    <w:rsid w:val="39F304DD"/>
    <w:rsid w:val="3E51645F"/>
    <w:rsid w:val="406311E6"/>
    <w:rsid w:val="47972677"/>
    <w:rsid w:val="48200E0F"/>
    <w:rsid w:val="48547666"/>
    <w:rsid w:val="54244390"/>
    <w:rsid w:val="54662A63"/>
    <w:rsid w:val="57DD31D4"/>
    <w:rsid w:val="58064E12"/>
    <w:rsid w:val="58D8446C"/>
    <w:rsid w:val="5BFEE015"/>
    <w:rsid w:val="5C2B3F8B"/>
    <w:rsid w:val="63EDCF55"/>
    <w:rsid w:val="63FBFBCF"/>
    <w:rsid w:val="669360FD"/>
    <w:rsid w:val="68FF6A83"/>
    <w:rsid w:val="6DAB6F74"/>
    <w:rsid w:val="6FBBC9CF"/>
    <w:rsid w:val="72BDE561"/>
    <w:rsid w:val="769F5753"/>
    <w:rsid w:val="78462278"/>
    <w:rsid w:val="7997EA6C"/>
    <w:rsid w:val="7AEAE675"/>
    <w:rsid w:val="7BAFCE5D"/>
    <w:rsid w:val="7BBC3821"/>
    <w:rsid w:val="7C523723"/>
    <w:rsid w:val="7D46598C"/>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Cambria" w:hAnsi="Cambria" w:eastAsia="宋体" w:cs="Times New Roman"/>
      <w:b/>
      <w:bCs/>
      <w:sz w:val="32"/>
      <w:szCs w:val="32"/>
    </w:rPr>
  </w:style>
  <w:style w:type="character" w:default="1" w:styleId="10">
    <w:name w:val="Default Paragraph Font"/>
    <w:autoRedefine/>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3">
    <w:name w:val="caption"/>
    <w:basedOn w:val="1"/>
    <w:next w:val="1"/>
    <w:autoRedefine/>
    <w:qFormat/>
    <w:uiPriority w:val="0"/>
    <w:pPr>
      <w:widowControl w:val="0"/>
      <w:suppressLineNumbers/>
      <w:suppressAutoHyphens/>
      <w:spacing w:before="120" w:after="120"/>
    </w:pPr>
    <w:rPr>
      <w:i/>
      <w:iCs/>
      <w:sz w:val="24"/>
      <w:szCs w:val="24"/>
    </w:rPr>
  </w:style>
  <w:style w:type="paragraph" w:styleId="4">
    <w:name w:val="Body Text"/>
    <w:basedOn w:val="1"/>
    <w:autoRedefine/>
    <w:qFormat/>
    <w:uiPriority w:val="0"/>
    <w:pPr>
      <w:spacing w:before="0" w:after="140" w:line="276" w:lineRule="auto"/>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w:basedOn w:val="4"/>
    <w:autoRedefine/>
    <w:qFormat/>
    <w:uiPriority w:val="0"/>
  </w:style>
  <w:style w:type="paragraph" w:styleId="8">
    <w:name w:val="Normal (Web)"/>
    <w:basedOn w:val="1"/>
    <w:qFormat/>
    <w:uiPriority w:val="0"/>
    <w:rPr>
      <w:sz w:val="24"/>
    </w:rPr>
  </w:style>
  <w:style w:type="paragraph" w:customStyle="1" w:styleId="11">
    <w:name w:val="BodyText1I2"/>
    <w:basedOn w:val="12"/>
    <w:next w:val="1"/>
    <w:autoRedefine/>
    <w:qFormat/>
    <w:uiPriority w:val="0"/>
    <w:pPr>
      <w:ind w:left="420" w:leftChars="200" w:firstLine="420" w:firstLineChars="200"/>
      <w:jc w:val="both"/>
      <w:textAlignment w:val="baseline"/>
    </w:pPr>
  </w:style>
  <w:style w:type="paragraph" w:customStyle="1" w:styleId="12">
    <w:name w:val="BodyTextIndent"/>
    <w:basedOn w:val="1"/>
    <w:next w:val="11"/>
    <w:autoRedefine/>
    <w:qFormat/>
    <w:uiPriority w:val="0"/>
    <w:pPr>
      <w:ind w:left="420" w:leftChars="200"/>
      <w:jc w:val="both"/>
      <w:textAlignment w:val="baseline"/>
    </w:pPr>
  </w:style>
  <w:style w:type="character" w:customStyle="1" w:styleId="13">
    <w:name w:val="默认段落字体1"/>
    <w:autoRedefine/>
    <w:qFormat/>
    <w:uiPriority w:val="0"/>
  </w:style>
  <w:style w:type="paragraph" w:customStyle="1" w:styleId="14">
    <w:name w:val="Heading"/>
    <w:basedOn w:val="1"/>
    <w:next w:val="4"/>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5">
    <w:name w:val="Index"/>
    <w:basedOn w:val="1"/>
    <w:autoRedefine/>
    <w:qFormat/>
    <w:uiPriority w:val="0"/>
    <w:pPr>
      <w:widowControl w:val="0"/>
      <w:suppressLineNumbers/>
      <w:suppressAutoHyphen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2534</Words>
  <Characters>3256</Characters>
  <TotalTime>0</TotalTime>
  <ScaleCrop>false</ScaleCrop>
  <LinksUpToDate>false</LinksUpToDate>
  <CharactersWithSpaces>3268</CharactersWithSpaces>
  <Application>WPS Office_12.1.0.16388_F1E327BC-269C-435d-A152-05C5408002CA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king</cp:lastModifiedBy>
  <dcterms:modified xsi:type="dcterms:W3CDTF">2024-04-09T08:05:38Z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24DF275A599341818CC72E2C12B506A8_13</vt:lpwstr>
  </property>
</Properties>
</file>