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bookmarkStart w:id="0" w:name="_Toc18005"/>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广元市昭化区东城幼儿园单位</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5041"/>
        <w15:color w:val="DBDBDB"/>
        <w:docPartObj>
          <w:docPartGallery w:val="Table of Contents"/>
          <w:docPartUnique/>
        </w:docPartObj>
      </w:sdtPr>
      <w:sdtEndPr>
        <w:rPr>
          <w:rFonts w:hint="eastAsia" w:ascii="仿宋" w:hAnsi="仿宋" w:eastAsia="仿宋" w:cs="仿宋"/>
          <w:b/>
          <w:color w:val="auto"/>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"1-2" \h \u </w:instrText>
          </w:r>
          <w:r>
            <w:rPr>
              <w:rFonts w:hint="eastAsia" w:ascii="仿宋" w:hAnsi="仿宋" w:eastAsia="仿宋" w:cs="仿宋"/>
              <w:sz w:val="32"/>
              <w:szCs w:val="32"/>
            </w:rPr>
            <w:fldChar w:fldCharType="separate"/>
          </w:r>
        </w:p>
        <w:p>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_Toc23210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_Toc23210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4</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_Toc17022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val="en-US" w:eastAsia="zh-CN"/>
            </w:rPr>
            <w:t>单位</w:t>
          </w:r>
          <w:r>
            <w:rPr>
              <w:rFonts w:hint="eastAsia" w:ascii="仿宋" w:hAnsi="仿宋" w:eastAsia="仿宋" w:cs="仿宋"/>
              <w:sz w:val="32"/>
              <w:szCs w:val="32"/>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_Toc17022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_Toc21751 </w:instrText>
          </w:r>
          <w:r>
            <w:rPr>
              <w:rFonts w:hint="eastAsia" w:ascii="仿宋" w:hAnsi="仿宋" w:eastAsia="仿宋" w:cs="仿宋"/>
              <w:sz w:val="32"/>
              <w:szCs w:val="32"/>
            </w:rPr>
            <w:fldChar w:fldCharType="separate"/>
          </w:r>
          <w:r>
            <w:rPr>
              <w:rFonts w:hint="eastAsia" w:ascii="仿宋" w:hAnsi="仿宋" w:eastAsia="仿宋" w:cs="仿宋"/>
              <w:sz w:val="32"/>
              <w:szCs w:val="32"/>
            </w:rPr>
            <w:t xml:space="preserve">（二） </w:t>
          </w:r>
          <w:r>
            <w:rPr>
              <w:rFonts w:hint="eastAsia" w:ascii="仿宋" w:hAnsi="仿宋" w:eastAsia="仿宋" w:cs="仿宋"/>
              <w:sz w:val="32"/>
              <w:szCs w:val="32"/>
              <w:lang w:val="en-US" w:eastAsia="zh-CN"/>
            </w:rPr>
            <w:t>东城幼儿园</w:t>
          </w:r>
          <w:r>
            <w:rPr>
              <w:rFonts w:hint="eastAsia" w:ascii="仿宋" w:hAnsi="仿宋" w:eastAsia="仿宋" w:cs="仿宋"/>
              <w:sz w:val="32"/>
              <w:szCs w:val="32"/>
              <w:lang w:val="en-US"/>
            </w:rPr>
            <w:t>2024</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_Toc21751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_Toc22106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二、部门预算单位构成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_Toc22106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_Toc4931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三、收支预算情况说明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_Toc4931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_Toc6445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_Toc6445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_Toc14193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_Toc14193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_Toc914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四、财政拨款收支预算情况说明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_Toc914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_Toc17815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五、一般公共预算当年拨款情况说明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_Toc17815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_Toc31422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_Toc31422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_Toc24151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_Toc24151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_Toc3149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_Toc3149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_Toc4696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六、一般公共预算基本支出情况说明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_Toc4696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_Toc16865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七、“三公”经费财政拨款预算安排情况说明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_Toc16865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_Toc5756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_Toc5756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_Toc30532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_Toc30532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5"/>
            <w:tabs>
              <w:tab w:val="right" w:leader="dot" w:pos="8845"/>
            </w:tabs>
            <w:rPr>
              <w:rFonts w:hint="eastAsia" w:ascii="仿宋" w:hAnsi="仿宋" w:eastAsia="仿宋" w:cs="仿宋"/>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_Toc14744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_Toc14744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_Toc18579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十一、 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_Toc18579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rPr>
              <w:rFonts w:hint="eastAsia" w:ascii="仿宋" w:hAnsi="仿宋" w:eastAsia="仿宋" w:cs="仿宋"/>
              <w:sz w:val="32"/>
              <w:szCs w:val="32"/>
            </w:rPr>
          </w:pPr>
          <w:r>
            <w:rPr>
              <w:rFonts w:hint="eastAsia" w:ascii="仿宋" w:hAnsi="仿宋" w:eastAsia="仿宋" w:cs="仿宋"/>
              <w:b/>
              <w:sz w:val="32"/>
              <w:szCs w:val="32"/>
            </w:rPr>
            <w:fldChar w:fldCharType="end"/>
          </w:r>
        </w:p>
      </w:sdtContent>
    </w:sdt>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outlineLvl w:val="0"/>
        <w:rPr>
          <w:rFonts w:hint="eastAsia" w:ascii="黑体" w:hAnsi="黑体" w:eastAsia="黑体" w:cs="黑体"/>
          <w:sz w:val="32"/>
          <w:szCs w:val="32"/>
        </w:rPr>
      </w:pPr>
      <w:r>
        <w:rPr>
          <w:rFonts w:hint="eastAsia" w:ascii="仿宋" w:hAnsi="仿宋" w:eastAsia="仿宋" w:cs="仿宋"/>
          <w:b/>
          <w:i w:val="0"/>
          <w:caps w:val="0"/>
          <w:color w:val="000000" w:themeColor="text1"/>
          <w:spacing w:val="0"/>
          <w:sz w:val="32"/>
          <w:szCs w:val="32"/>
          <w:highlight w:val="none"/>
          <w:shd w:val="clear" w:color="auto" w:fill="FFFFFF"/>
          <w:lang w:val="en-US" w:eastAsia="zh-CN"/>
          <w14:textFill>
            <w14:solidFill>
              <w14:schemeClr w14:val="tx1"/>
            </w14:solidFill>
          </w14:textFill>
        </w:rPr>
        <w:t xml:space="preserve"> </w:t>
      </w:r>
      <w:bookmarkStart w:id="1" w:name="_Toc23210"/>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17022"/>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2"/>
    </w:p>
    <w:p>
      <w:pPr>
        <w:pStyle w:val="14"/>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1.对幼儿实施德、智、体、美等方面全面发展教育，促进其身心和谐发展。</w:t>
      </w:r>
    </w:p>
    <w:p>
      <w:pPr>
        <w:pStyle w:val="14"/>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2.为儿童提供健康、丰富的生活和活动环境；组织实施校园人文环境建设，严格执行幼儿园安全、卫生保健制度，保证幼儿身心健康和生命安全。</w:t>
      </w:r>
    </w:p>
    <w:p>
      <w:pPr>
        <w:pStyle w:val="14"/>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3.坚持教书育人、管理育人、服务育人，推进学校、社会、家庭结合教育。</w:t>
      </w:r>
    </w:p>
    <w:p>
      <w:pPr>
        <w:pStyle w:val="14"/>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4.充分利用幼儿和社区的资源优势，面向家长开展早期教育宣传、指导等服务，形成良好的育人环境，完成上级主管部门交办的其他工作任务。</w:t>
      </w:r>
    </w:p>
    <w:p>
      <w:pPr>
        <w:keepNext w:val="0"/>
        <w:keepLines w:val="0"/>
        <w:pageBreakBefore w:val="0"/>
        <w:widowControl w:val="0"/>
        <w:numPr>
          <w:ilvl w:val="0"/>
          <w:numId w:val="1"/>
        </w:numPr>
        <w:tabs>
          <w:tab w:val="left" w:pos="631"/>
        </w:tabs>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21751"/>
      <w:r>
        <w:rPr>
          <w:rFonts w:hint="eastAsia" w:ascii="楷体_GB2312" w:hAnsi="楷体_GB2312" w:eastAsia="楷体_GB2312" w:cs="楷体_GB2312"/>
          <w:sz w:val="32"/>
          <w:szCs w:val="32"/>
          <w:lang w:val="en-US" w:eastAsia="zh-CN"/>
        </w:rPr>
        <w:t>东城幼儿园</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1.强班子，带队伍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园为新建园，教师紧缺、班子人数少。为了让老师们有责任感和归属感，我们以共同事业凝聚人心，引导普通老师主动认领管理工作，挑起一领域重担，逐步形成了一支开拓、创新、配合默契的集体。组织教职工认真学习《幼儿园教育指导纲要》，深入领会和掌握国家的教育方针、政策，熟悉幼儿教育法规和规章制度，推动科学保教。深入开展“评优选先”和“亦师亦友，聚力前行”师徒结对活动，以专业带动促进整个教师团队成长。</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2.强活动，显特色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坚持活动育人，以节日为契机开展主题教育活动。培养幼儿积极进取、勇敢坚强的优良品质，促进身体全面发展，引进舞蹈、足球、非洲鼓、陶艺特色课程，丰富保教活动内容，着力培养阳光儿童，让幼儿在快乐中成长。</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3.强常规，提质量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促进新教师快速成长，提高青年教师的专业素养和课堂教学能力，开展了新教师见面课、分领域磨课、骨干教师示范课等活动。坚持在幼儿中树立榜样，开展“文明小天使”评选活动。研讨“幼小衔接课程”设置，常规性开展师徒结对活动，开展好定期与不定期的教学情况检查考核；提高服务质量转变服务态度，规范好教育教学行为，奖勤罚懒；扎实幼儿实践活动丰富德育活动常态行业参观；要特别强化孩子的行为习惯的养成教育和文明礼仪的培训培养。</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4.强培训，促成长</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我园目前师资队伍实际情况制定科学有针对性的师培计划；加强对年轻教师的培训培养；开展教师师德培训、班主任老师培训、奥尔夫音乐培训、陶艺培训、玩教具培训等活动。落实好定期的业务学习，扎实指南的检测学习，开展1至2项技能培训；常态化开展好师徒结对帮扶送交下乡活动；以课题研究提升教师的科研水平，完成区级课题申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5.强家园，拓共育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幼儿园与家庭、教师与家长之间的联系，增进家长对幼儿园工作的了解，树立正确的家庭教育观，成立首届家长委员会、膳食委员会、召开学期初家长会活动，通过举办家长委员会、家长会，发放《幼儿成长手册》等方式，搭建多元的家园交流、沟通平台。扎实开展好“千名教师访万家”、“雏鹰归巢”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6.强安全，保平安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立以园长为组长的安全领导小组，与全园教职工签订安全岗位责任书。为了保证师幼安全，每周认真开展隐患排查和整改，举办“筑网络安全，护幼儿成长”网络安全宣传活动，开学第一课。结合安全宣传月开展交通安全、防踩踏、防性侵、防溺水等安全主题教育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7.强后勤，优服务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后勤工作是幼儿园保教的重要保障。定期与不定期开展食堂、保安、后勤管理人员专项培训学习，举办食品安全宣传周系列活动。坚持每月的后勤例会及市场调查，严把食品采购和验收关，进行食品营养宣传，确保了孩子们吃得安全吃出营养。加强财务和财产管理，坚持双签字原则，大笔开支由园务会讨论通过。财产管理责任到头，按要求登记、领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8.强外宣，增效益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新建园，更需要加大办园宣传。一方面，开通了幼儿园微信公众号，落实专人进行维护运行，快捷高效地对幼儿园进行宣传。另一方面，主动对接上级媒体，机智借力抓宣传，活动要求高质量精品化，信息宣传工作要精准高质量，内容要规范、语言要精炼、图片要唯美；办公室严把质量关，各部门要严格信息要求规范信息内容；要传递幼儿园的正能量、凸显亮点、特色，突出优势；各部门严格按要求完成信息宣传任务突出部门工作特色。规范微信QQ宣传平台。把它们作为幼儿园宣传幼儿园工作和活动的载体，传递正能量，激发团队活力，鼓舞工作积极性，不准在上面打广告、散布消极的非法的不讲政治的发泄私愤诋毁他人的言论，不发低级趣味的图片或信息，规范使用途径，大家要根据内容确定发送途径，不要随意乱发，通知群不发照片和其他非工作通知的信息，生活分享发微信群，凡是工作通知大家必须及时回复，对于幼儿园的活动等宣传大家要积极点赞，不要熟视无睹，对以上内容，纳入师德师风和各部门工作考核范畴。</w:t>
      </w:r>
    </w:p>
    <w:p>
      <w:pPr>
        <w:keepNext w:val="0"/>
        <w:keepLines w:val="0"/>
        <w:pageBreakBefore w:val="0"/>
        <w:widowControl w:val="0"/>
        <w:numPr>
          <w:ilvl w:val="0"/>
          <w:numId w:val="0"/>
        </w:numPr>
        <w:tabs>
          <w:tab w:val="left" w:pos="501"/>
        </w:tabs>
        <w:kinsoku/>
        <w:wordWrap/>
        <w:overflowPunct/>
        <w:topLinePunct w:val="0"/>
        <w:autoSpaceDE/>
        <w:autoSpaceDN/>
        <w:bidi w:val="0"/>
        <w:adjustRightInd/>
        <w:snapToGrid/>
        <w:spacing w:line="576" w:lineRule="exact"/>
        <w:ind w:firstLine="640" w:firstLineChars="200"/>
        <w:textAlignment w:val="auto"/>
        <w:outlineLvl w:val="0"/>
        <w:rPr>
          <w:rFonts w:hint="eastAsia" w:ascii="仿宋" w:hAnsi="仿宋" w:eastAsia="仿宋" w:cs="仿宋"/>
          <w:b w:val="0"/>
          <w:bCs/>
          <w:sz w:val="32"/>
          <w:szCs w:val="32"/>
          <w:lang w:val="en-US" w:eastAsia="zh-CN"/>
        </w:rPr>
      </w:pPr>
      <w:bookmarkStart w:id="4" w:name="_Toc22106"/>
      <w:r>
        <w:rPr>
          <w:rFonts w:hint="eastAsia" w:ascii="黑体" w:hAnsi="黑体" w:eastAsia="黑体" w:cs="黑体"/>
          <w:sz w:val="32"/>
          <w:szCs w:val="32"/>
          <w:lang w:val="en-US" w:eastAsia="zh-CN"/>
        </w:rPr>
        <w:t>二、部门预算单位构成</w:t>
      </w:r>
      <w:bookmarkEnd w:id="4"/>
      <w:bookmarkStart w:id="5" w:name="_Toc73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bookmarkStart w:id="6" w:name="_Toc9142"/>
      <w:r>
        <w:rPr>
          <w:rFonts w:hint="eastAsia" w:ascii="仿宋_GB2312" w:hAnsi="仿宋_GB2312" w:eastAsia="仿宋_GB2312" w:cs="仿宋_GB2312"/>
          <w:sz w:val="32"/>
          <w:szCs w:val="32"/>
          <w:lang w:val="en-US" w:eastAsia="zh-CN"/>
        </w:rPr>
        <w:t>我单位属于广元市昭化区教育局下属二级预算单位,本单位无下属单位,属于公益二类事业单位。</w:t>
      </w:r>
      <w:bookmarkEnd w:id="5"/>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4931"/>
      <w:r>
        <w:rPr>
          <w:rFonts w:hint="eastAsia" w:ascii="黑体" w:hAnsi="黑体" w:eastAsia="黑体" w:cs="黑体"/>
          <w:sz w:val="32"/>
          <w:szCs w:val="32"/>
          <w:lang w:val="en-US" w:eastAsia="zh-CN"/>
        </w:rPr>
        <w:t>三、收支预算情况说明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东城幼儿园所有收入和支出均纳入部门预算管理。收入包括：一般公共预算拨款收入;支出包括：教育支出、社会保障和就业支出。东城幼儿园2024年收支预算总数156.22万元,比2023年收支预算总数增加44.5万元，主要原因是项目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8" w:name="_Toc6445"/>
      <w:r>
        <w:rPr>
          <w:rFonts w:hint="eastAsia" w:ascii="楷体_GB2312" w:hAnsi="楷体_GB2312" w:eastAsia="楷体_GB2312" w:cs="楷体_GB2312"/>
          <w:sz w:val="32"/>
          <w:szCs w:val="32"/>
          <w:lang w:val="en-US" w:eastAsia="zh-CN"/>
        </w:rPr>
        <w:t>（一）收入预算情况</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东城幼儿园2024年收入预算156.22万元，其中：一般公共预算拨款收入156.22万元，占100%。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14193"/>
      <w:r>
        <w:rPr>
          <w:rFonts w:hint="eastAsia" w:ascii="楷体_GB2312" w:hAnsi="楷体_GB2312" w:eastAsia="楷体_GB2312" w:cs="楷体_GB2312"/>
          <w:sz w:val="32"/>
          <w:szCs w:val="32"/>
          <w:lang w:val="en-US" w:eastAsia="zh-CN"/>
        </w:rPr>
        <w:t>（二）支出预算情况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东城幼儿园2024年支出预算156.22万元，其中：基本支出74.28万元，占47.5%；项目支出81.94万元，占52.4%。</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0" w:name="_Toc914"/>
      <w:r>
        <w:rPr>
          <w:rFonts w:hint="eastAsia" w:ascii="黑体" w:hAnsi="黑体" w:eastAsia="黑体" w:cs="黑体"/>
          <w:sz w:val="32"/>
          <w:szCs w:val="32"/>
          <w:lang w:val="en-US" w:eastAsia="zh-CN"/>
        </w:rPr>
        <w:t>四、财政拨款收支预算情况说明</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东城幼儿园2024年财政拨款收支预算总数156.22万元,比2023年财政拨款收支预算总数增加44.5万元，主要原因是项目支出增加。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收入包括：本年一般公共预算拨款收入156.22万元；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支出包括：一般公共服务支出156.22万元、教育支出156.22万元。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1" w:name="_Toc17815"/>
      <w:r>
        <w:rPr>
          <w:rFonts w:hint="eastAsia" w:ascii="黑体" w:hAnsi="黑体" w:eastAsia="黑体" w:cs="黑体"/>
          <w:sz w:val="32"/>
          <w:szCs w:val="32"/>
          <w:lang w:val="en-US" w:eastAsia="zh-CN"/>
        </w:rPr>
        <w:t>五、一般公共预算当年拨款情况说明</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31422"/>
      <w:r>
        <w:rPr>
          <w:rFonts w:hint="eastAsia" w:ascii="楷体_GB2312" w:hAnsi="楷体_GB2312" w:eastAsia="楷体_GB2312" w:cs="楷体_GB2312"/>
          <w:sz w:val="32"/>
          <w:szCs w:val="32"/>
          <w:lang w:val="en-US" w:eastAsia="zh-CN"/>
        </w:rPr>
        <w:t>（一）一般公共预算当年拨款规模变化情况</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东城幼儿园2024年一般公共预算当年拨款156.22万元，比2023年预算数增加44.5万元，主要原因是项目支出增加。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24151"/>
      <w:r>
        <w:rPr>
          <w:rFonts w:hint="eastAsia" w:ascii="楷体_GB2312" w:hAnsi="楷体_GB2312" w:eastAsia="楷体_GB2312" w:cs="楷体_GB2312"/>
          <w:sz w:val="32"/>
          <w:szCs w:val="32"/>
          <w:lang w:val="en-US" w:eastAsia="zh-CN"/>
        </w:rPr>
        <w:t>（二）一般公共预算当年拨款结构情况</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教育支出156.22万元，占100%。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3149"/>
      <w:r>
        <w:rPr>
          <w:rFonts w:hint="eastAsia" w:ascii="楷体_GB2312" w:hAnsi="楷体_GB2312" w:eastAsia="楷体_GB2312" w:cs="楷体_GB2312"/>
          <w:sz w:val="32"/>
          <w:szCs w:val="32"/>
          <w:lang w:val="en-US" w:eastAsia="zh-CN"/>
        </w:rPr>
        <w:t>（三）一般公共预算当年拨款具体使用情况</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类）普通教育（款）学前教育（项）2024年预算数为156.22万元，主要用于本单位基本支出，包括基本工资、津贴补贴、基础绩效奖等人员经费以及机构运行所需的办公费、印刷费、维修（护）费、工会经费等运行补助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5" w:name="_Toc4696"/>
      <w:r>
        <w:rPr>
          <w:rFonts w:hint="eastAsia" w:ascii="黑体" w:hAnsi="黑体" w:eastAsia="黑体" w:cs="黑体"/>
          <w:sz w:val="32"/>
          <w:szCs w:val="32"/>
          <w:lang w:val="en-US" w:eastAsia="zh-CN"/>
        </w:rPr>
        <w:t>六、一般公共预算基本支出情况说明</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东城幼儿园2024年一般公共预算基本支出74.28万元，其中：人员经费74.28万元，主要包括：基本工资、津贴补贴、奖金、社会保险缴费、住房公积金等支出。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6" w:name="_Toc16865"/>
      <w:r>
        <w:rPr>
          <w:rFonts w:hint="eastAsia" w:ascii="黑体" w:hAnsi="黑体" w:eastAsia="黑体" w:cs="黑体"/>
          <w:sz w:val="32"/>
          <w:szCs w:val="32"/>
          <w:lang w:val="en-US" w:eastAsia="zh-CN"/>
        </w:rPr>
        <w:t>七、“三公”经费财政拨款预算安排情况说明</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东城幼儿园2024年“三公”经费财政拨款预算数0.3万元，其中：公务接待费0.3万元，公务用车购置及运行维护费0万元，因公出国（境）经费0万元。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7" w:name="_Toc23040"/>
      <w:r>
        <w:rPr>
          <w:rFonts w:hint="eastAsia" w:ascii="楷体_GB2312" w:hAnsi="楷体_GB2312" w:eastAsia="楷体_GB2312" w:cs="楷体_GB2312"/>
          <w:sz w:val="32"/>
          <w:szCs w:val="32"/>
          <w:lang w:val="en-US" w:eastAsia="zh-CN"/>
        </w:rPr>
        <w:t>（一）公务接待费</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b/>
          <w:bCs/>
          <w:sz w:val="32"/>
          <w:szCs w:val="32"/>
        </w:rPr>
      </w:pPr>
      <w:bookmarkStart w:id="18" w:name="_Toc6755"/>
      <w:r>
        <w:rPr>
          <w:rFonts w:hint="eastAsia" w:ascii="楷体_GB2312" w:hAnsi="楷体_GB2312" w:eastAsia="楷体_GB2312" w:cs="楷体_GB2312"/>
          <w:sz w:val="32"/>
          <w:szCs w:val="32"/>
          <w:lang w:val="en-US" w:eastAsia="zh-CN"/>
        </w:rPr>
        <w:t>公务用车购置及运行维护费</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仿宋_GB2312" w:hAnsi="仿宋_GB2312" w:eastAsia="仿宋_GB2312" w:cs="仿宋_GB2312"/>
          <w:sz w:val="32"/>
          <w:szCs w:val="32"/>
          <w:lang w:val="en-US" w:eastAsia="zh-CN"/>
        </w:rPr>
      </w:pPr>
      <w:bookmarkStart w:id="19" w:name="_Toc2089"/>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9"/>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0" w:name="_Toc5756"/>
      <w:r>
        <w:rPr>
          <w:rFonts w:hint="eastAsia" w:ascii="黑体" w:hAnsi="黑体" w:eastAsia="黑体" w:cs="黑体"/>
          <w:sz w:val="32"/>
          <w:szCs w:val="32"/>
          <w:lang w:val="en-US" w:eastAsia="zh-CN"/>
        </w:rPr>
        <w:t>八、政府性基金预算支出情况说明</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东城幼儿园2024年政府性基金预算拨款安排的支出0万元。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1" w:name="_Toc30532"/>
      <w:r>
        <w:rPr>
          <w:rFonts w:hint="eastAsia" w:ascii="黑体" w:hAnsi="黑体" w:eastAsia="黑体" w:cs="黑体"/>
          <w:sz w:val="32"/>
          <w:szCs w:val="32"/>
          <w:lang w:val="en-US" w:eastAsia="zh-CN"/>
        </w:rPr>
        <w:t>九、国有资本经营预算支出情况说明</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东城幼儿园2024年无国有资本经营预算拨款安排的支出。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2" w:name="_Toc14744"/>
      <w:r>
        <w:rPr>
          <w:rFonts w:hint="eastAsia" w:ascii="黑体" w:hAnsi="黑体" w:eastAsia="黑体" w:cs="黑体"/>
          <w:sz w:val="32"/>
          <w:szCs w:val="32"/>
          <w:lang w:val="en-US" w:eastAsia="zh-CN"/>
        </w:rPr>
        <w:t>十、其他重要事项的情况说明</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27845"/>
      <w:r>
        <w:rPr>
          <w:rFonts w:hint="eastAsia" w:ascii="楷体_GB2312" w:hAnsi="楷体_GB2312" w:eastAsia="楷体_GB2312" w:cs="楷体_GB2312"/>
          <w:sz w:val="32"/>
          <w:szCs w:val="32"/>
          <w:lang w:val="en-US" w:eastAsia="zh-CN"/>
        </w:rPr>
        <w:t>（一）机关运行经费</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2024年，东城幼儿园属于公益二类事业单位，无机关运行经费。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11311"/>
      <w:r>
        <w:rPr>
          <w:rFonts w:hint="eastAsia" w:ascii="楷体_GB2312" w:hAnsi="楷体_GB2312" w:eastAsia="楷体_GB2312" w:cs="楷体_GB2312"/>
          <w:sz w:val="32"/>
          <w:szCs w:val="32"/>
          <w:lang w:val="en-US" w:eastAsia="zh-CN"/>
        </w:rPr>
        <w:t>（二）政府采购情况</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2024年，东城幼儿园未安排政府采购预算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5" w:name="_Toc21350"/>
      <w:bookmarkStart w:id="26" w:name="_Toc19669"/>
      <w:r>
        <w:rPr>
          <w:rFonts w:hint="eastAsia" w:ascii="楷体_GB2312" w:hAnsi="楷体_GB2312" w:eastAsia="楷体_GB2312" w:cs="楷体_GB2312"/>
          <w:sz w:val="32"/>
          <w:szCs w:val="32"/>
          <w:lang w:val="en-US" w:eastAsia="zh-CN"/>
        </w:rPr>
        <w:t>（三）国有资产占有使用情况</w:t>
      </w:r>
      <w:bookmarkEnd w:id="25"/>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截至2023年底，东城幼儿园共有车辆0辆，单位无价值200万元以上的大型设备。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2024年单位预算未安排购置车辆及单位价值200万元以上大型设备。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7" w:name="_Toc20775"/>
      <w:r>
        <w:rPr>
          <w:rFonts w:hint="eastAsia" w:ascii="楷体_GB2312" w:hAnsi="楷体_GB2312" w:eastAsia="楷体_GB2312" w:cs="楷体_GB2312"/>
          <w:sz w:val="32"/>
          <w:szCs w:val="32"/>
          <w:lang w:val="en-US" w:eastAsia="zh-CN"/>
        </w:rPr>
        <w:t>（四）绩效目标设置情况</w:t>
      </w:r>
      <w:bookmarkEnd w:id="2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2024年东城幼儿园开展绩效目标管理的项目2个，涉及预算81.94万元。其中：人员类项目0个，涉及预算 0万元；运转类项目2个，涉及预算81.94万元；特定目标类项目0个，涉及预算0万元。因部分项目内容涉密，不予公开。</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8" w:name="_Toc18579"/>
      <w:r>
        <w:rPr>
          <w:rFonts w:hint="eastAsia" w:ascii="黑体" w:hAnsi="黑体" w:eastAsia="黑体" w:cs="黑体"/>
          <w:sz w:val="32"/>
          <w:szCs w:val="32"/>
          <w:lang w:val="en-US" w:eastAsia="zh-CN"/>
        </w:rPr>
        <w:t>名词解释</w:t>
      </w:r>
      <w:bookmarkEnd w:id="28"/>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29" w:name="_Toc28564"/>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w:t>
      </w:r>
      <w:bookmarkStart w:id="31" w:name="_GoBack"/>
      <w:bookmarkEnd w:id="31"/>
      <w:r>
        <w:rPr>
          <w:rFonts w:hint="eastAsia" w:ascii="仿宋_GB2312" w:hAnsi="仿宋_GB2312" w:eastAsia="仿宋_GB2312" w:cs="仿宋_GB2312"/>
          <w:sz w:val="32"/>
          <w:szCs w:val="32"/>
          <w:lang w:val="en-US" w:eastAsia="zh-CN"/>
        </w:rPr>
        <w:t>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bookmarkEnd w:id="29"/>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楷体" w:hAnsi="楷体" w:eastAsia="楷体" w:cs="楷体"/>
          <w:b w:val="0"/>
          <w:bCs w:val="0"/>
          <w:i w:val="0"/>
          <w:caps w:val="0"/>
          <w:color w:val="333333"/>
          <w:spacing w:val="0"/>
          <w:kern w:val="0"/>
          <w:sz w:val="32"/>
          <w:szCs w:val="32"/>
          <w:shd w:val="clear" w:color="auto" w:fill="FFFFFF"/>
          <w:lang w:val="en-US" w:eastAsia="zh-CN" w:bidi="ar"/>
        </w:rPr>
        <w:t>（二）上年结转</w:t>
      </w:r>
      <w:r>
        <w:rPr>
          <w:rFonts w:hint="eastAsia" w:ascii="黑体" w:hAnsi="黑体" w:eastAsia="黑体" w:cs="黑体"/>
          <w:i w:val="0"/>
          <w:caps w:val="0"/>
          <w:color w:val="333333"/>
          <w:spacing w:val="0"/>
          <w:kern w:val="0"/>
          <w:sz w:val="32"/>
          <w:szCs w:val="32"/>
          <w:shd w:val="clear" w:color="auto" w:fill="FFFFFF"/>
          <w:lang w:val="en-US" w:eastAsia="zh-CN" w:bidi="ar"/>
        </w:rPr>
        <w:t>：</w:t>
      </w:r>
      <w:r>
        <w:rPr>
          <w:rFonts w:hint="eastAsia" w:ascii="仿宋_GB2312" w:hAnsi="仿宋_GB2312" w:eastAsia="仿宋_GB2312" w:cs="仿宋_GB2312"/>
          <w:sz w:val="32"/>
          <w:szCs w:val="32"/>
          <w:lang w:val="en-US" w:eastAsia="zh-CN"/>
        </w:rPr>
        <w:t>指以前年度尚未完成，结转到本年仍按原规定用途继续使用的资金。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（三）教育支出（类）普通教育（款）学前教育（项）：</w:t>
      </w:r>
      <w:r>
        <w:rPr>
          <w:rFonts w:hint="eastAsia" w:ascii="仿宋_GB2312" w:hAnsi="仿宋_GB2312" w:eastAsia="仿宋_GB2312" w:cs="仿宋_GB2312"/>
          <w:sz w:val="32"/>
          <w:szCs w:val="32"/>
          <w:lang w:val="en-US" w:eastAsia="zh-CN"/>
        </w:rPr>
        <w:t>指学前教育发展的基本支出，包括基本工资、津贴补贴等人员经费以及办公费、印刷费、水电费等日常公用经费。</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eastAsia" w:ascii="仿宋" w:hAnsi="仿宋" w:eastAsia="仿宋" w:cs="仿宋"/>
          <w:sz w:val="32"/>
          <w:szCs w:val="32"/>
        </w:rPr>
      </w:pPr>
      <w:r>
        <w:rPr>
          <w:rFonts w:hint="eastAsia" w:ascii="楷体" w:hAnsi="楷体" w:eastAsia="楷体" w:cs="楷体"/>
          <w:sz w:val="32"/>
          <w:szCs w:val="32"/>
        </w:rPr>
        <w:t>（</w:t>
      </w:r>
      <w:r>
        <w:rPr>
          <w:rFonts w:hint="eastAsia" w:ascii="楷体" w:hAnsi="楷体" w:eastAsia="楷体" w:cs="楷体"/>
          <w:sz w:val="32"/>
          <w:szCs w:val="32"/>
          <w:lang w:val="en-US" w:eastAsia="zh-CN"/>
        </w:rPr>
        <w:t>四</w:t>
      </w:r>
      <w:r>
        <w:rPr>
          <w:rFonts w:hint="eastAsia" w:ascii="楷体" w:hAnsi="楷体" w:eastAsia="楷体" w:cs="楷体"/>
          <w:sz w:val="32"/>
          <w:szCs w:val="32"/>
        </w:rPr>
        <w:t>）基本支出</w:t>
      </w:r>
      <w:r>
        <w:rPr>
          <w:rFonts w:ascii="宋体" w:hAnsi="宋体" w:eastAsia="宋体" w:cs="宋体"/>
          <w:sz w:val="24"/>
          <w:szCs w:val="24"/>
        </w:rPr>
        <w:t>：</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rPr>
        <w:t>（</w:t>
      </w:r>
      <w:r>
        <w:rPr>
          <w:rFonts w:hint="eastAsia" w:ascii="楷体" w:hAnsi="楷体" w:eastAsia="楷体" w:cs="楷体"/>
          <w:sz w:val="32"/>
          <w:szCs w:val="32"/>
          <w:lang w:val="en-US" w:eastAsia="zh-CN"/>
        </w:rPr>
        <w:t>五</w:t>
      </w:r>
      <w:r>
        <w:rPr>
          <w:rFonts w:hint="eastAsia" w:ascii="楷体" w:hAnsi="楷体" w:eastAsia="楷体" w:cs="楷体"/>
          <w:sz w:val="32"/>
          <w:szCs w:val="32"/>
        </w:rPr>
        <w:t>）项目支出</w:t>
      </w:r>
      <w:r>
        <w:rPr>
          <w:rFonts w:ascii="宋体" w:hAnsi="宋体" w:eastAsia="宋体" w:cs="宋体"/>
          <w:sz w:val="32"/>
          <w:szCs w:val="32"/>
        </w:rPr>
        <w:t>：</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right="0" w:rightChars="0" w:firstLine="320" w:firstLineChars="100"/>
        <w:jc w:val="left"/>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rPr>
        <w:t>（</w:t>
      </w:r>
      <w:r>
        <w:rPr>
          <w:rFonts w:hint="eastAsia" w:ascii="楷体" w:hAnsi="楷体" w:eastAsia="楷体" w:cs="楷体"/>
          <w:sz w:val="32"/>
          <w:szCs w:val="32"/>
          <w:lang w:val="en-US" w:eastAsia="zh-CN"/>
        </w:rPr>
        <w:t>六</w:t>
      </w:r>
      <w:r>
        <w:rPr>
          <w:rFonts w:hint="eastAsia" w:ascii="楷体" w:hAnsi="楷体" w:eastAsia="楷体" w:cs="楷体"/>
          <w:sz w:val="32"/>
          <w:szCs w:val="32"/>
        </w:rPr>
        <w:t>）“三公”经费</w:t>
      </w:r>
      <w:r>
        <w:rPr>
          <w:rFonts w:ascii="宋体" w:hAnsi="宋体" w:eastAsia="宋体" w:cs="宋体"/>
          <w:sz w:val="32"/>
          <w:szCs w:val="32"/>
        </w:rPr>
        <w:t>：</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 w:hAnsi="仿宋" w:eastAsia="仿宋" w:cs="仿宋"/>
          <w:sz w:val="32"/>
          <w:szCs w:val="32"/>
          <w:lang w:val="en-US" w:eastAsia="zh-CN"/>
        </w:rPr>
        <w:t xml:space="preserve">                                                                                            </w:t>
      </w:r>
      <w:r>
        <w:rPr>
          <w:rFonts w:hint="eastAsia" w:ascii="仿宋_GB2312" w:hAnsi="仿宋_GB2312" w:eastAsia="仿宋_GB2312" w:cs="仿宋_GB2312"/>
          <w:sz w:val="32"/>
          <w:szCs w:val="32"/>
          <w:lang w:val="en-US" w:eastAsia="zh-CN"/>
        </w:rPr>
        <w:t xml:space="preserve">附件：1. 预算公开报表                                                </w:t>
      </w:r>
      <w:bookmarkStart w:id="30" w:name="_Toc17268"/>
      <w:r>
        <w:rPr>
          <w:rFonts w:hint="eastAsia" w:ascii="仿宋_GB2312" w:hAnsi="仿宋_GB2312" w:eastAsia="仿宋_GB2312" w:cs="仿宋_GB2312"/>
          <w:sz w:val="32"/>
          <w:szCs w:val="32"/>
          <w:lang w:val="en-US" w:eastAsia="zh-CN"/>
        </w:rPr>
        <w:t xml:space="preserve">        </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right="0" w:rightChars="0" w:firstLine="960" w:firstLineChars="3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2.项目支出绩效目标表</w:t>
      </w:r>
      <w:bookmarkEnd w:id="30"/>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abstractNum w:abstractNumId="1">
    <w:nsid w:val="63A3E373"/>
    <w:multiLevelType w:val="singleLevel"/>
    <w:tmpl w:val="63A3E373"/>
    <w:lvl w:ilvl="0" w:tentative="0">
      <w:start w:val="11"/>
      <w:numFmt w:val="chineseCounting"/>
      <w:suff w:val="nothing"/>
      <w:lvlText w:val="%1、"/>
      <w:lvlJc w:val="left"/>
      <w:rPr>
        <w:rFonts w:hint="eastAsia"/>
      </w:rPr>
    </w:lvl>
  </w:abstractNum>
  <w:abstractNum w:abstractNumId="2">
    <w:nsid w:val="756900B0"/>
    <w:multiLevelType w:val="singleLevel"/>
    <w:tmpl w:val="756900B0"/>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5017C52"/>
    <w:rsid w:val="0BFC1173"/>
    <w:rsid w:val="0F334EAC"/>
    <w:rsid w:val="0FE1275A"/>
    <w:rsid w:val="13BE434A"/>
    <w:rsid w:val="19F65454"/>
    <w:rsid w:val="1A576751"/>
    <w:rsid w:val="1F7BF06F"/>
    <w:rsid w:val="1FEE4B73"/>
    <w:rsid w:val="23CE9849"/>
    <w:rsid w:val="25381017"/>
    <w:rsid w:val="25A55F80"/>
    <w:rsid w:val="279F537D"/>
    <w:rsid w:val="30541B04"/>
    <w:rsid w:val="33A8405A"/>
    <w:rsid w:val="39F304DD"/>
    <w:rsid w:val="3B31058A"/>
    <w:rsid w:val="3D793B23"/>
    <w:rsid w:val="407C5E04"/>
    <w:rsid w:val="42F8373B"/>
    <w:rsid w:val="44D2693A"/>
    <w:rsid w:val="52F51990"/>
    <w:rsid w:val="54244390"/>
    <w:rsid w:val="54662A63"/>
    <w:rsid w:val="54806B30"/>
    <w:rsid w:val="55D01EAE"/>
    <w:rsid w:val="570937A0"/>
    <w:rsid w:val="58064E12"/>
    <w:rsid w:val="5BFEE015"/>
    <w:rsid w:val="63EDCF55"/>
    <w:rsid w:val="63FBFBCF"/>
    <w:rsid w:val="657A02B4"/>
    <w:rsid w:val="669360FD"/>
    <w:rsid w:val="68FF6A83"/>
    <w:rsid w:val="6A576F27"/>
    <w:rsid w:val="6AB65FDB"/>
    <w:rsid w:val="6FBBC9CF"/>
    <w:rsid w:val="72BDE561"/>
    <w:rsid w:val="72CC1D96"/>
    <w:rsid w:val="76F23D19"/>
    <w:rsid w:val="78462278"/>
    <w:rsid w:val="7997EA6C"/>
    <w:rsid w:val="7998439B"/>
    <w:rsid w:val="7A0D129F"/>
    <w:rsid w:val="7A90624B"/>
    <w:rsid w:val="7ABE2599"/>
    <w:rsid w:val="7AEAE675"/>
    <w:rsid w:val="7BAFCE5D"/>
    <w:rsid w:val="7C523723"/>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0">
    <w:name w:val="Default Paragraph Font"/>
    <w:autoRedefine/>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autoRedefine/>
    <w:qFormat/>
    <w:uiPriority w:val="0"/>
  </w:style>
  <w:style w:type="paragraph" w:styleId="8">
    <w:name w:val="Normal (Web)"/>
    <w:basedOn w:val="1"/>
    <w:autoRedefine/>
    <w:qFormat/>
    <w:uiPriority w:val="0"/>
    <w:rPr>
      <w:sz w:val="24"/>
    </w:rPr>
  </w:style>
  <w:style w:type="character" w:customStyle="1" w:styleId="11">
    <w:name w:val="默认段落字体1"/>
    <w:autoRedefine/>
    <w:qFormat/>
    <w:uiPriority w:val="0"/>
  </w:style>
  <w:style w:type="paragraph" w:customStyle="1" w:styleId="12">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autoRedefine/>
    <w:qFormat/>
    <w:uiPriority w:val="0"/>
    <w:pPr>
      <w:widowControl w:val="0"/>
      <w:suppressLineNumbers/>
      <w:suppressAutoHyphens/>
    </w:pPr>
  </w:style>
  <w:style w:type="paragraph" w:customStyle="1" w:styleId="14">
    <w:name w:val="p0"/>
    <w:basedOn w:val="1"/>
    <w:autoRedefine/>
    <w:qFormat/>
    <w:uiPriority w:val="0"/>
    <w:pPr>
      <w:widowControl/>
    </w:pPr>
    <w:rPr>
      <w:rFonts w:ascii="宋体" w:hAnsi="宋体"/>
      <w:kern w:val="0"/>
      <w:szCs w:val="21"/>
    </w:rPr>
  </w:style>
  <w:style w:type="paragraph" w:customStyle="1" w:styleId="15">
    <w:name w:val="WPSOffice手动目录 1"/>
    <w:autoRedefine/>
    <w:qFormat/>
    <w:uiPriority w:val="0"/>
    <w:pPr>
      <w:ind w:leftChars="0"/>
    </w:pPr>
    <w:rPr>
      <w:rFonts w:ascii="Times New Roman" w:hAnsi="Times New Roman" w:eastAsia="宋体" w:cs="Times New Roman"/>
      <w:sz w:val="20"/>
      <w:szCs w:val="20"/>
    </w:rPr>
  </w:style>
  <w:style w:type="paragraph" w:customStyle="1" w:styleId="16">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2024-04-08T07:28:13Z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D4F2B9FB003A455CB01EF678F57D2A58_13</vt:lpwstr>
  </property>
</Properties>
</file>