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default"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default"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广元市昭化区机关园</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sdt>
      <w:sdtPr>
        <w:rPr>
          <w:rFonts w:hint="eastAsia" w:ascii="黑体" w:hAnsi="黑体" w:eastAsia="黑体" w:cs="黑体"/>
          <w:color w:val="auto"/>
          <w:kern w:val="2"/>
          <w:sz w:val="21"/>
          <w:szCs w:val="24"/>
          <w:lang w:val="en-US" w:eastAsia="zh-CN" w:bidi="ar-SA"/>
        </w:rPr>
        <w:id w:val="147456921"/>
        <w15:color w:val="DBDBDB"/>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
          <w14:textFill>
            <w14:solidFill>
              <w14:schemeClr w14:val="tx1"/>
            </w14:solidFill>
          </w14:textFill>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sz w:val="32"/>
              <w:szCs w:val="32"/>
            </w:rPr>
          </w:pPr>
          <w:r>
            <w:rPr>
              <w:rFonts w:hint="eastAsia" w:ascii="黑体" w:hAnsi="黑体" w:eastAsia="黑体" w:cs="黑体"/>
              <w:sz w:val="32"/>
              <w:szCs w:val="32"/>
            </w:rPr>
            <w:t>目录</w:t>
          </w:r>
        </w:p>
        <w:p>
          <w:pPr>
            <w:pStyle w:val="14"/>
            <w:tabs>
              <w:tab w:val="right" w:leader="dot" w:pos="8845"/>
            </w:tabs>
            <w:rPr>
              <w:rFonts w:hint="eastAsia" w:ascii="仿宋" w:hAnsi="仿宋" w:eastAsia="仿宋" w:cs="仿宋"/>
              <w:b/>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instrText xml:space="preserve">TOC \o "1-2" \h \u </w:instrText>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separate"/>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_Toc20875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_Toc20875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4</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_Toc25411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rPr>
            <w:t>（一）</w:t>
          </w:r>
          <w:r>
            <w:rPr>
              <w:rFonts w:hint="eastAsia" w:ascii="仿宋" w:hAnsi="仿宋" w:eastAsia="仿宋" w:cs="仿宋"/>
              <w:sz w:val="32"/>
              <w:szCs w:val="32"/>
              <w:lang w:eastAsia="zh-CN"/>
            </w:rPr>
            <w:t>广元市昭化区机关幼儿园</w:t>
          </w:r>
          <w:r>
            <w:rPr>
              <w:rFonts w:hint="eastAsia" w:ascii="仿宋" w:hAnsi="仿宋" w:eastAsia="仿宋" w:cs="仿宋"/>
              <w:sz w:val="32"/>
              <w:szCs w:val="32"/>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_Toc25411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_Toc8642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rPr>
            <w:t>（二）</w:t>
          </w:r>
          <w:r>
            <w:rPr>
              <w:rFonts w:hint="eastAsia" w:ascii="仿宋" w:hAnsi="仿宋" w:eastAsia="仿宋" w:cs="仿宋"/>
              <w:sz w:val="32"/>
              <w:szCs w:val="32"/>
              <w:lang w:val="en-US" w:eastAsia="zh-CN"/>
            </w:rPr>
            <w:t>广元市昭化区机关幼儿园</w:t>
          </w:r>
          <w:r>
            <w:rPr>
              <w:rFonts w:hint="eastAsia" w:ascii="仿宋" w:hAnsi="仿宋" w:eastAsia="仿宋" w:cs="仿宋"/>
              <w:sz w:val="32"/>
              <w:szCs w:val="32"/>
              <w:lang w:val="en-US"/>
            </w:rPr>
            <w:t>2024</w:t>
          </w:r>
          <w:r>
            <w:rPr>
              <w:rFonts w:hint="eastAsia" w:ascii="仿宋" w:hAnsi="仿宋" w:eastAsia="仿宋" w:cs="仿宋"/>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_Toc8642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_Toc25790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二、部门预算单位构成</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_Toc25790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_Toc21519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三、收支预算情况说明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_Toc21519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_Toc575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_Toc575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_Toc21622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_Toc21622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_Toc5096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四、财政拨款收支预算情况说明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_Toc5096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_Toc3581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五、一般公共预算当年拨款情况说明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_Toc3581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_Toc9838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_Toc9838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_Toc31040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_Toc31040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5"/>
            <w:tabs>
              <w:tab w:val="right" w:leader="dot" w:pos="8845"/>
            </w:tabs>
            <w:rPr>
              <w:rFonts w:hint="eastAsia" w:ascii="仿宋" w:hAnsi="仿宋" w:eastAsia="仿宋" w:cs="仿宋"/>
              <w:sz w:val="32"/>
              <w:szCs w:val="32"/>
            </w:rPr>
          </w:pP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i w:val="0"/>
              <w:caps w:val="0"/>
              <w:spacing w:val="0"/>
              <w:kern w:val="0"/>
              <w:sz w:val="32"/>
              <w:szCs w:val="32"/>
              <w:highlight w:val="none"/>
              <w:shd w:val="clear" w:color="auto" w:fill="FFFFFF"/>
              <w:lang w:val="en-US" w:eastAsia="zh-CN" w:bidi="ar"/>
            </w:rPr>
            <w:instrText xml:space="preserve"> HYPERLINK \l _Toc23500 </w:instrText>
          </w:r>
          <w:r>
            <w:rPr>
              <w:rFonts w:hint="eastAsia" w:ascii="仿宋" w:hAnsi="仿宋" w:eastAsia="仿宋" w:cs="仿宋"/>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_Toc23500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_Toc21718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六、一般公共预算基本支出情况说明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_Toc21718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10</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_Toc12958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七、“三公”经费财政拨款预算安排情况说明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_Toc12958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10</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_Toc20616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八、政府性基金预算支出情况说明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_Toc20616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10</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_Toc6993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九、国有资本经营预算支出情况说明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_Toc6993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10</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_Toc32648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十、其他重要事项的情况说明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_Toc32648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10</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14"/>
            <w:tabs>
              <w:tab w:val="right" w:leader="dot" w:pos="8845"/>
            </w:tabs>
            <w:rPr>
              <w:rFonts w:hint="eastAsia" w:ascii="仿宋" w:hAnsi="仿宋" w:eastAsia="仿宋" w:cs="仿宋"/>
              <w:b/>
              <w:sz w:val="32"/>
              <w:szCs w:val="32"/>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begin"/>
          </w:r>
          <w:r>
            <w:rPr>
              <w:rFonts w:hint="eastAsia" w:ascii="仿宋" w:hAnsi="仿宋" w:eastAsia="仿宋" w:cs="仿宋"/>
              <w:b/>
              <w:i w:val="0"/>
              <w:caps w:val="0"/>
              <w:spacing w:val="0"/>
              <w:kern w:val="0"/>
              <w:sz w:val="32"/>
              <w:szCs w:val="32"/>
              <w:highlight w:val="none"/>
              <w:shd w:val="clear" w:color="auto" w:fill="FFFFFF"/>
              <w:lang w:val="en-US" w:eastAsia="zh-CN" w:bidi="ar"/>
            </w:rPr>
            <w:instrText xml:space="preserve"> HYPERLINK \l _Toc4398 </w:instrText>
          </w:r>
          <w:r>
            <w:rPr>
              <w:rFonts w:hint="eastAsia" w:ascii="仿宋" w:hAnsi="仿宋" w:eastAsia="仿宋" w:cs="仿宋"/>
              <w:b/>
              <w:i w:val="0"/>
              <w:caps w:val="0"/>
              <w:spacing w:val="0"/>
              <w:kern w:val="0"/>
              <w:sz w:val="32"/>
              <w:szCs w:val="32"/>
              <w:highlight w:val="none"/>
              <w:shd w:val="clear" w:color="auto" w:fill="FFFFFF"/>
              <w:lang w:val="en-US" w:eastAsia="zh-CN" w:bidi="ar"/>
            </w:rPr>
            <w:fldChar w:fldCharType="separate"/>
          </w:r>
          <w:r>
            <w:rPr>
              <w:rFonts w:hint="eastAsia" w:ascii="仿宋" w:hAnsi="仿宋" w:eastAsia="仿宋" w:cs="仿宋"/>
              <w:b/>
              <w:sz w:val="32"/>
              <w:szCs w:val="32"/>
              <w:lang w:val="en-US" w:eastAsia="zh-CN"/>
            </w:rPr>
            <w:t>十一、名词解释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_Toc4398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11</w:t>
          </w:r>
          <w:r>
            <w:rPr>
              <w:rFonts w:hint="eastAsia" w:ascii="仿宋" w:hAnsi="仿宋" w:eastAsia="仿宋" w:cs="仿宋"/>
              <w:b/>
              <w:sz w:val="32"/>
              <w:szCs w:val="32"/>
            </w:rPr>
            <w:fldChar w:fldCharType="end"/>
          </w: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43" w:firstLineChars="200"/>
            <w:jc w:val="both"/>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仿宋" w:hAnsi="仿宋" w:eastAsia="仿宋" w:cs="仿宋"/>
              <w:b/>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fldChar w:fldCharType="end"/>
          </w:r>
        </w:p>
        <w:p>
          <w:pPr>
            <w:pStyle w:val="8"/>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482"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sdtContent>
    </w:sdt>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20875"/>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 w:name="_Toc25411"/>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eastAsia="zh-CN"/>
        </w:rPr>
        <w:t>广元市昭化区机关幼儿园</w:t>
      </w:r>
      <w:r>
        <w:rPr>
          <w:rFonts w:hint="eastAsia" w:ascii="楷体_GB2312" w:hAnsi="楷体_GB2312" w:eastAsia="楷体_GB2312" w:cs="楷体_GB2312"/>
          <w:sz w:val="32"/>
          <w:szCs w:val="32"/>
        </w:rPr>
        <w:t>职能简介</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1.对3岁－-6周岁幼儿实施保育和教育，促进幼儿体、智、德、美和谐发展，并为辖区幼儿家长安心工作提供便利条件。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2.根据上级教育部门的要求和幼儿园的实际，制定幼儿园的发展规划、年度计划、教育教学规划、安全保健卫生等计划。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3.合理使用各项经费，有计划地搞好幼儿园建设。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4.督促检查班组教学计划、教学大纲的贯彻实施，组织总结交流教学经验。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5.开展教研活动和课题研究，进行教育改革，推广新的幼儿教育训练方案、教材等科研成果，提高教育质量。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6.开展多项活动，有计划、有组织地培养提高教师的业务水平和教学能力。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7.负责教育教学、生活设施用品的订购、采购和计划供应工作。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8.负责幼儿的体检、卫生保健、安全工作,预防传染病的发生。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9.保障幼儿一日三餐饮食的科学营养、合理安排。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10.建立家园联系制度，采取适当的形式与家长沟通，研究幼儿教育对策，实现家园共育。</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10" w:leftChars="0" w:firstLine="640" w:firstLineChars="0"/>
        <w:textAlignment w:val="auto"/>
        <w:outlineLvl w:val="1"/>
        <w:rPr>
          <w:rFonts w:hint="eastAsia" w:ascii="楷体_GB2312" w:hAnsi="楷体_GB2312" w:eastAsia="楷体_GB2312" w:cs="楷体_GB2312"/>
          <w:sz w:val="32"/>
          <w:szCs w:val="32"/>
        </w:rPr>
      </w:pPr>
      <w:bookmarkStart w:id="2" w:name="_Toc8642"/>
      <w:r>
        <w:rPr>
          <w:rFonts w:hint="eastAsia" w:ascii="楷体_GB2312" w:hAnsi="楷体_GB2312" w:eastAsia="楷体_GB2312" w:cs="楷体_GB2312"/>
          <w:sz w:val="32"/>
          <w:szCs w:val="32"/>
          <w:lang w:val="en-US" w:eastAsia="zh-CN"/>
        </w:rPr>
        <w:t>广元市昭化区机关幼儿园</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1.强化教师培训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加强师德教育。要想成为一名好教师，首先要成为一名具有良好师德的教师，尤其是幼儿园讲究的是保教并重，这就要求教师富有爱心和耐心，因此师德教育是教师成长的基础。组织教师学习幼儿园各类法规文件。加强教研组建设，学习《幼儿园保教考核细则》细化教研组考核、评价办法，充分发挥教研组在教育教学中的主导作用。加强《中小学教师职业道德规范》《幼儿园教师十项行为准则》的学习，开展“四心五育”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加强专业培训。积极参加各级各类专题讲座。在专题讲座的同时，教研组长深入班级指导各班教学的组织与实施，并就教学中出现的问题进行研究。学习与指导相结合。利用业务学习的时间，通过自主学习的模式，分管教学的行政定期推荐好的书籍与文章、活动方案等，并做好推荐笔记。继续抓好教育故事、教育反思、教学随笔的评讲活动。通过学习、实践、反思、研究等活动，不断提高教师的人格魅力与专业水平。</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2.加强教学常规管理，提高保教质量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（1）教育质量是幼儿园工作的生命线，要抓好教学工作进一步完善教学常规中的各项规章制度，强化内部管理，端正教风，将教学常规变成教师自觉的行动。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备好课是上好课的先决条件，只有备好课才能上好课，教师备课要建立在以幼儿发展为本的教学思想基础上。开展以园为本的“教、科、研、训”的“四位一体”教师研修模式。初步探讨教师合作备课和教研，形成集体智慧，做到备课、教具、反思分工合作，优化教学过程。开展公开教学看、听、议、评活动，优秀教学活动评选等，通过活动的开展，更新观念，改善行为，推进课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提高教学效率。围绕如何进一步提高课堂教学效果为中心，抓住如何加强教学的组织工作、如何调动幼儿学习的积极性、如何启发幼儿的思维、如何巩固学习效果等现实问题积极开展教学研究工作，使教学研究工作能够重实际、有实招、出实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狠抓对课堂教学的过程管理。完善教学的规范化要求，建立新型的教学管理制度，教学活动教师语言规范，鲜明生动；游戏中指导，生活中教育，杜绝游戏活动和生活活动中的盲目性和随意性，组织教师到联盟幼儿园开展教研、联谊等多种方式，以发挥我园的辐射、带动和引领作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加强保育员队伍建设。进一步规范保育员的工作行为，根据不同年龄幼儿的生理、心理特点，明确保育目的。特别是三岁以下幼儿的护理工作中，提倡保教一体化的教育。掌握幼儿常见病的保健护理知识，随时观察幼儿的健康状况，出现问题能及时采取有效措施，避免意外事故的发生。协助教师进行教育环境的创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重视体育活动，丰富幼儿生活。一是丰富户外体育游戏活动的开展，坚持每天的晨间户外体育游戏锻炼，体育游戏做到常换常新，幼儿感兴趣，能积极参与。二是开展丰富多样的幼儿竞赛评选活动，节日庆祝活动等，创造机会为幼儿提供展示的舞台。让幼儿在活动中锻炼成长。</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创设丰富的区域游戏活动的环境，重视区域游戏活动的开展。一每位教师一要充分利用教室、寝室、走廊等幼儿园现有的场地，保证区域游戏活动的空间。二要科学安排幼儿的一日生活，保证区域游戏活动的时间。三要注重活动的趣味性。要能吸引幼儿，贴近幼儿生活，建立在幼儿现有的经验基础之上。四要注重综合性。游戏活动是教学活动的延伸，是达成教育目标的补充，要加强游戏活动的指导，通过区域游戏活动的开展，让幼儿在满足快乐的同时，增长知识和经验，获得各种能力的发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（8）在有利于幼儿身心健康的前提下，结合教育主题，结合节日庆祝，开展各种竞赛评选活动，促进幼儿健康发展。</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3.加强卫生保健工作，保证幼儿安全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期初，做好新生幼儿和插班生的体检工作，严防传染病的侵入。做好疾病的预防工作，幼儿的毛巾、杯子、碗筷等日用品进行严格的清洗和消毒，保持园内整洁，室内经常通风，“家园栏”向家长宣传预防传染病的常识，做好晨间检查和幼儿服药记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组织教工重温《幼儿教师职责》、《保育员职责》、《幼儿园安全制度》、《幼儿园教师工作条例》强化教职工的工作责任心，严格做到上岗到位，发现问题及时报告和处理，认真做好值周工作，巡视幼儿安全，确保幼儿在园安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教导：开展好足球、篮球、书法、美术、舞蹈、生活化教育等特色教育活动。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教科：开展好常规教学管理考核及课题研究、师培工作。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安全：开展好安全教育主题活动、从业人员的安全培训、安全巡查整改。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保育：组织好保育培训及保育常规工作的督促落实。</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党建：按上级要求开展好党性教育活动，组织好党员各种学习的落实。</w:t>
      </w:r>
      <w:bookmarkStart w:id="25" w:name="_GoBack"/>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sz w:val="32"/>
          <w:szCs w:val="32"/>
          <w:lang w:val="en-US" w:eastAsia="zh-CN"/>
        </w:rPr>
        <w:t>后勤：负责食堂餐饮的多样性及安全性。</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 w:name="_Toc25790"/>
      <w:r>
        <w:rPr>
          <w:rFonts w:hint="eastAsia" w:ascii="黑体" w:hAnsi="黑体" w:eastAsia="黑体" w:cs="黑体"/>
          <w:sz w:val="32"/>
          <w:szCs w:val="32"/>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我单位属于广元市昭化区教育局下属二级预算单位，无下属单位，属于公益二类事业单位。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 w:name="_Toc21519"/>
      <w:r>
        <w:rPr>
          <w:rFonts w:hint="eastAsia" w:ascii="黑体" w:hAnsi="黑体" w:eastAsia="黑体" w:cs="黑体"/>
          <w:sz w:val="32"/>
          <w:szCs w:val="32"/>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机关幼儿园所有收入和支出均纳入部门预算管理。收入包括：一般公共预算拨款收入；支出包括：教育支出、社会保障和就业支出。机关幼儿园2024年收支预算总数711.44万元,比2023年收支预算总数增加47.2万元，主要原因是项目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5" w:name="_Toc575"/>
      <w:r>
        <w:rPr>
          <w:rFonts w:hint="eastAsia" w:ascii="楷体_GB2312" w:hAnsi="楷体_GB2312" w:eastAsia="楷体_GB2312" w:cs="楷体_GB2312"/>
          <w:sz w:val="32"/>
          <w:szCs w:val="32"/>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机关幼儿园2024年收入预算711.44万元，其中：一般公共预算拨款收入711.44万元，占100%。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21622"/>
      <w:r>
        <w:rPr>
          <w:rFonts w:hint="eastAsia" w:ascii="楷体_GB2312" w:hAnsi="楷体_GB2312" w:eastAsia="楷体_GB2312" w:cs="楷体_GB2312"/>
          <w:sz w:val="32"/>
          <w:szCs w:val="32"/>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机关幼儿园2024年支出预算711.44万元，其中：基本支出</w:t>
      </w: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sz w:val="32"/>
          <w:szCs w:val="32"/>
          <w:lang w:val="en-US" w:eastAsia="zh-CN"/>
        </w:rPr>
        <w:t>468.1万元，</w:t>
      </w:r>
      <w:r>
        <w:rPr>
          <w:rFonts w:hint="eastAsia" w:ascii="仿宋_GB2312" w:hAnsi="仿宋_GB2312" w:eastAsia="仿宋_GB2312" w:cs="仿宋_GB2312"/>
          <w:sz w:val="32"/>
          <w:szCs w:val="32"/>
          <w:highlight w:val="none"/>
          <w:lang w:val="en-US" w:eastAsia="zh-CN"/>
        </w:rPr>
        <w:t>占65.8%；项目支出243.34万元，占34.2%</w:t>
      </w:r>
      <w:r>
        <w:rPr>
          <w:rFonts w:hint="eastAsia" w:ascii="仿宋_GB2312" w:hAnsi="仿宋_GB2312" w:eastAsia="仿宋_GB2312" w:cs="仿宋_GB2312"/>
          <w:b w:val="0"/>
          <w:bCs w:val="0"/>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7" w:name="_Toc5096"/>
      <w:r>
        <w:rPr>
          <w:rFonts w:hint="eastAsia" w:ascii="黑体" w:hAnsi="黑体" w:eastAsia="黑体" w:cs="黑体"/>
          <w:sz w:val="32"/>
          <w:szCs w:val="32"/>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机关幼儿园2024年财政拨款收支预算总数711.44万元,比2023年财政拨款收支预算总数增加47.2万元，主要原因是项目支出增加。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收入包括：本年一般公共预算拨款收入711.44万元；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支出包括：教育支出695.44万元、社会保障和就业支出16万元。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3581"/>
      <w:r>
        <w:rPr>
          <w:rFonts w:hint="eastAsia" w:ascii="黑体" w:hAnsi="黑体" w:eastAsia="黑体" w:cs="黑体"/>
          <w:sz w:val="32"/>
          <w:szCs w:val="32"/>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9838"/>
      <w:r>
        <w:rPr>
          <w:rFonts w:hint="eastAsia" w:ascii="楷体_GB2312" w:hAnsi="楷体_GB2312" w:eastAsia="楷体_GB2312" w:cs="楷体_GB2312"/>
          <w:sz w:val="32"/>
          <w:szCs w:val="32"/>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机关幼儿园2024年一般公共预算当年拨款711.44万元，比2023年预算数增加47.2万元，主要原因是项目支出增加。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31040"/>
      <w:r>
        <w:rPr>
          <w:rFonts w:hint="eastAsia" w:ascii="楷体_GB2312" w:hAnsi="楷体_GB2312" w:eastAsia="楷体_GB2312" w:cs="楷体_GB2312"/>
          <w:sz w:val="32"/>
          <w:szCs w:val="32"/>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教育支出695.44万元，占97.75%；社会保障和就业支出16万，占2.25%。</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3500"/>
      <w:r>
        <w:rPr>
          <w:rFonts w:hint="eastAsia" w:ascii="楷体_GB2312" w:hAnsi="楷体_GB2312" w:eastAsia="楷体_GB2312" w:cs="楷体_GB2312"/>
          <w:sz w:val="32"/>
          <w:szCs w:val="32"/>
          <w:lang w:val="en-US" w:eastAsia="zh-CN"/>
        </w:rPr>
        <w:t>（三）一般公共预算当年拨款具体使用情况</w:t>
      </w:r>
      <w:bookmarkEnd w:id="11"/>
    </w:p>
    <w:p>
      <w:pPr>
        <w:spacing w:line="600" w:lineRule="exact"/>
        <w:ind w:firstLine="640" w:firstLineChars="200"/>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一般公共服务</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教育支出</w:t>
      </w:r>
      <w:r>
        <w:rPr>
          <w:rFonts w:hint="eastAsia" w:ascii="仿宋_GB2312" w:hAnsi="仿宋_GB2312" w:eastAsia="仿宋_GB2312" w:cs="仿宋_GB2312"/>
          <w:sz w:val="32"/>
          <w:szCs w:val="32"/>
          <w:lang w:val="en-US" w:eastAsia="zh-CN"/>
        </w:rPr>
        <w:t>（类）</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普通教育</w:t>
      </w:r>
      <w:r>
        <w:rPr>
          <w:rFonts w:hint="eastAsia" w:ascii="仿宋_GB2312" w:hAnsi="仿宋_GB2312" w:eastAsia="仿宋_GB2312" w:cs="仿宋_GB2312"/>
          <w:sz w:val="32"/>
          <w:szCs w:val="32"/>
          <w:lang w:val="en-US" w:eastAsia="zh-CN"/>
        </w:rPr>
        <w:t>（款）学前教育（项）2024年预算数为695.44万元，主要用于：</w:t>
      </w:r>
      <w:r>
        <w:rPr>
          <w:rFonts w:hint="eastAsia" w:ascii="Times New Roman" w:hAnsi="Times New Roman" w:eastAsia="仿宋_GB2312"/>
          <w:sz w:val="32"/>
          <w:szCs w:val="32"/>
        </w:rPr>
        <w:t>学前教育发展的基本支出，</w:t>
      </w:r>
      <w:r>
        <w:rPr>
          <w:rFonts w:ascii="Times New Roman" w:hAnsi="Times New Roman" w:eastAsia="仿宋_GB2312"/>
          <w:sz w:val="32"/>
          <w:szCs w:val="32"/>
        </w:rPr>
        <w:t>包括基本工资、</w:t>
      </w:r>
      <w:r>
        <w:rPr>
          <w:rFonts w:hint="eastAsia" w:ascii="Times New Roman" w:hAnsi="Times New Roman" w:eastAsia="仿宋_GB2312"/>
          <w:sz w:val="32"/>
          <w:szCs w:val="32"/>
          <w:lang w:eastAsia="zh-CN"/>
        </w:rPr>
        <w:t>保险、</w:t>
      </w:r>
      <w:r>
        <w:rPr>
          <w:rFonts w:ascii="Times New Roman" w:hAnsi="Times New Roman" w:eastAsia="仿宋_GB2312"/>
          <w:sz w:val="32"/>
          <w:szCs w:val="32"/>
        </w:rPr>
        <w:t>津贴补贴等人员经费以及办公费、</w:t>
      </w:r>
      <w:r>
        <w:rPr>
          <w:rFonts w:hint="eastAsia" w:ascii="Times New Roman" w:hAnsi="Times New Roman" w:eastAsia="仿宋_GB2312"/>
          <w:sz w:val="32"/>
          <w:szCs w:val="32"/>
          <w:lang w:eastAsia="zh-CN"/>
        </w:rPr>
        <w:t>工会会费</w:t>
      </w:r>
      <w:r>
        <w:rPr>
          <w:rFonts w:ascii="Times New Roman" w:hAnsi="Times New Roman" w:eastAsia="仿宋_GB2312"/>
          <w:sz w:val="32"/>
          <w:szCs w:val="32"/>
        </w:rPr>
        <w:t>、水电费等日常公用经费</w:t>
      </w:r>
      <w:r>
        <w:rPr>
          <w:rFonts w:hint="eastAsia" w:ascii="Times New Roman" w:hAnsi="Times New Roman"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2.社会保障和就业（类）行政事业单位养老支出（款）事业单位离退休（项）2024年预算数为16万元，主要用于：本单位离退休人员经费支出。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2" w:name="_Toc21718"/>
      <w:r>
        <w:rPr>
          <w:rFonts w:hint="eastAsia" w:ascii="黑体" w:hAnsi="黑体" w:eastAsia="黑体" w:cs="黑体"/>
          <w:sz w:val="32"/>
          <w:szCs w:val="32"/>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机关幼儿园2024年一般公共预算基本支出468.1万元，其中：人员经费468.1万元，主要包括：基本工资、津贴补贴、奖金、社会保险缴费、住房公积金等支出。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2958"/>
      <w:r>
        <w:rPr>
          <w:rFonts w:hint="eastAsia" w:ascii="黑体" w:hAnsi="黑体" w:eastAsia="黑体" w:cs="黑体"/>
          <w:sz w:val="32"/>
          <w:szCs w:val="32"/>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rPr>
          <w:rFonts w:hint="eastAsia" w:ascii="楷体_GB2312" w:hAnsi="楷体_GB2312" w:eastAsia="楷体_GB2312" w:cs="楷体_GB2312"/>
          <w:sz w:val="32"/>
          <w:szCs w:val="32"/>
          <w:lang w:val="en-US" w:eastAsia="zh-CN"/>
        </w:rPr>
      </w:pPr>
      <w:r>
        <w:rPr>
          <w:rFonts w:hint="eastAsia" w:ascii="仿宋_GB2312" w:hAnsi="仿宋_GB2312" w:eastAsia="仿宋_GB2312" w:cs="仿宋_GB2312"/>
          <w:sz w:val="32"/>
          <w:szCs w:val="32"/>
          <w:lang w:val="en-US" w:eastAsia="zh-CN"/>
        </w:rPr>
        <w:t>机关幼儿园2024年“三公”经费财政拨款预算数0万元。</w:t>
      </w:r>
      <w:r>
        <w:rPr>
          <w:rFonts w:hint="eastAsia" w:ascii="楷体_GB2312" w:hAnsi="楷体_GB2312" w:eastAsia="楷体_GB2312" w:cs="楷体_GB2312"/>
          <w:sz w:val="32"/>
          <w:szCs w:val="32"/>
          <w:lang w:val="en-US" w:eastAsia="zh-CN"/>
        </w:rPr>
        <w:t>（一）公务接待费</w:t>
      </w:r>
    </w:p>
    <w:p>
      <w:pPr>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32196"/>
      <w:r>
        <w:rPr>
          <w:rFonts w:hint="eastAsia" w:ascii="楷体_GB2312" w:hAnsi="楷体_GB2312" w:eastAsia="楷体_GB2312" w:cs="楷体_GB2312"/>
          <w:sz w:val="32"/>
          <w:szCs w:val="32"/>
          <w:lang w:val="en-US" w:eastAsia="zh-CN"/>
        </w:rPr>
        <w:t>公务用车购置及运行维护费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2024年安排公务用车运行维护费0万元。</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bookmarkStart w:id="15" w:name="_Toc29000"/>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5"/>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outlineLvl w:val="0"/>
        <w:rPr>
          <w:rFonts w:hint="eastAsia" w:ascii="黑体" w:hAnsi="黑体" w:eastAsia="黑体" w:cs="黑体"/>
          <w:sz w:val="32"/>
          <w:szCs w:val="32"/>
          <w:lang w:val="en-US" w:eastAsia="zh-CN"/>
        </w:rPr>
      </w:pPr>
      <w:bookmarkStart w:id="16" w:name="_Toc20616"/>
      <w:r>
        <w:rPr>
          <w:rFonts w:hint="eastAsia" w:ascii="黑体" w:hAnsi="黑体" w:eastAsia="黑体" w:cs="黑体"/>
          <w:sz w:val="32"/>
          <w:szCs w:val="32"/>
          <w:lang w:val="en-US" w:eastAsia="zh-CN"/>
        </w:rPr>
        <w:t>八、政府性基金预算支出情况说明</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机关幼儿园2024年政府性基金预算拨款安排的支出0万元。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6993"/>
      <w:r>
        <w:rPr>
          <w:rFonts w:hint="eastAsia" w:ascii="黑体" w:hAnsi="黑体" w:eastAsia="黑体" w:cs="黑体"/>
          <w:sz w:val="32"/>
          <w:szCs w:val="32"/>
          <w:lang w:val="en-US" w:eastAsia="zh-CN"/>
        </w:rPr>
        <w:t>九、国有资本经营预算支出情况说明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机关幼儿园2024年无国有资本经营预算拨款安排的支出。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8" w:name="_Toc32648"/>
      <w:r>
        <w:rPr>
          <w:rFonts w:hint="eastAsia" w:ascii="黑体" w:hAnsi="黑体" w:eastAsia="黑体" w:cs="黑体"/>
          <w:sz w:val="32"/>
          <w:szCs w:val="32"/>
          <w:lang w:val="en-US" w:eastAsia="zh-CN"/>
        </w:rPr>
        <w:t>十、其他重要事项的情况说明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9" w:name="_Toc19101"/>
      <w:r>
        <w:rPr>
          <w:rFonts w:hint="eastAsia" w:ascii="楷体_GB2312" w:hAnsi="楷体_GB2312" w:eastAsia="楷体_GB2312" w:cs="楷体_GB2312"/>
          <w:sz w:val="32"/>
          <w:szCs w:val="32"/>
          <w:lang w:val="en-US" w:eastAsia="zh-CN"/>
        </w:rPr>
        <w:t>（一）机关运行经费</w:t>
      </w:r>
      <w:bookmarkEnd w:id="19"/>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cs="Times New Roman"/>
          <w:i w:val="0"/>
          <w:caps w:val="0"/>
          <w:color w:val="333333"/>
          <w:spacing w:val="0"/>
          <w:sz w:val="32"/>
          <w:szCs w:val="32"/>
        </w:rPr>
      </w:pPr>
      <w:r>
        <w:rPr>
          <w:rFonts w:hint="eastAsia" w:ascii="仿宋_GB2312" w:hAnsi="仿宋_GB2312" w:eastAsia="仿宋_GB2312" w:cs="仿宋_GB2312"/>
          <w:sz w:val="32"/>
          <w:szCs w:val="32"/>
          <w:lang w:val="en-US" w:eastAsia="zh-CN"/>
        </w:rPr>
        <w:t>2024年，</w:t>
      </w:r>
      <w:r>
        <w:rPr>
          <w:rFonts w:hint="default" w:ascii="仿宋_GB2312" w:hAnsi="Times New Roman" w:eastAsia="仿宋_GB2312" w:cs="仿宋_GB2312"/>
          <w:i w:val="0"/>
          <w:caps w:val="0"/>
          <w:color w:val="333333"/>
          <w:spacing w:val="0"/>
          <w:kern w:val="0"/>
          <w:sz w:val="32"/>
          <w:szCs w:val="32"/>
          <w:shd w:val="clear" w:color="auto" w:fill="FFFFFF"/>
          <w:lang w:eastAsia="zh-CN" w:bidi="ar"/>
        </w:rPr>
        <w:t>机关幼儿园</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属于公益二类事业单位无机关运行经费。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29157"/>
      <w:r>
        <w:rPr>
          <w:rFonts w:hint="eastAsia" w:ascii="楷体_GB2312" w:hAnsi="楷体_GB2312" w:eastAsia="楷体_GB2312" w:cs="楷体_GB2312"/>
          <w:sz w:val="32"/>
          <w:szCs w:val="32"/>
          <w:lang w:val="en-US" w:eastAsia="zh-CN"/>
        </w:rPr>
        <w:t>（二）政府采购情况</w:t>
      </w:r>
      <w:bookmarkEnd w:id="2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cs="Times New Roman"/>
          <w:i w:val="0"/>
          <w:caps w:val="0"/>
          <w:color w:val="333333"/>
          <w:spacing w:val="0"/>
          <w:sz w:val="32"/>
          <w:szCs w:val="32"/>
        </w:rPr>
      </w:pPr>
      <w:r>
        <w:rPr>
          <w:rFonts w:hint="eastAsia" w:ascii="仿宋_GB2312" w:hAnsi="仿宋_GB2312" w:eastAsia="仿宋_GB2312" w:cs="仿宋_GB2312"/>
          <w:sz w:val="32"/>
          <w:szCs w:val="32"/>
          <w:lang w:val="en-US" w:eastAsia="zh-CN"/>
        </w:rPr>
        <w:t>2</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024年，</w:t>
      </w:r>
      <w:r>
        <w:rPr>
          <w:rFonts w:hint="default" w:ascii="仿宋_GB2312" w:hAnsi="Times New Roman" w:eastAsia="仿宋_GB2312" w:cs="仿宋_GB2312"/>
          <w:i w:val="0"/>
          <w:caps w:val="0"/>
          <w:color w:val="333333"/>
          <w:spacing w:val="0"/>
          <w:kern w:val="0"/>
          <w:sz w:val="32"/>
          <w:szCs w:val="32"/>
          <w:shd w:val="clear" w:color="auto" w:fill="FFFFFF"/>
          <w:lang w:eastAsia="zh-CN" w:bidi="ar"/>
        </w:rPr>
        <w:t>机关幼儿园</w:t>
      </w:r>
      <w:r>
        <w:rPr>
          <w:rFonts w:hint="eastAsia" w:ascii="仿宋_GB2312" w:hAnsi="Times New Roman" w:eastAsia="仿宋_GB2312" w:cs="仿宋_GB2312"/>
          <w:i w:val="0"/>
          <w:caps w:val="0"/>
          <w:color w:val="333333"/>
          <w:spacing w:val="0"/>
          <w:kern w:val="0"/>
          <w:sz w:val="32"/>
          <w:szCs w:val="32"/>
          <w:shd w:val="clear" w:color="auto" w:fill="FFFFFF"/>
          <w:lang w:eastAsia="zh-CN" w:bidi="ar"/>
        </w:rPr>
        <w:t>未</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安排政府采购预算</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21350"/>
      <w:r>
        <w:rPr>
          <w:rFonts w:hint="eastAsia" w:ascii="楷体_GB2312" w:hAnsi="楷体_GB2312" w:eastAsia="楷体_GB2312" w:cs="楷体_GB2312"/>
          <w:sz w:val="32"/>
          <w:szCs w:val="32"/>
          <w:lang w:val="en-US" w:eastAsia="zh-CN"/>
        </w:rPr>
        <w:t>（三）国有资产占有使用情况</w:t>
      </w:r>
      <w:bookmarkEnd w:id="21"/>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截至2023年底，</w:t>
      </w:r>
      <w:r>
        <w:rPr>
          <w:rFonts w:hint="default" w:ascii="仿宋_GB2312" w:hAnsi="Times New Roman" w:eastAsia="仿宋_GB2312" w:cs="仿宋_GB2312"/>
          <w:i w:val="0"/>
          <w:caps w:val="0"/>
          <w:color w:val="333333"/>
          <w:spacing w:val="0"/>
          <w:kern w:val="0"/>
          <w:sz w:val="32"/>
          <w:szCs w:val="32"/>
          <w:shd w:val="clear" w:color="auto" w:fill="FFFFFF"/>
          <w:lang w:eastAsia="zh-CN" w:bidi="ar"/>
        </w:rPr>
        <w:t>机关幼儿园</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共有车辆</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辆，单位无价值200万元以上大型设备。</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2024单位预算未安排购置车辆及单位价值200万元以上大型设备。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2" w:name="_Toc5638"/>
      <w:r>
        <w:rPr>
          <w:rFonts w:hint="eastAsia" w:ascii="楷体_GB2312" w:hAnsi="楷体_GB2312" w:eastAsia="楷体_GB2312" w:cs="楷体_GB2312"/>
          <w:sz w:val="32"/>
          <w:szCs w:val="32"/>
          <w:lang w:val="en-US" w:eastAsia="zh-CN"/>
        </w:rPr>
        <w:t>（四）绩效目标设置情况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机关幼儿园开展绩效目标管理的项目2个，涉及预算243.34万元。其中：人员类项目0个，涉及预算0万元；运转类项目2个，涉及预算243.34万元；特定目标类项目0个，涉及预算0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3" w:name="_Toc4398"/>
      <w:r>
        <w:rPr>
          <w:rFonts w:hint="eastAsia" w:ascii="黑体" w:hAnsi="黑体" w:eastAsia="黑体" w:cs="黑体"/>
          <w:sz w:val="32"/>
          <w:szCs w:val="32"/>
          <w:lang w:val="en-US" w:eastAsia="zh-CN"/>
        </w:rPr>
        <w:t>十一、名词解释</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（二）教育支出（类）普通教育（款）学前教育（项）：</w:t>
      </w:r>
      <w:r>
        <w:rPr>
          <w:rFonts w:hint="eastAsia" w:ascii="仿宋_GB2312" w:hAnsi="仿宋_GB2312" w:eastAsia="仿宋_GB2312" w:cs="仿宋_GB2312"/>
          <w:sz w:val="32"/>
          <w:szCs w:val="32"/>
          <w:lang w:val="en-US" w:eastAsia="zh-CN"/>
        </w:rPr>
        <w:t>指学前教育发展的基本支出，包括基本工资、津贴补贴等人员经费以及办公费、印刷费、水电费等日常公用经费。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（三）社会保障和就业（类）行政事业单位养老支出（款）事业单位离退休（项）：</w:t>
      </w:r>
      <w:r>
        <w:rPr>
          <w:rFonts w:hint="eastAsia" w:ascii="仿宋_GB2312" w:hAnsi="仿宋_GB2312" w:eastAsia="仿宋_GB2312" w:cs="仿宋_GB2312"/>
          <w:sz w:val="32"/>
          <w:szCs w:val="32"/>
          <w:lang w:val="en-US" w:eastAsia="zh-CN"/>
        </w:rPr>
        <w:t>指事业单位离退休人员的支出。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（四）基本支出：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（五）项目支出：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（六）“三公”经费：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hAnsi="仿宋_GB2312" w:eastAsia="仿宋_GB2312" w:cs="仿宋_GB2312"/>
          <w:sz w:val="32"/>
          <w:szCs w:val="32"/>
          <w:lang w:val="en-US" w:eastAsia="zh-CN"/>
        </w:rPr>
        <w:br w:type="textWrapping"/>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附件：1.部门预算公开表</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1600" w:leftChars="0"/>
        <w:textAlignment w:val="auto"/>
        <w:outlineLvl w:val="1"/>
        <w:rPr>
          <w:rFonts w:hint="eastAsia" w:ascii="仿宋_GB2312" w:hAnsi="仿宋_GB2312" w:eastAsia="仿宋_GB2312" w:cs="仿宋_GB2312"/>
          <w:sz w:val="32"/>
          <w:szCs w:val="32"/>
          <w:lang w:val="en-US" w:eastAsia="zh-CN"/>
        </w:rPr>
      </w:pPr>
      <w:bookmarkStart w:id="24" w:name="_Toc11604"/>
      <w:r>
        <w:rPr>
          <w:rFonts w:hint="eastAsia" w:ascii="仿宋_GB2312" w:hAnsi="仿宋_GB2312" w:eastAsia="仿宋_GB2312" w:cs="仿宋_GB2312"/>
          <w:sz w:val="32"/>
          <w:szCs w:val="32"/>
          <w:lang w:val="en-US" w:eastAsia="zh-CN"/>
        </w:rPr>
        <w:t>2.项目支出绩效目标表</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Vijay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DA65A7"/>
    <w:multiLevelType w:val="singleLevel"/>
    <w:tmpl w:val="4EDA65A7"/>
    <w:lvl w:ilvl="0" w:tentative="0">
      <w:start w:val="2"/>
      <w:numFmt w:val="chineseCounting"/>
      <w:suff w:val="nothing"/>
      <w:lvlText w:val="（%1）"/>
      <w:lvlJc w:val="left"/>
      <w:pPr>
        <w:ind w:left="-10"/>
      </w:pPr>
      <w:rPr>
        <w:rFonts w:hint="eastAsia"/>
      </w:rPr>
    </w:lvl>
  </w:abstractNum>
  <w:abstractNum w:abstractNumId="1">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35C6DF3"/>
    <w:rsid w:val="0575419C"/>
    <w:rsid w:val="06593BE4"/>
    <w:rsid w:val="07A8437E"/>
    <w:rsid w:val="09C35E1E"/>
    <w:rsid w:val="11874169"/>
    <w:rsid w:val="169F376F"/>
    <w:rsid w:val="17877C01"/>
    <w:rsid w:val="180A3AE6"/>
    <w:rsid w:val="1A887A84"/>
    <w:rsid w:val="1F464788"/>
    <w:rsid w:val="1F7BF06F"/>
    <w:rsid w:val="1FEE4B73"/>
    <w:rsid w:val="2164183D"/>
    <w:rsid w:val="23AE762E"/>
    <w:rsid w:val="23CE9849"/>
    <w:rsid w:val="264B2FCC"/>
    <w:rsid w:val="2B2A58B3"/>
    <w:rsid w:val="2B7E52A9"/>
    <w:rsid w:val="2F927575"/>
    <w:rsid w:val="307C2D29"/>
    <w:rsid w:val="347A4DEB"/>
    <w:rsid w:val="34FA62E8"/>
    <w:rsid w:val="35441312"/>
    <w:rsid w:val="38156BD2"/>
    <w:rsid w:val="382D0783"/>
    <w:rsid w:val="38CE7918"/>
    <w:rsid w:val="39241B86"/>
    <w:rsid w:val="399F745E"/>
    <w:rsid w:val="39F304DD"/>
    <w:rsid w:val="3A176FF5"/>
    <w:rsid w:val="40D140DE"/>
    <w:rsid w:val="41A2189A"/>
    <w:rsid w:val="43D67F21"/>
    <w:rsid w:val="44A616A1"/>
    <w:rsid w:val="45554E75"/>
    <w:rsid w:val="46FA4C31"/>
    <w:rsid w:val="48315726"/>
    <w:rsid w:val="4F9F1B0F"/>
    <w:rsid w:val="54244390"/>
    <w:rsid w:val="54662A63"/>
    <w:rsid w:val="58064E12"/>
    <w:rsid w:val="5903310E"/>
    <w:rsid w:val="5BFEE015"/>
    <w:rsid w:val="5CD84061"/>
    <w:rsid w:val="5F4F0E5B"/>
    <w:rsid w:val="63EDCF55"/>
    <w:rsid w:val="63FBFBCF"/>
    <w:rsid w:val="669360FD"/>
    <w:rsid w:val="66DE0D17"/>
    <w:rsid w:val="67C223E6"/>
    <w:rsid w:val="680C5410"/>
    <w:rsid w:val="68594AF9"/>
    <w:rsid w:val="68776D2D"/>
    <w:rsid w:val="68FF6A83"/>
    <w:rsid w:val="6A687275"/>
    <w:rsid w:val="6FBBC9CF"/>
    <w:rsid w:val="70730722"/>
    <w:rsid w:val="70EC5DDE"/>
    <w:rsid w:val="72BDE561"/>
    <w:rsid w:val="7820118F"/>
    <w:rsid w:val="78462278"/>
    <w:rsid w:val="785E1CB7"/>
    <w:rsid w:val="78DC5BB1"/>
    <w:rsid w:val="7997EA6C"/>
    <w:rsid w:val="79EE2BC7"/>
    <w:rsid w:val="7A7255A6"/>
    <w:rsid w:val="7AEAE675"/>
    <w:rsid w:val="7BAFCE5D"/>
    <w:rsid w:val="7C523723"/>
    <w:rsid w:val="7D46598C"/>
    <w:rsid w:val="7DFB240B"/>
    <w:rsid w:val="7E0935ED"/>
    <w:rsid w:val="7FB14DC3"/>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2">
    <w:name w:val="heading 2"/>
    <w:basedOn w:val="1"/>
    <w:next w:val="1"/>
    <w:autoRedefine/>
    <w:qFormat/>
    <w:uiPriority w:val="0"/>
    <w:pPr>
      <w:keepNext/>
      <w:keepLines/>
      <w:spacing w:before="260" w:beforeLines="0" w:after="260" w:afterLines="0" w:line="416" w:lineRule="auto"/>
      <w:outlineLvl w:val="1"/>
    </w:pPr>
    <w:rPr>
      <w:rFonts w:ascii="Cambria" w:hAnsi="Cambria" w:cs="Cambria"/>
      <w:b/>
      <w:bCs/>
      <w:sz w:val="32"/>
      <w:szCs w:val="32"/>
    </w:rPr>
  </w:style>
  <w:style w:type="character" w:default="1" w:styleId="10">
    <w:name w:val="Default Paragraph Font"/>
    <w:autoRedefine/>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caption"/>
    <w:basedOn w:val="1"/>
    <w:autoRedefine/>
    <w:qFormat/>
    <w:uiPriority w:val="0"/>
    <w:pPr>
      <w:widowControl w:val="0"/>
      <w:suppressLineNumbers/>
      <w:suppressAutoHyphens/>
      <w:spacing w:before="120" w:after="120"/>
    </w:pPr>
    <w:rPr>
      <w:i/>
      <w:iCs/>
      <w:sz w:val="24"/>
      <w:szCs w:val="24"/>
    </w:rPr>
  </w:style>
  <w:style w:type="paragraph" w:styleId="4">
    <w:name w:val="Body Text"/>
    <w:basedOn w:val="1"/>
    <w:autoRedefine/>
    <w:qFormat/>
    <w:uiPriority w:val="0"/>
    <w:pPr>
      <w:spacing w:before="0" w:after="140" w:line="276" w:lineRule="auto"/>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autoRedefine/>
    <w:qFormat/>
    <w:uiPriority w:val="0"/>
  </w:style>
  <w:style w:type="paragraph" w:styleId="8">
    <w:name w:val="Normal (Web)"/>
    <w:basedOn w:val="1"/>
    <w:autoRedefine/>
    <w:qFormat/>
    <w:uiPriority w:val="0"/>
    <w:rPr>
      <w:sz w:val="24"/>
    </w:rPr>
  </w:style>
  <w:style w:type="character" w:customStyle="1" w:styleId="11">
    <w:name w:val="默认段落字体1"/>
    <w:autoRedefine/>
    <w:qFormat/>
    <w:uiPriority w:val="0"/>
  </w:style>
  <w:style w:type="paragraph" w:customStyle="1" w:styleId="12">
    <w:name w:val="Heading"/>
    <w:basedOn w:val="1"/>
    <w:next w:val="4"/>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autoRedefine/>
    <w:qFormat/>
    <w:uiPriority w:val="0"/>
    <w:pPr>
      <w:widowControl w:val="0"/>
      <w:suppressLineNumbers/>
      <w:suppressAutoHyphens/>
    </w:pPr>
  </w:style>
  <w:style w:type="paragraph" w:customStyle="1" w:styleId="14">
    <w:name w:val="WPSOffice手动目录 1"/>
    <w:autoRedefine/>
    <w:qFormat/>
    <w:uiPriority w:val="0"/>
    <w:pPr>
      <w:ind w:leftChars="0"/>
    </w:pPr>
    <w:rPr>
      <w:rFonts w:ascii="Times New Roman" w:hAnsi="Times New Roman" w:eastAsia="宋体" w:cs="Times New Roman"/>
      <w:sz w:val="20"/>
      <w:szCs w:val="20"/>
    </w:rPr>
  </w:style>
  <w:style w:type="paragraph" w:customStyle="1" w:styleId="15">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111</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2024-04-09T08:11:22Z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470A6E96E19545A9AD5036CF667C19AF_13</vt:lpwstr>
  </property>
</Properties>
</file>