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outlineLvl w:val="0"/>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Toc4300"/>
      <w:bookmarkStart w:id="1" w:name="_Toc11127"/>
      <w:bookmarkStart w:id="2" w:name="_Toc29770"/>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t>广元市昭化区红岩镇沙坝小学</w:t>
      </w:r>
      <w:bookmarkEnd w:id="0"/>
      <w:bookmarkEnd w:id="1"/>
      <w:bookmarkEnd w:id="2"/>
    </w:p>
    <w:p>
      <w:pPr>
        <w:widowControl/>
        <w:shd w:val="clear" w:color="auto" w:fill="FFFFFF"/>
        <w:spacing w:line="580" w:lineRule="atLeast"/>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t>单位</w:t>
      </w: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预算编制说明</w:t>
      </w:r>
    </w:p>
    <w:sdt>
      <w:sdtPr>
        <w:rPr>
          <w:rFonts w:hint="eastAsia" w:ascii="方正仿宋_GB2312" w:hAnsi="方正仿宋_GB2312" w:eastAsia="方正仿宋_GB2312" w:cs="方正仿宋_GB2312"/>
          <w:kern w:val="2"/>
          <w:sz w:val="32"/>
          <w:szCs w:val="32"/>
          <w:lang w:val="en-US" w:eastAsia="zh-CN" w:bidi="ar-SA"/>
        </w:rPr>
        <w:id w:val="147463369"/>
        <w15:color w:val="DBDBDB"/>
        <w:docPartObj>
          <w:docPartGallery w:val="Table of Contents"/>
          <w:docPartUnique/>
        </w:docPartObj>
      </w:sdtPr>
      <w:sdtEndPr>
        <w:rPr>
          <w:rFonts w:hint="eastAsia" w:ascii="方正仿宋_GB2312" w:hAnsi="方正仿宋_GB2312" w:eastAsia="方正仿宋_GB2312" w:cs="方正仿宋_GB2312"/>
          <w:b/>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目录</w:t>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TOC \o "1-2" \h \u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_Toc14691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一、基本职能及主要工作</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_Toc14691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3</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_Toc16936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（一）</w:t>
          </w:r>
          <w:r>
            <w:rPr>
              <w:rFonts w:hint="eastAsia" w:ascii="方正仿宋_GB2312" w:hAnsi="方正仿宋_GB2312" w:eastAsia="方正仿宋_GB2312" w:cs="方正仿宋_GB2312"/>
              <w:sz w:val="32"/>
              <w:szCs w:val="32"/>
              <w:lang w:val="en-US" w:eastAsia="zh-CN"/>
            </w:rPr>
            <w:t>单位</w:t>
          </w:r>
          <w:r>
            <w:rPr>
              <w:rFonts w:hint="eastAsia" w:ascii="方正仿宋_GB2312" w:hAnsi="方正仿宋_GB2312" w:eastAsia="方正仿宋_GB2312" w:cs="方正仿宋_GB2312"/>
              <w:sz w:val="32"/>
              <w:szCs w:val="32"/>
            </w:rPr>
            <w:t>职能简介</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_Toc16936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_Toc410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bCs/>
              <w:sz w:val="32"/>
              <w:szCs w:val="32"/>
            </w:rPr>
            <w:t>（二）2024年重点工作</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_Toc410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4</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_Toc20530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二、部门预算单位构成</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_Toc20530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_Toc12049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三、收支预算情况说明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_Toc12049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_Toc7728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（一）收入预算情况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_Toc7728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_Toc10898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二）支出预算情况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_Toc10898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_Toc16730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四、财政拨款收支预算情况说明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_Toc16730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_Toc11687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kern w:val="2"/>
              <w:sz w:val="32"/>
              <w:szCs w:val="32"/>
              <w:lang w:val="en-US" w:eastAsia="zh-CN" w:bidi="ar-SA"/>
            </w:rPr>
            <w:t>五、</w:t>
          </w:r>
          <w:r>
            <w:rPr>
              <w:rFonts w:hint="eastAsia" w:ascii="方正仿宋_GB2312" w:hAnsi="方正仿宋_GB2312" w:eastAsia="方正仿宋_GB2312" w:cs="方正仿宋_GB2312"/>
              <w:b/>
              <w:sz w:val="32"/>
              <w:szCs w:val="32"/>
            </w:rPr>
            <w:t>一般公共预算当年拨款情况说明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_Toc11687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7</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_Toc27011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（一）一般公共预算当年拨款规模变化情况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_Toc27011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_Toc15259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二）一般公共预算当年拨款结构情况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_Toc15259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_Toc23677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（三）一般公共预算当年拨款具体使用情况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_Toc23677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_Toc31685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六、一般公共预算基本支出情况说明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_Toc31685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7</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_Toc467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kern w:val="2"/>
              <w:sz w:val="32"/>
              <w:szCs w:val="32"/>
              <w:lang w:val="en-US" w:eastAsia="zh-CN" w:bidi="ar-SA"/>
            </w:rPr>
            <w:t>七、</w:t>
          </w:r>
          <w:r>
            <w:rPr>
              <w:rFonts w:hint="eastAsia" w:ascii="方正仿宋_GB2312" w:hAnsi="方正仿宋_GB2312" w:eastAsia="方正仿宋_GB2312" w:cs="方正仿宋_GB2312"/>
              <w:b/>
              <w:sz w:val="32"/>
              <w:szCs w:val="32"/>
            </w:rPr>
            <w:t>“三公”经费财政拨款预算安排情况说明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_Toc467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8</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_Toc18157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lang w:val="en-US" w:eastAsia="zh-CN"/>
            </w:rPr>
            <w:t>八、</w:t>
          </w:r>
          <w:r>
            <w:rPr>
              <w:rFonts w:hint="eastAsia" w:ascii="方正仿宋_GB2312" w:hAnsi="方正仿宋_GB2312" w:eastAsia="方正仿宋_GB2312" w:cs="方正仿宋_GB2312"/>
              <w:b/>
              <w:sz w:val="32"/>
              <w:szCs w:val="32"/>
            </w:rPr>
            <w:t>“政府性基金预算支出情况说明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_Toc18157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8</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_Toc10499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bCs w:val="0"/>
              <w:kern w:val="2"/>
              <w:sz w:val="32"/>
              <w:szCs w:val="32"/>
              <w:lang w:val="en-US" w:eastAsia="zh-CN" w:bidi="ar-SA"/>
            </w:rPr>
            <w:t>九、</w:t>
          </w:r>
          <w:r>
            <w:rPr>
              <w:rFonts w:hint="eastAsia" w:ascii="方正仿宋_GB2312" w:hAnsi="方正仿宋_GB2312" w:eastAsia="方正仿宋_GB2312" w:cs="方正仿宋_GB2312"/>
              <w:b/>
              <w:sz w:val="32"/>
              <w:szCs w:val="32"/>
              <w:lang w:val="en-US" w:eastAsia="zh-CN"/>
            </w:rPr>
            <w:t>国有资本经营预算支出情况说明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_Toc10499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8</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_Toc2309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kern w:val="2"/>
              <w:sz w:val="32"/>
              <w:szCs w:val="32"/>
              <w:lang w:val="en-US" w:eastAsia="zh-CN" w:bidi="ar-SA"/>
            </w:rPr>
            <w:t>十、</w:t>
          </w:r>
          <w:r>
            <w:rPr>
              <w:rFonts w:hint="eastAsia" w:ascii="方正仿宋_GB2312" w:hAnsi="方正仿宋_GB2312" w:eastAsia="方正仿宋_GB2312" w:cs="方正仿宋_GB2312"/>
              <w:b/>
              <w:sz w:val="32"/>
              <w:szCs w:val="32"/>
              <w:lang w:val="en-US" w:eastAsia="zh-CN"/>
            </w:rPr>
            <w:t>其他重要事项的</w:t>
          </w:r>
          <w:r>
            <w:rPr>
              <w:rFonts w:hint="eastAsia" w:ascii="方正仿宋_GB2312" w:hAnsi="方正仿宋_GB2312" w:eastAsia="方正仿宋_GB2312" w:cs="方正仿宋_GB2312"/>
              <w:b/>
              <w:sz w:val="32"/>
              <w:szCs w:val="32"/>
            </w:rPr>
            <w:t>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_Toc2309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8</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5"/>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HYPERLINK \l _Toc29424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十一、 名词解释</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_Toc29424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9</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sz w:val="32"/>
              <w:szCs w:val="32"/>
            </w:rPr>
            <w:fldChar w:fldCharType="end"/>
          </w: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pPr>
            <w:pStyle w:val="16"/>
            <w:tabs>
              <w:tab w:val="right" w:leader="dot" w:pos="8845"/>
            </w:tabs>
            <w:rPr>
              <w:rFonts w:hint="eastAsia" w:ascii="方正仿宋_GB2312" w:hAnsi="方正仿宋_GB2312" w:eastAsia="方正仿宋_GB2312" w:cs="方正仿宋_GB2312"/>
              <w:sz w:val="32"/>
              <w:szCs w:val="32"/>
            </w:rPr>
          </w:pPr>
        </w:p>
        <w:p>
          <w:r>
            <w:rPr>
              <w:rFonts w:hint="eastAsia" w:ascii="方正仿宋_GB2312" w:hAnsi="方正仿宋_GB2312" w:eastAsia="方正仿宋_GB2312" w:cs="方正仿宋_GB2312"/>
              <w:b/>
              <w:sz w:val="32"/>
              <w:szCs w:val="32"/>
            </w:rPr>
            <w:fldChar w:fldCharType="end"/>
          </w:r>
        </w:p>
      </w:sdtContent>
    </w:sdt>
    <w:p>
      <w:pPr>
        <w:pStyle w:val="8"/>
        <w:widowControl/>
        <w:shd w:val="clear" w:color="auto" w:fill="FFFFFF"/>
        <w:spacing w:before="130" w:line="580" w:lineRule="atLeast"/>
        <w:rPr>
          <w:rFonts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pPr>
        <w:pStyle w:val="8"/>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8"/>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8"/>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outlineLvl w:val="0"/>
        <w:rPr>
          <w:rFonts w:ascii="黑体" w:hAnsi="黑体" w:eastAsia="黑体" w:cs="黑体"/>
          <w:sz w:val="32"/>
          <w:szCs w:val="32"/>
        </w:rPr>
      </w:pPr>
      <w:bookmarkStart w:id="3" w:name="_Toc14691"/>
      <w:r>
        <w:rPr>
          <w:rFonts w:hint="eastAsia" w:ascii="黑体" w:hAnsi="黑体" w:eastAsia="黑体" w:cs="黑体"/>
          <w:sz w:val="32"/>
          <w:szCs w:val="32"/>
        </w:rPr>
        <w:t>一、基本职能及主要工作</w:t>
      </w:r>
      <w:bookmarkEnd w:id="3"/>
    </w:p>
    <w:p>
      <w:pPr>
        <w:pStyle w:val="8"/>
        <w:widowControl/>
        <w:spacing w:before="120" w:line="600" w:lineRule="exact"/>
        <w:ind w:firstLine="660"/>
        <w:outlineLvl w:val="1"/>
        <w:rPr>
          <w:rFonts w:hint="eastAsia" w:ascii="楷体_GB2312" w:hAnsi="微软雅黑" w:eastAsia="楷体_GB2312" w:cs="楷体_GB2312"/>
          <w:b/>
          <w:sz w:val="32"/>
          <w:szCs w:val="32"/>
        </w:rPr>
      </w:pPr>
      <w:bookmarkStart w:id="4" w:name="_Toc16936"/>
      <w:r>
        <w:rPr>
          <w:rFonts w:hint="eastAsia" w:ascii="楷体_GB2312" w:hAnsi="微软雅黑" w:eastAsia="楷体_GB2312" w:cs="楷体_GB2312"/>
          <w:b/>
          <w:sz w:val="32"/>
          <w:szCs w:val="32"/>
        </w:rPr>
        <w:t>（</w:t>
      </w:r>
      <w:r>
        <w:rPr>
          <w:rFonts w:ascii="楷体_GB2312" w:hAnsi="微软雅黑" w:eastAsia="楷体_GB2312" w:cs="楷体_GB2312"/>
          <w:b/>
          <w:sz w:val="32"/>
          <w:szCs w:val="32"/>
        </w:rPr>
        <w:t>一）</w:t>
      </w:r>
      <w:r>
        <w:rPr>
          <w:rFonts w:hint="eastAsia" w:ascii="楷体_GB2312" w:hAnsi="微软雅黑" w:eastAsia="楷体_GB2312" w:cs="楷体_GB2312"/>
          <w:b/>
          <w:sz w:val="32"/>
          <w:szCs w:val="32"/>
          <w:lang w:val="en-US" w:eastAsia="zh-CN"/>
        </w:rPr>
        <w:t>单位</w:t>
      </w:r>
      <w:r>
        <w:rPr>
          <w:rFonts w:ascii="楷体_GB2312" w:hAnsi="微软雅黑" w:eastAsia="楷体_GB2312" w:cs="楷体_GB2312"/>
          <w:b/>
          <w:sz w:val="32"/>
          <w:szCs w:val="32"/>
        </w:rPr>
        <w:t>职能简介</w:t>
      </w:r>
      <w:bookmarkEnd w:id="4"/>
    </w:p>
    <w:p>
      <w:pPr>
        <w:pStyle w:val="4"/>
        <w:adjustRightInd w:val="0"/>
        <w:spacing w:line="500" w:lineRule="exact"/>
        <w:ind w:firstLine="640" w:firstLineChars="200"/>
        <w:outlineLvl w:val="2"/>
        <w:rPr>
          <w:rFonts w:ascii="仿宋" w:hAnsi="仿宋" w:eastAsia="仿宋"/>
          <w:sz w:val="32"/>
          <w:szCs w:val="32"/>
        </w:rPr>
      </w:pPr>
      <w:r>
        <w:rPr>
          <w:rFonts w:hint="eastAsia" w:ascii="仿宋" w:hAnsi="仿宋" w:eastAsia="仿宋"/>
          <w:sz w:val="32"/>
          <w:szCs w:val="32"/>
        </w:rPr>
        <w:t>1.认真贯彻党的教育方针，坚持社会主义办学方向，实行教育与生产劳动相结合，对学生进行德育、智育、体育、美育和劳动等方面的教育。</w:t>
      </w:r>
    </w:p>
    <w:p>
      <w:pPr>
        <w:pStyle w:val="4"/>
        <w:adjustRightInd w:val="0"/>
        <w:spacing w:line="500" w:lineRule="exact"/>
        <w:ind w:firstLine="640" w:firstLineChars="200"/>
        <w:outlineLvl w:val="2"/>
        <w:rPr>
          <w:rFonts w:hint="eastAsia" w:ascii="仿宋" w:hAnsi="仿宋" w:eastAsia="仿宋"/>
          <w:sz w:val="32"/>
          <w:szCs w:val="32"/>
        </w:rPr>
      </w:pPr>
      <w:r>
        <w:rPr>
          <w:rFonts w:hint="eastAsia" w:ascii="仿宋" w:hAnsi="仿宋" w:eastAsia="仿宋"/>
          <w:sz w:val="32"/>
          <w:szCs w:val="32"/>
        </w:rPr>
        <w:t>2.用科学的发展观指导教育教学工作。加强教育科研工作，推动校本教育的健康发展。加强教学管理，不断推进新课程改革，全面提高教学质量。</w:t>
      </w:r>
    </w:p>
    <w:p>
      <w:pPr>
        <w:pStyle w:val="4"/>
        <w:adjustRightInd w:val="0"/>
        <w:spacing w:line="500" w:lineRule="exact"/>
        <w:ind w:firstLine="640" w:firstLineChars="200"/>
        <w:outlineLvl w:val="2"/>
        <w:rPr>
          <w:rFonts w:hint="eastAsia" w:ascii="仿宋" w:hAnsi="仿宋" w:eastAsia="仿宋"/>
          <w:sz w:val="32"/>
          <w:szCs w:val="32"/>
        </w:rPr>
      </w:pPr>
      <w:r>
        <w:rPr>
          <w:rFonts w:hint="eastAsia" w:ascii="仿宋" w:hAnsi="仿宋" w:eastAsia="仿宋"/>
          <w:sz w:val="32"/>
          <w:szCs w:val="32"/>
        </w:rPr>
        <w:t>3.负责配合各级人民政府依法动员、组织适龄儿童、少年入学，严格控制学生辍学，依法保证适龄儿童、少年接受九年义务教育。</w:t>
      </w:r>
    </w:p>
    <w:p>
      <w:pPr>
        <w:pStyle w:val="4"/>
        <w:adjustRightInd w:val="0"/>
        <w:spacing w:line="500" w:lineRule="exact"/>
        <w:ind w:firstLine="640" w:firstLineChars="200"/>
        <w:outlineLvl w:val="2"/>
        <w:rPr>
          <w:rFonts w:hint="eastAsia" w:ascii="仿宋" w:hAnsi="仿宋" w:eastAsia="仿宋"/>
          <w:sz w:val="32"/>
          <w:szCs w:val="32"/>
        </w:rPr>
      </w:pPr>
      <w:r>
        <w:rPr>
          <w:rFonts w:hint="eastAsia" w:ascii="仿宋" w:hAnsi="仿宋" w:eastAsia="仿宋"/>
          <w:sz w:val="32"/>
          <w:szCs w:val="32"/>
        </w:rPr>
        <w:t>4.继续深化人事制度改革，完善学校内部管理，做好后勤保障工作。</w:t>
      </w:r>
    </w:p>
    <w:p>
      <w:pPr>
        <w:pStyle w:val="4"/>
        <w:adjustRightInd w:val="0"/>
        <w:spacing w:line="500" w:lineRule="exact"/>
        <w:ind w:firstLine="640" w:firstLineChars="200"/>
        <w:outlineLvl w:val="2"/>
        <w:rPr>
          <w:rFonts w:hint="eastAsia" w:ascii="仿宋" w:hAnsi="仿宋" w:eastAsia="仿宋"/>
          <w:sz w:val="32"/>
          <w:szCs w:val="32"/>
        </w:rPr>
      </w:pPr>
      <w:r>
        <w:rPr>
          <w:rFonts w:hint="eastAsia" w:ascii="仿宋" w:hAnsi="仿宋" w:eastAsia="仿宋"/>
          <w:sz w:val="32"/>
          <w:szCs w:val="32"/>
        </w:rPr>
        <w:t>5.负责科学管理、合理使用学校的设施和经费，并积极筹措资金，改善办学条件。</w:t>
      </w:r>
    </w:p>
    <w:p>
      <w:pPr>
        <w:pStyle w:val="4"/>
        <w:adjustRightInd w:val="0"/>
        <w:spacing w:line="500" w:lineRule="exact"/>
        <w:ind w:firstLine="640" w:firstLineChars="200"/>
        <w:outlineLvl w:val="2"/>
        <w:rPr>
          <w:rFonts w:hint="eastAsia" w:ascii="仿宋" w:hAnsi="仿宋" w:eastAsia="仿宋"/>
          <w:sz w:val="32"/>
          <w:szCs w:val="32"/>
        </w:rPr>
      </w:pPr>
      <w:r>
        <w:rPr>
          <w:rFonts w:hint="eastAsia" w:ascii="仿宋" w:hAnsi="仿宋" w:eastAsia="仿宋"/>
          <w:sz w:val="32"/>
          <w:szCs w:val="32"/>
        </w:rPr>
        <w:t>6.负责维护学校、师生的合法权益，有权拒绝任何组织和个人对教育教学活动进行非法干扰。</w:t>
      </w:r>
    </w:p>
    <w:p>
      <w:pPr>
        <w:pStyle w:val="4"/>
        <w:adjustRightInd w:val="0"/>
        <w:spacing w:line="500" w:lineRule="exact"/>
        <w:ind w:firstLine="640" w:firstLineChars="200"/>
        <w:outlineLvl w:val="2"/>
        <w:rPr>
          <w:rFonts w:hint="eastAsia" w:ascii="仿宋" w:hAnsi="仿宋" w:eastAsia="仿宋"/>
          <w:sz w:val="32"/>
          <w:szCs w:val="32"/>
        </w:rPr>
      </w:pPr>
      <w:r>
        <w:rPr>
          <w:rFonts w:hint="eastAsia" w:ascii="仿宋" w:hAnsi="仿宋" w:eastAsia="仿宋"/>
          <w:sz w:val="32"/>
          <w:szCs w:val="32"/>
        </w:rPr>
        <w:t>7.负责创建绿色校园、文明校园和平安校园。</w:t>
      </w:r>
    </w:p>
    <w:p>
      <w:pPr>
        <w:pStyle w:val="4"/>
        <w:adjustRightInd w:val="0"/>
        <w:spacing w:line="500" w:lineRule="exact"/>
        <w:ind w:firstLine="640" w:firstLineChars="200"/>
        <w:outlineLvl w:val="2"/>
        <w:rPr>
          <w:rFonts w:hint="eastAsia" w:ascii="仿宋" w:hAnsi="仿宋" w:eastAsia="仿宋"/>
          <w:sz w:val="32"/>
          <w:szCs w:val="32"/>
        </w:rPr>
      </w:pPr>
      <w:r>
        <w:rPr>
          <w:rFonts w:hint="eastAsia" w:ascii="仿宋" w:hAnsi="仿宋" w:eastAsia="仿宋"/>
          <w:sz w:val="32"/>
          <w:szCs w:val="32"/>
        </w:rPr>
        <w:t>8.负责关心教职工生活，发挥教代会职能作用。依法制定本校教师及其他职工出任办法并对教师及其他员工实施包括奖励、处分在内的具体管理活动。</w:t>
      </w:r>
    </w:p>
    <w:p>
      <w:pPr>
        <w:ind w:firstLine="640" w:firstLineChars="200"/>
        <w:rPr>
          <w:rFonts w:ascii="仿宋" w:hAnsi="仿宋" w:eastAsia="仿宋"/>
          <w:sz w:val="32"/>
          <w:szCs w:val="32"/>
        </w:rPr>
      </w:pPr>
      <w:r>
        <w:rPr>
          <w:rFonts w:hint="eastAsia" w:ascii="仿宋" w:hAnsi="仿宋" w:eastAsia="仿宋"/>
          <w:sz w:val="32"/>
          <w:szCs w:val="32"/>
        </w:rPr>
        <w:t>9.承办上级交办的其他事项。</w:t>
      </w:r>
    </w:p>
    <w:p>
      <w:pPr>
        <w:pageBreakBefore w:val="0"/>
        <w:kinsoku/>
        <w:wordWrap/>
        <w:overflowPunct/>
        <w:topLinePunct w:val="0"/>
        <w:autoSpaceDE/>
        <w:autoSpaceDN/>
        <w:bidi w:val="0"/>
        <w:adjustRightInd/>
        <w:snapToGrid/>
        <w:spacing w:line="360" w:lineRule="auto"/>
        <w:ind w:firstLine="321" w:firstLineChars="100"/>
        <w:textAlignment w:val="auto"/>
        <w:outlineLvl w:val="1"/>
        <w:rPr>
          <w:rFonts w:hint="eastAsia" w:ascii="楷体_GB2312" w:hAnsi="楷体_GB2312" w:eastAsia="楷体_GB2312" w:cs="楷体_GB2312"/>
          <w:b/>
          <w:bCs/>
          <w:sz w:val="32"/>
          <w:szCs w:val="32"/>
        </w:rPr>
      </w:pPr>
      <w:bookmarkStart w:id="5" w:name="_Toc410"/>
      <w:r>
        <w:rPr>
          <w:rFonts w:hint="eastAsia" w:ascii="楷体_GB2312" w:hAnsi="楷体_GB2312" w:eastAsia="楷体_GB2312" w:cs="楷体_GB2312"/>
          <w:b/>
          <w:bCs/>
          <w:sz w:val="32"/>
          <w:szCs w:val="32"/>
        </w:rPr>
        <w:t>（二）2024年重点工作</w:t>
      </w:r>
      <w:bookmarkEnd w:id="5"/>
    </w:p>
    <w:p>
      <w:pPr>
        <w:pStyle w:val="14"/>
        <w:pageBreakBefore w:val="0"/>
        <w:kinsoku/>
        <w:wordWrap/>
        <w:overflowPunct/>
        <w:topLinePunct w:val="0"/>
        <w:autoSpaceDE/>
        <w:autoSpaceDN/>
        <w:bidi w:val="0"/>
        <w:adjustRightInd/>
        <w:snapToGrid/>
        <w:spacing w:line="360" w:lineRule="auto"/>
        <w:textAlignment w:val="auto"/>
        <w:rPr>
          <w:rFonts w:ascii="仿宋" w:hAnsi="仿宋" w:eastAsia="仿宋"/>
          <w:b/>
          <w:sz w:val="32"/>
          <w:szCs w:val="32"/>
        </w:rPr>
      </w:pPr>
      <w:r>
        <w:rPr>
          <w:rFonts w:ascii="仿宋" w:hAnsi="仿宋" w:eastAsia="仿宋"/>
          <w:sz w:val="32"/>
          <w:szCs w:val="32"/>
        </w:rPr>
        <w:t xml:space="preserve">    坚持以德育为首、教学质量为中心这一主题，坚持“固生源、强基础”的发展思路。狠抓常规管理，加强教育科研，让我校的教育教学工作全面得到提升。</w:t>
      </w:r>
      <w:r>
        <w:rPr>
          <w:rFonts w:ascii="仿宋" w:hAnsi="仿宋" w:eastAsia="仿宋"/>
          <w:sz w:val="32"/>
          <w:szCs w:val="32"/>
        </w:rPr>
        <w:br w:type="textWrapping"/>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b/>
          <w:sz w:val="32"/>
          <w:szCs w:val="32"/>
        </w:rPr>
        <w:t>（</w:t>
      </w:r>
      <w:r>
        <w:rPr>
          <w:rFonts w:hint="eastAsia" w:ascii="仿宋" w:hAnsi="仿宋" w:eastAsia="仿宋"/>
          <w:b/>
          <w:sz w:val="32"/>
          <w:szCs w:val="32"/>
          <w:lang w:val="en-US" w:eastAsia="zh-CN"/>
        </w:rPr>
        <w:t>1</w:t>
      </w:r>
      <w:r>
        <w:rPr>
          <w:rFonts w:ascii="仿宋" w:hAnsi="仿宋" w:eastAsia="仿宋"/>
          <w:b/>
          <w:sz w:val="32"/>
          <w:szCs w:val="32"/>
        </w:rPr>
        <w:t>）</w:t>
      </w:r>
      <w:r>
        <w:rPr>
          <w:rFonts w:hint="eastAsia" w:ascii="仿宋" w:hAnsi="仿宋" w:eastAsia="仿宋"/>
          <w:b/>
          <w:sz w:val="32"/>
          <w:szCs w:val="32"/>
          <w:lang w:val="en-US" w:eastAsia="zh-CN"/>
        </w:rPr>
        <w:t>加强</w:t>
      </w:r>
      <w:r>
        <w:rPr>
          <w:rFonts w:ascii="仿宋" w:hAnsi="仿宋" w:eastAsia="仿宋"/>
          <w:b/>
          <w:sz w:val="32"/>
          <w:szCs w:val="32"/>
        </w:rPr>
        <w:t>队伍建设</w:t>
      </w:r>
    </w:p>
    <w:p>
      <w:pPr>
        <w:pStyle w:val="14"/>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加强师资队伍建设。造就一支爱岗敬业、师德高尚、精通业务的研究型的教师队伍。学校要加大对教育教学心得文章、科研课题、观摩课的奖励力度，鼓励和促进教师向研究型转变。 加强班主任工作，班主任工作是学校最重要的工作之一，班主任队伍的强弱直接关系到学校的生存和发展。</w:t>
      </w:r>
    </w:p>
    <w:p>
      <w:pPr>
        <w:pStyle w:val="14"/>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hint="eastAsia" w:ascii="仿宋" w:hAnsi="仿宋" w:eastAsia="仿宋"/>
          <w:b/>
          <w:sz w:val="32"/>
          <w:szCs w:val="32"/>
          <w:lang w:val="en-US" w:eastAsia="zh-CN"/>
        </w:rPr>
        <w:t>（2</w:t>
      </w:r>
      <w:r>
        <w:rPr>
          <w:rFonts w:ascii="仿宋" w:hAnsi="仿宋" w:eastAsia="仿宋"/>
          <w:b/>
          <w:sz w:val="32"/>
          <w:szCs w:val="32"/>
        </w:rPr>
        <w:t>）</w:t>
      </w:r>
      <w:r>
        <w:rPr>
          <w:rFonts w:hint="eastAsia" w:ascii="仿宋" w:hAnsi="仿宋" w:eastAsia="仿宋"/>
          <w:b/>
          <w:sz w:val="32"/>
          <w:szCs w:val="32"/>
          <w:lang w:val="en-US" w:eastAsia="zh-CN"/>
        </w:rPr>
        <w:t>加强</w:t>
      </w:r>
      <w:r>
        <w:rPr>
          <w:rFonts w:ascii="仿宋" w:hAnsi="仿宋" w:eastAsia="仿宋"/>
          <w:b/>
          <w:sz w:val="32"/>
          <w:szCs w:val="32"/>
        </w:rPr>
        <w:t>德育工作</w:t>
      </w:r>
    </w:p>
    <w:p>
      <w:pPr>
        <w:pStyle w:val="14"/>
        <w:pageBreakBefore w:val="0"/>
        <w:kinsoku/>
        <w:wordWrap/>
        <w:overflowPunct/>
        <w:topLinePunct w:val="0"/>
        <w:autoSpaceDE/>
        <w:autoSpaceDN/>
        <w:bidi w:val="0"/>
        <w:adjustRightInd/>
        <w:snapToGrid/>
        <w:spacing w:line="360" w:lineRule="auto"/>
        <w:textAlignment w:val="auto"/>
        <w:rPr>
          <w:rFonts w:ascii="仿宋" w:hAnsi="仿宋" w:eastAsia="仿宋"/>
          <w:sz w:val="32"/>
          <w:szCs w:val="32"/>
        </w:rPr>
      </w:pPr>
      <w:r>
        <w:rPr>
          <w:rFonts w:ascii="仿宋" w:hAnsi="仿宋" w:eastAsia="仿宋"/>
          <w:sz w:val="32"/>
          <w:szCs w:val="32"/>
        </w:rPr>
        <w:t xml:space="preserve">    确立德育工作主题，强化德育意识，抓好班主任队伍建设。全面贯彻计划——实施——总结三段式工作方法</w:t>
      </w:r>
      <w:r>
        <w:rPr>
          <w:rFonts w:hint="eastAsia" w:ascii="仿宋" w:hAnsi="仿宋" w:eastAsia="仿宋"/>
          <w:sz w:val="32"/>
          <w:szCs w:val="32"/>
          <w:lang w:eastAsia="zh-CN"/>
        </w:rPr>
        <w:t>。</w:t>
      </w:r>
      <w:r>
        <w:rPr>
          <w:rFonts w:ascii="仿宋" w:hAnsi="仿宋" w:eastAsia="仿宋"/>
          <w:sz w:val="32"/>
          <w:szCs w:val="32"/>
        </w:rPr>
        <w:t>完善以习惯养成为核心的德育工作体系。拓宽德育渠道，更新德育内容，注重德育活动、德育实践，强化德育的自我教育功能，形成学校、家庭、社会相结合的德育工作网络。开展好系列主题教育活动。重视心理健康教育。以《中小学心理健康教育纲要》为指导，落实各项心理健康工作方面的要求，培养学生的良好心理素质和健康向上的心态，增强学生适应能力和抗挫能力。</w:t>
      </w:r>
      <w:r>
        <w:rPr>
          <w:rFonts w:hint="eastAsia" w:ascii="仿宋" w:hAnsi="仿宋" w:eastAsia="仿宋"/>
          <w:sz w:val="32"/>
          <w:szCs w:val="32"/>
          <w:lang w:val="en-US" w:eastAsia="zh-CN"/>
        </w:rPr>
        <w:t>关注</w:t>
      </w:r>
      <w:r>
        <w:rPr>
          <w:rFonts w:ascii="仿宋" w:hAnsi="仿宋" w:eastAsia="仿宋"/>
          <w:sz w:val="32"/>
          <w:szCs w:val="32"/>
        </w:rPr>
        <w:t>留守学生、学困生和习困生的心理辅导。播放《感动中国2023年度十大人物颁奖晚会》视频等。</w:t>
      </w:r>
    </w:p>
    <w:p>
      <w:pPr>
        <w:pStyle w:val="14"/>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hint="eastAsia" w:ascii="仿宋" w:hAnsi="仿宋" w:eastAsia="仿宋"/>
          <w:b/>
          <w:sz w:val="32"/>
          <w:szCs w:val="32"/>
          <w:lang w:val="en-US" w:eastAsia="zh-CN"/>
        </w:rPr>
        <w:t>（3</w:t>
      </w:r>
      <w:r>
        <w:rPr>
          <w:rFonts w:hint="default" w:ascii="仿宋" w:hAnsi="仿宋" w:eastAsia="仿宋"/>
          <w:b/>
          <w:sz w:val="32"/>
          <w:szCs w:val="32"/>
        </w:rPr>
        <w:t>）</w:t>
      </w:r>
      <w:r>
        <w:rPr>
          <w:rFonts w:ascii="仿宋" w:hAnsi="仿宋" w:eastAsia="仿宋"/>
          <w:b/>
          <w:sz w:val="32"/>
          <w:szCs w:val="32"/>
        </w:rPr>
        <w:t>教学教研工作</w:t>
      </w:r>
    </w:p>
    <w:p>
      <w:pPr>
        <w:pStyle w:val="14"/>
        <w:pageBreakBefore w:val="0"/>
        <w:kinsoku/>
        <w:wordWrap/>
        <w:overflowPunct/>
        <w:topLinePunct w:val="0"/>
        <w:autoSpaceDE/>
        <w:autoSpaceDN/>
        <w:bidi w:val="0"/>
        <w:adjustRightInd/>
        <w:snapToGrid/>
        <w:spacing w:line="360" w:lineRule="auto"/>
        <w:textAlignment w:val="auto"/>
        <w:rPr>
          <w:rFonts w:ascii="仿宋" w:hAnsi="仿宋" w:eastAsia="仿宋"/>
          <w:sz w:val="32"/>
          <w:szCs w:val="32"/>
        </w:rPr>
      </w:pPr>
      <w:r>
        <w:rPr>
          <w:rFonts w:ascii="仿宋" w:hAnsi="仿宋" w:eastAsia="仿宋"/>
          <w:sz w:val="32"/>
          <w:szCs w:val="32"/>
        </w:rPr>
        <w:t xml:space="preserve">    抓常规教学，提高教学质量。抓好开学初各项计划的制定工作，学期中抓好计划的落实和监督工作，学期末抓好各项工作的总结和评比。组织各类教学竞赛和抽查，对每位教师进行听课和教学质量及工作落实情况的抽查，评估其在教育教学工作的完成情况和取得的成绩，切实有效的完成教学任务。</w:t>
      </w:r>
    </w:p>
    <w:p>
      <w:pPr>
        <w:pStyle w:val="14"/>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ascii="仿宋" w:hAnsi="仿宋" w:eastAsia="仿宋"/>
          <w:b/>
          <w:sz w:val="32"/>
          <w:szCs w:val="32"/>
        </w:rPr>
        <w:t>（</w:t>
      </w:r>
      <w:r>
        <w:rPr>
          <w:rFonts w:hint="eastAsia" w:ascii="仿宋" w:hAnsi="仿宋" w:eastAsia="仿宋"/>
          <w:b/>
          <w:sz w:val="32"/>
          <w:szCs w:val="32"/>
          <w:lang w:val="en-US" w:eastAsia="zh-CN"/>
        </w:rPr>
        <w:t>4</w:t>
      </w:r>
      <w:r>
        <w:rPr>
          <w:rFonts w:ascii="仿宋" w:hAnsi="仿宋" w:eastAsia="仿宋"/>
          <w:b/>
          <w:sz w:val="32"/>
          <w:szCs w:val="32"/>
        </w:rPr>
        <w:t>）办学条件改善</w:t>
      </w:r>
    </w:p>
    <w:p>
      <w:pPr>
        <w:pStyle w:val="14"/>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抓好校园环境建设。完成学校食堂的煤改气项目，并更换灶具。重视校园文化建设，进一步完善、美化校园环境，给学生创造更好的学习环境。进一步加强办公室文化建设。</w:t>
      </w:r>
    </w:p>
    <w:p>
      <w:pPr>
        <w:pStyle w:val="14"/>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ascii="仿宋" w:hAnsi="仿宋" w:eastAsia="仿宋"/>
          <w:b/>
          <w:sz w:val="32"/>
          <w:szCs w:val="32"/>
        </w:rPr>
        <w:t>（</w:t>
      </w:r>
      <w:r>
        <w:rPr>
          <w:rFonts w:hint="eastAsia" w:ascii="仿宋" w:hAnsi="仿宋" w:eastAsia="仿宋"/>
          <w:b/>
          <w:sz w:val="32"/>
          <w:szCs w:val="32"/>
          <w:lang w:val="en-US" w:eastAsia="zh-CN"/>
        </w:rPr>
        <w:t>5</w:t>
      </w:r>
      <w:r>
        <w:rPr>
          <w:rFonts w:ascii="仿宋" w:hAnsi="仿宋" w:eastAsia="仿宋"/>
          <w:b/>
          <w:sz w:val="32"/>
          <w:szCs w:val="32"/>
        </w:rPr>
        <w:t>）后勤及安全管理工作</w:t>
      </w:r>
    </w:p>
    <w:p>
      <w:pPr>
        <w:pStyle w:val="14"/>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安全工作责任到人。要克服麻痹思想，排查交通安全、食品安全、活动安全、用电、用气安全隐患，建立责任追究制度，确保师生安全。要下大气力全面提高安全工作管理水平和应急能力，尤其要加强学校防火安全、食品安全和防溺水的安全。</w:t>
      </w:r>
    </w:p>
    <w:p>
      <w:pPr>
        <w:pStyle w:val="14"/>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加强食堂管理。食堂工作人员坚持持证止岗，并以主人翁的态度做好食堂工作，尽心尽力为全校师生服务，杜绝安全事故的发生，定期对食堂的管理工作、环境卫生、食品卫生进行检查，发现问题及时整改。确保后勤服务到位，达到服务育人的目的。</w:t>
      </w:r>
    </w:p>
    <w:p>
      <w:pPr>
        <w:spacing w:line="576" w:lineRule="exact"/>
        <w:ind w:firstLine="640" w:firstLineChars="200"/>
        <w:outlineLvl w:val="0"/>
        <w:rPr>
          <w:rFonts w:ascii="黑体" w:hAnsi="黑体" w:eastAsia="黑体" w:cs="黑体"/>
          <w:sz w:val="32"/>
          <w:szCs w:val="32"/>
        </w:rPr>
      </w:pPr>
      <w:bookmarkStart w:id="6" w:name="_Toc20530"/>
      <w:r>
        <w:rPr>
          <w:rFonts w:hint="eastAsia" w:ascii="黑体" w:hAnsi="黑体" w:eastAsia="黑体" w:cs="黑体"/>
          <w:sz w:val="32"/>
          <w:szCs w:val="32"/>
        </w:rPr>
        <w:t>二、部门预算单位构成</w:t>
      </w:r>
      <w:bookmarkEnd w:id="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我单位</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广元市昭化区教育局</w:t>
      </w:r>
      <w:r>
        <w:rPr>
          <w:rFonts w:hint="eastAsia" w:ascii="仿宋_GB2312" w:hAnsi="仿宋_GB2312" w:eastAsia="仿宋_GB2312" w:cs="仿宋_GB2312"/>
          <w:sz w:val="32"/>
          <w:szCs w:val="32"/>
        </w:rPr>
        <w:t>的下属二级预算单位，</w:t>
      </w:r>
      <w:r>
        <w:rPr>
          <w:rFonts w:hint="eastAsia" w:ascii="仿宋_GB2312" w:hAnsi="仿宋_GB2312" w:eastAsia="仿宋_GB2312" w:cs="仿宋_GB2312"/>
          <w:sz w:val="32"/>
          <w:szCs w:val="32"/>
          <w:lang w:val="en-US" w:eastAsia="zh-CN"/>
        </w:rPr>
        <w:t>属于公益一类事业单位。</w:t>
      </w:r>
    </w:p>
    <w:p>
      <w:pPr>
        <w:spacing w:line="576" w:lineRule="exact"/>
        <w:ind w:firstLine="640" w:firstLineChars="200"/>
        <w:outlineLvl w:val="0"/>
        <w:rPr>
          <w:rFonts w:ascii="黑体" w:hAnsi="黑体" w:eastAsia="黑体" w:cs="黑体"/>
          <w:sz w:val="32"/>
          <w:szCs w:val="32"/>
        </w:rPr>
      </w:pPr>
      <w:bookmarkStart w:id="7" w:name="_Toc12049"/>
      <w:r>
        <w:rPr>
          <w:rFonts w:hint="eastAsia" w:ascii="黑体" w:hAnsi="黑体" w:eastAsia="黑体" w:cs="黑体"/>
          <w:sz w:val="32"/>
          <w:szCs w:val="32"/>
        </w:rPr>
        <w:t>三、收支预算情况说明</w:t>
      </w:r>
      <w:bookmarkEnd w:id="7"/>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按照综合预算的原则，</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所有收入和支出均纳入部门预算管理。收入</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一般公共预算拨款收入；支出</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2024年收支预算总数</w:t>
      </w:r>
      <w:r>
        <w:rPr>
          <w:rFonts w:hint="eastAsia" w:ascii="仿宋_GB2312" w:hAnsi="仿宋_GB2312" w:eastAsia="仿宋_GB2312" w:cs="仿宋_GB2312"/>
          <w:sz w:val="32"/>
          <w:szCs w:val="32"/>
          <w:lang w:val="en-US" w:eastAsia="zh-CN"/>
        </w:rPr>
        <w:t>550.70</w:t>
      </w:r>
      <w:r>
        <w:rPr>
          <w:rFonts w:hint="eastAsia" w:ascii="仿宋_GB2312" w:hAnsi="仿宋_GB2312" w:eastAsia="仿宋_GB2312" w:cs="仿宋_GB2312"/>
          <w:sz w:val="32"/>
          <w:szCs w:val="32"/>
        </w:rPr>
        <w:t>万元,比2023年收支预算总数增加</w:t>
      </w:r>
      <w:r>
        <w:rPr>
          <w:rFonts w:hint="eastAsia" w:ascii="仿宋_GB2312" w:hAnsi="仿宋_GB2312" w:eastAsia="仿宋_GB2312" w:cs="仿宋_GB2312"/>
          <w:sz w:val="32"/>
          <w:szCs w:val="32"/>
          <w:lang w:val="en-US" w:eastAsia="zh-CN"/>
        </w:rPr>
        <w:t>9.82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主要是人员经费增加。</w:t>
      </w:r>
    </w:p>
    <w:p>
      <w:pPr>
        <w:spacing w:line="576" w:lineRule="exact"/>
        <w:ind w:firstLine="320" w:firstLineChars="100"/>
        <w:outlineLvl w:val="1"/>
        <w:rPr>
          <w:rFonts w:hint="eastAsia" w:ascii="仿宋" w:hAnsi="仿宋" w:eastAsia="仿宋" w:cs="仿宋"/>
          <w:sz w:val="32"/>
          <w:szCs w:val="32"/>
        </w:rPr>
      </w:pPr>
      <w:bookmarkStart w:id="8" w:name="_Toc7728"/>
      <w:r>
        <w:rPr>
          <w:rFonts w:hint="eastAsia" w:ascii="仿宋" w:hAnsi="仿宋" w:eastAsia="仿宋" w:cs="仿宋"/>
          <w:sz w:val="32"/>
          <w:szCs w:val="32"/>
        </w:rPr>
        <w:t>（一）收入预算情况</w:t>
      </w:r>
      <w:bookmarkEnd w:id="8"/>
    </w:p>
    <w:p>
      <w:pPr>
        <w:spacing w:line="576" w:lineRule="exact"/>
        <w:ind w:firstLine="640" w:firstLineChars="200"/>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2024年收入预算</w:t>
      </w:r>
      <w:r>
        <w:rPr>
          <w:rFonts w:hint="eastAsia" w:ascii="仿宋" w:hAnsi="仿宋" w:eastAsia="仿宋" w:cs="仿宋"/>
          <w:sz w:val="32"/>
          <w:szCs w:val="32"/>
          <w:lang w:val="en-US" w:eastAsia="zh-CN"/>
        </w:rPr>
        <w:t>550.70</w:t>
      </w:r>
      <w:r>
        <w:rPr>
          <w:rFonts w:hint="eastAsia" w:ascii="仿宋" w:hAnsi="仿宋" w:eastAsia="仿宋" w:cs="仿宋"/>
          <w:sz w:val="32"/>
          <w:szCs w:val="32"/>
        </w:rPr>
        <w:t>万元，一般公共预算拨款收入</w:t>
      </w:r>
      <w:r>
        <w:rPr>
          <w:rFonts w:hint="eastAsia" w:ascii="仿宋" w:hAnsi="仿宋" w:eastAsia="仿宋" w:cs="仿宋"/>
          <w:sz w:val="32"/>
          <w:szCs w:val="32"/>
          <w:lang w:val="en-US" w:eastAsia="zh-CN"/>
        </w:rPr>
        <w:t>550.70</w:t>
      </w:r>
      <w:r>
        <w:rPr>
          <w:rFonts w:hint="eastAsia" w:ascii="仿宋" w:hAnsi="仿宋" w:eastAsia="仿宋" w:cs="仿宋"/>
          <w:sz w:val="32"/>
          <w:szCs w:val="32"/>
        </w:rPr>
        <w:t>万元，</w:t>
      </w:r>
      <w:r>
        <w:rPr>
          <w:rFonts w:hint="eastAsia" w:ascii="仿宋" w:hAnsi="仿宋" w:eastAsia="仿宋" w:cs="仿宋"/>
          <w:sz w:val="32"/>
          <w:szCs w:val="32"/>
          <w:lang w:val="en-US" w:eastAsia="zh-CN"/>
        </w:rPr>
        <w:t>占100</w:t>
      </w:r>
      <w:r>
        <w:rPr>
          <w:rFonts w:hint="eastAsia" w:ascii="仿宋" w:hAnsi="仿宋" w:eastAsia="仿宋" w:cs="仿宋"/>
          <w:sz w:val="32"/>
          <w:szCs w:val="32"/>
        </w:rPr>
        <w:t>%</w:t>
      </w:r>
      <w:r>
        <w:rPr>
          <w:rFonts w:hint="eastAsia" w:ascii="仿宋" w:hAnsi="仿宋" w:eastAsia="仿宋" w:cs="仿宋"/>
          <w:sz w:val="32"/>
          <w:szCs w:val="32"/>
          <w:lang w:eastAsia="zh-CN"/>
        </w:rPr>
        <w:t>。</w:t>
      </w:r>
    </w:p>
    <w:p>
      <w:pPr>
        <w:spacing w:line="576" w:lineRule="exact"/>
        <w:ind w:firstLine="320" w:firstLineChars="100"/>
        <w:outlineLvl w:val="1"/>
        <w:rPr>
          <w:rFonts w:hint="eastAsia" w:ascii="仿宋" w:hAnsi="仿宋" w:eastAsia="仿宋" w:cs="仿宋"/>
          <w:sz w:val="32"/>
          <w:szCs w:val="32"/>
        </w:rPr>
      </w:pPr>
      <w:bookmarkStart w:id="9" w:name="_Toc10898"/>
      <w:r>
        <w:rPr>
          <w:rFonts w:hint="eastAsia" w:ascii="仿宋" w:hAnsi="仿宋" w:eastAsia="仿宋" w:cs="仿宋"/>
          <w:sz w:val="32"/>
          <w:szCs w:val="32"/>
          <w:lang w:eastAsia="zh-CN"/>
        </w:rPr>
        <w:t>（</w:t>
      </w:r>
      <w:r>
        <w:rPr>
          <w:rFonts w:hint="eastAsia" w:ascii="仿宋" w:hAnsi="仿宋" w:eastAsia="仿宋" w:cs="仿宋"/>
          <w:sz w:val="32"/>
          <w:szCs w:val="32"/>
        </w:rPr>
        <w:t>二）支出预算情况</w:t>
      </w:r>
      <w:bookmarkEnd w:id="9"/>
    </w:p>
    <w:p>
      <w:pPr>
        <w:spacing w:line="57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2024年支出预算</w:t>
      </w:r>
      <w:r>
        <w:rPr>
          <w:rFonts w:hint="eastAsia" w:ascii="仿宋" w:hAnsi="仿宋" w:eastAsia="仿宋" w:cs="仿宋"/>
          <w:sz w:val="32"/>
          <w:szCs w:val="32"/>
          <w:lang w:val="en-US" w:eastAsia="zh-CN"/>
        </w:rPr>
        <w:t>550.70</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507.54</w:t>
      </w:r>
      <w:r>
        <w:rPr>
          <w:rFonts w:hint="eastAsia" w:ascii="仿宋" w:hAnsi="仿宋" w:eastAsia="仿宋" w:cs="仿宋"/>
          <w:sz w:val="32"/>
          <w:szCs w:val="32"/>
        </w:rPr>
        <w:t>万元，占</w:t>
      </w:r>
      <w:r>
        <w:rPr>
          <w:rFonts w:hint="eastAsia" w:ascii="仿宋" w:hAnsi="仿宋" w:eastAsia="仿宋" w:cs="仿宋"/>
          <w:sz w:val="32"/>
          <w:szCs w:val="32"/>
          <w:lang w:val="en-US" w:eastAsia="zh-CN"/>
        </w:rPr>
        <w:t>92.16</w:t>
      </w:r>
      <w:r>
        <w:rPr>
          <w:rFonts w:hint="eastAsia" w:ascii="仿宋" w:hAnsi="仿宋" w:eastAsia="仿宋" w:cs="仿宋"/>
          <w:sz w:val="32"/>
          <w:szCs w:val="32"/>
        </w:rPr>
        <w:t>%；项目支出</w:t>
      </w:r>
      <w:r>
        <w:rPr>
          <w:rFonts w:hint="eastAsia" w:ascii="仿宋" w:hAnsi="仿宋" w:eastAsia="仿宋" w:cs="仿宋"/>
          <w:sz w:val="32"/>
          <w:szCs w:val="32"/>
          <w:lang w:val="en-US" w:eastAsia="zh-CN"/>
        </w:rPr>
        <w:t>43.16</w:t>
      </w:r>
      <w:r>
        <w:rPr>
          <w:rFonts w:hint="eastAsia" w:ascii="仿宋" w:hAnsi="仿宋" w:eastAsia="仿宋" w:cs="仿宋"/>
          <w:sz w:val="32"/>
          <w:szCs w:val="32"/>
        </w:rPr>
        <w:t>万元，占</w:t>
      </w:r>
      <w:r>
        <w:rPr>
          <w:rFonts w:hint="eastAsia" w:ascii="仿宋" w:hAnsi="仿宋" w:eastAsia="仿宋" w:cs="仿宋"/>
          <w:sz w:val="32"/>
          <w:szCs w:val="32"/>
          <w:lang w:val="en-US" w:eastAsia="zh-CN"/>
        </w:rPr>
        <w:t>7.84</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 </w:t>
      </w:r>
    </w:p>
    <w:p>
      <w:pPr>
        <w:spacing w:line="576" w:lineRule="exact"/>
        <w:ind w:firstLine="640" w:firstLineChars="200"/>
        <w:outlineLvl w:val="0"/>
        <w:rPr>
          <w:rFonts w:ascii="黑体" w:hAnsi="黑体" w:eastAsia="黑体" w:cs="黑体"/>
          <w:sz w:val="32"/>
          <w:szCs w:val="32"/>
        </w:rPr>
      </w:pPr>
      <w:r>
        <w:rPr>
          <w:rFonts w:hint="eastAsia" w:ascii="仿宋_GB2312" w:hAnsi="仿宋_GB2312" w:eastAsia="仿宋_GB2312" w:cs="仿宋_GB2312"/>
          <w:sz w:val="32"/>
          <w:szCs w:val="32"/>
          <w:lang w:val="en-US" w:eastAsia="zh-CN"/>
        </w:rPr>
        <w:t xml:space="preserve"> </w:t>
      </w:r>
      <w:bookmarkStart w:id="10" w:name="_Toc16730"/>
      <w:r>
        <w:rPr>
          <w:rFonts w:hint="eastAsia" w:ascii="黑体" w:hAnsi="黑体" w:eastAsia="黑体" w:cs="黑体"/>
          <w:sz w:val="32"/>
          <w:szCs w:val="32"/>
        </w:rPr>
        <w:t>四、财政拨款收支预算情况说明</w:t>
      </w:r>
      <w:bookmarkEnd w:id="10"/>
    </w:p>
    <w:p>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2024年财政拨款收支预算总数</w:t>
      </w:r>
      <w:r>
        <w:rPr>
          <w:rFonts w:hint="eastAsia" w:ascii="仿宋_GB2312" w:hAnsi="仿宋_GB2312" w:eastAsia="仿宋_GB2312" w:cs="仿宋_GB2312"/>
          <w:sz w:val="32"/>
          <w:szCs w:val="32"/>
          <w:lang w:val="en-US" w:eastAsia="zh-CN"/>
        </w:rPr>
        <w:t>550.70</w:t>
      </w:r>
      <w:r>
        <w:rPr>
          <w:rFonts w:hint="eastAsia" w:ascii="仿宋_GB2312" w:hAnsi="仿宋_GB2312" w:eastAsia="仿宋_GB2312" w:cs="仿宋_GB2312"/>
          <w:sz w:val="32"/>
          <w:szCs w:val="32"/>
        </w:rPr>
        <w:t>万元,比2023年财政拨款收支预算总数增加</w:t>
      </w:r>
      <w:r>
        <w:rPr>
          <w:rFonts w:hint="eastAsia" w:ascii="仿宋_GB2312" w:hAnsi="仿宋_GB2312" w:eastAsia="仿宋_GB2312" w:cs="仿宋_GB2312"/>
          <w:sz w:val="32"/>
          <w:szCs w:val="32"/>
          <w:lang w:val="en-US" w:eastAsia="zh-CN"/>
        </w:rPr>
        <w:t>9.82</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val="en-US" w:eastAsia="zh-CN"/>
        </w:rPr>
        <w:t>人员经费增加。</w:t>
      </w:r>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本年一般公共预算拨款收入</w:t>
      </w:r>
      <w:r>
        <w:rPr>
          <w:rFonts w:hint="eastAsia" w:ascii="仿宋_GB2312" w:hAnsi="仿宋_GB2312" w:eastAsia="仿宋_GB2312" w:cs="仿宋_GB2312"/>
          <w:sz w:val="32"/>
          <w:szCs w:val="32"/>
          <w:lang w:val="en-US" w:eastAsia="zh-CN"/>
        </w:rPr>
        <w:t>550.70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550.70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numPr>
          <w:ilvl w:val="0"/>
          <w:numId w:val="0"/>
        </w:numPr>
        <w:spacing w:line="576" w:lineRule="exact"/>
        <w:ind w:firstLine="640" w:firstLineChars="200"/>
        <w:outlineLvl w:val="0"/>
        <w:rPr>
          <w:rFonts w:hint="eastAsia" w:ascii="黑体" w:hAnsi="黑体" w:eastAsia="黑体" w:cs="黑体"/>
          <w:sz w:val="32"/>
          <w:szCs w:val="32"/>
        </w:rPr>
      </w:pPr>
      <w:bookmarkStart w:id="11" w:name="_Toc11687"/>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rPr>
        <w:t>一般公共预算当年拨款情况说明</w:t>
      </w:r>
      <w:bookmarkEnd w:id="11"/>
    </w:p>
    <w:p>
      <w:pPr>
        <w:numPr>
          <w:ilvl w:val="0"/>
          <w:numId w:val="0"/>
        </w:numPr>
        <w:spacing w:line="576" w:lineRule="exact"/>
        <w:ind w:firstLine="640" w:firstLineChars="200"/>
        <w:outlineLvl w:val="1"/>
        <w:rPr>
          <w:rFonts w:hint="eastAsia" w:ascii="仿宋" w:hAnsi="仿宋" w:eastAsia="仿宋" w:cs="仿宋"/>
          <w:sz w:val="32"/>
          <w:szCs w:val="32"/>
        </w:rPr>
      </w:pPr>
      <w:bookmarkStart w:id="12" w:name="_Toc27011"/>
      <w:r>
        <w:rPr>
          <w:rFonts w:hint="eastAsia" w:ascii="仿宋" w:hAnsi="仿宋" w:eastAsia="仿宋" w:cs="仿宋"/>
          <w:sz w:val="32"/>
          <w:szCs w:val="32"/>
        </w:rPr>
        <w:t>（一）一般公共预算当年拨款规模变化情况</w:t>
      </w:r>
      <w:bookmarkEnd w:id="12"/>
    </w:p>
    <w:p>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2024年一般公共预算当年拨款</w:t>
      </w:r>
      <w:r>
        <w:rPr>
          <w:rFonts w:hint="eastAsia" w:ascii="仿宋_GB2312" w:hAnsi="仿宋_GB2312" w:eastAsia="仿宋_GB2312" w:cs="仿宋_GB2312"/>
          <w:sz w:val="32"/>
          <w:szCs w:val="32"/>
          <w:lang w:val="en-US" w:eastAsia="zh-CN"/>
        </w:rPr>
        <w:t>550.70</w:t>
      </w:r>
      <w:r>
        <w:rPr>
          <w:rFonts w:hint="eastAsia" w:ascii="仿宋_GB2312" w:hAnsi="仿宋_GB2312" w:eastAsia="仿宋_GB2312" w:cs="仿宋_GB2312"/>
          <w:sz w:val="32"/>
          <w:szCs w:val="32"/>
        </w:rPr>
        <w:t>万元，比2023年预算数增</w:t>
      </w:r>
      <w:r>
        <w:rPr>
          <w:rFonts w:hint="eastAsia" w:ascii="仿宋_GB2312" w:hAnsi="仿宋_GB2312" w:eastAsia="仿宋_GB2312" w:cs="仿宋_GB2312"/>
          <w:sz w:val="32"/>
          <w:szCs w:val="32"/>
          <w:lang w:val="en-US" w:eastAsia="zh-CN"/>
        </w:rPr>
        <w:t>加9.82</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val="en-US" w:eastAsia="zh-CN"/>
        </w:rPr>
        <w:t>人员经费增加。</w:t>
      </w:r>
    </w:p>
    <w:p>
      <w:pPr>
        <w:spacing w:line="576" w:lineRule="exact"/>
        <w:ind w:firstLine="640" w:firstLineChars="200"/>
        <w:outlineLvl w:val="1"/>
        <w:rPr>
          <w:rFonts w:hint="eastAsia" w:ascii="仿宋" w:hAnsi="仿宋" w:eastAsia="仿宋" w:cs="仿宋"/>
          <w:sz w:val="32"/>
          <w:szCs w:val="32"/>
        </w:rPr>
      </w:pPr>
      <w:bookmarkStart w:id="13" w:name="_Toc15259"/>
      <w:r>
        <w:rPr>
          <w:rFonts w:hint="eastAsia" w:ascii="仿宋" w:hAnsi="仿宋" w:eastAsia="仿宋" w:cs="仿宋"/>
          <w:sz w:val="32"/>
          <w:szCs w:val="32"/>
          <w:lang w:eastAsia="zh-CN"/>
        </w:rPr>
        <w:t>（</w:t>
      </w:r>
      <w:r>
        <w:rPr>
          <w:rFonts w:hint="eastAsia" w:ascii="仿宋" w:hAnsi="仿宋" w:eastAsia="仿宋" w:cs="仿宋"/>
          <w:sz w:val="32"/>
          <w:szCs w:val="32"/>
        </w:rPr>
        <w:t>二）一般公共预算当年拨款结构情况</w:t>
      </w:r>
      <w:bookmarkEnd w:id="13"/>
    </w:p>
    <w:p>
      <w:pPr>
        <w:spacing w:line="576" w:lineRule="exact"/>
        <w:ind w:firstLine="640"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550.70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spacing w:line="576" w:lineRule="exact"/>
        <w:ind w:firstLine="640" w:firstLineChars="200"/>
        <w:outlineLvl w:val="1"/>
        <w:rPr>
          <w:rFonts w:ascii="楷体_GB2312" w:hAnsi="楷体_GB2312" w:eastAsia="楷体_GB2312" w:cs="楷体_GB2312"/>
          <w:sz w:val="32"/>
          <w:szCs w:val="32"/>
        </w:rPr>
      </w:pPr>
      <w:bookmarkStart w:id="14" w:name="_Toc23677"/>
      <w:r>
        <w:rPr>
          <w:rFonts w:hint="eastAsia" w:ascii="楷体_GB2312" w:hAnsi="楷体_GB2312" w:eastAsia="楷体_GB2312" w:cs="楷体_GB2312"/>
          <w:sz w:val="32"/>
          <w:szCs w:val="32"/>
        </w:rPr>
        <w:t>（三）一般公共预算当年拨款具体使用情况</w:t>
      </w:r>
      <w:bookmarkEnd w:id="14"/>
    </w:p>
    <w:p>
      <w:pPr>
        <w:widowControl/>
        <w:numPr>
          <w:ilvl w:val="0"/>
          <w:numId w:val="0"/>
        </w:numPr>
        <w:pBdr>
          <w:bottom w:val="single" w:color="FFFFFF" w:sz="8" w:space="31"/>
        </w:pBdr>
        <w:shd w:val="clear" w:color="auto" w:fill="FFFFFF"/>
        <w:spacing w:line="580" w:lineRule="atLeas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学前教育</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4.46</w:t>
      </w:r>
      <w:r>
        <w:rPr>
          <w:rFonts w:ascii="Times New Roman" w:hAnsi="Times New Roman" w:eastAsia="仿宋_GB2312"/>
          <w:sz w:val="32"/>
          <w:szCs w:val="32"/>
        </w:rPr>
        <w:t>万元，主要用于：</w:t>
      </w:r>
      <w:r>
        <w:rPr>
          <w:rFonts w:hint="eastAsia" w:ascii="Times New Roman" w:hAnsi="Times New Roman" w:eastAsia="仿宋_GB2312"/>
          <w:sz w:val="32"/>
          <w:szCs w:val="32"/>
          <w:lang w:val="en-US" w:eastAsia="zh-CN"/>
        </w:rPr>
        <w:t>本单位</w:t>
      </w:r>
      <w:r>
        <w:rPr>
          <w:rFonts w:hint="eastAsia" w:ascii="Times New Roman" w:hAnsi="Times New Roman" w:eastAsia="仿宋_GB2312"/>
          <w:sz w:val="32"/>
          <w:szCs w:val="32"/>
        </w:rPr>
        <w:t>学前教育发展的基本支出，</w:t>
      </w:r>
      <w:r>
        <w:rPr>
          <w:rFonts w:ascii="Times New Roman" w:hAnsi="Times New Roman" w:eastAsia="仿宋_GB2312"/>
          <w:sz w:val="32"/>
          <w:szCs w:val="32"/>
        </w:rPr>
        <w:t>包括基本工资、津贴补贴等人员经费以及办公费、印刷费、水电费等日常公用经费</w:t>
      </w:r>
      <w:r>
        <w:rPr>
          <w:rFonts w:hint="eastAsia" w:ascii="Times New Roman" w:hAnsi="Times New Roman" w:eastAsia="仿宋_GB2312"/>
          <w:sz w:val="32"/>
          <w:szCs w:val="32"/>
        </w:rPr>
        <w:t>。</w:t>
      </w:r>
    </w:p>
    <w:p>
      <w:pPr>
        <w:widowControl/>
        <w:pBdr>
          <w:bottom w:val="single" w:color="FFFFFF" w:sz="8" w:space="31"/>
        </w:pBdr>
        <w:shd w:val="clear" w:color="auto" w:fill="FFFFFF"/>
        <w:spacing w:line="580" w:lineRule="atLeas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小学教育</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546.24</w:t>
      </w:r>
      <w:r>
        <w:rPr>
          <w:rFonts w:ascii="Times New Roman" w:hAnsi="Times New Roman" w:eastAsia="仿宋_GB2312"/>
          <w:sz w:val="32"/>
          <w:szCs w:val="32"/>
        </w:rPr>
        <w:t>万元，主要用于</w:t>
      </w:r>
      <w:r>
        <w:rPr>
          <w:rFonts w:hint="eastAsia" w:ascii="Times New Roman" w:hAnsi="Times New Roman" w:eastAsia="仿宋_GB2312"/>
          <w:sz w:val="32"/>
          <w:szCs w:val="32"/>
          <w:lang w:val="en-US" w:eastAsia="zh-CN"/>
        </w:rPr>
        <w:t>本</w:t>
      </w:r>
      <w:r>
        <w:rPr>
          <w:rFonts w:ascii="Times New Roman" w:hAnsi="Times New Roman" w:eastAsia="仿宋_GB2312"/>
          <w:sz w:val="32"/>
          <w:szCs w:val="32"/>
        </w:rPr>
        <w:t>：</w:t>
      </w:r>
      <w:r>
        <w:rPr>
          <w:rFonts w:hint="eastAsia" w:ascii="Times New Roman" w:hAnsi="Times New Roman" w:eastAsia="仿宋_GB2312"/>
          <w:sz w:val="32"/>
          <w:szCs w:val="32"/>
          <w:lang w:val="en-US" w:eastAsia="zh-CN"/>
        </w:rPr>
        <w:t>本单位</w:t>
      </w:r>
      <w:r>
        <w:rPr>
          <w:rFonts w:hint="eastAsia" w:ascii="Times New Roman" w:hAnsi="Times New Roman" w:eastAsia="仿宋_GB2312"/>
          <w:sz w:val="32"/>
          <w:szCs w:val="32"/>
        </w:rPr>
        <w:t>义务教育小学教育发展的基本支出，</w:t>
      </w:r>
      <w:r>
        <w:rPr>
          <w:rFonts w:ascii="Times New Roman" w:hAnsi="Times New Roman" w:eastAsia="仿宋_GB2312"/>
          <w:sz w:val="32"/>
          <w:szCs w:val="32"/>
        </w:rPr>
        <w:t>包括基本工资、津贴补贴等人员经费以及办公费、印刷费、水电费等日常公用经费</w:t>
      </w:r>
      <w:r>
        <w:rPr>
          <w:rFonts w:hint="eastAsia" w:ascii="Times New Roman" w:hAnsi="Times New Roman" w:eastAsia="仿宋_GB2312"/>
          <w:sz w:val="32"/>
          <w:szCs w:val="32"/>
        </w:rPr>
        <w:t>。</w:t>
      </w:r>
    </w:p>
    <w:p>
      <w:pPr>
        <w:widowControl/>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rPr>
      </w:pPr>
      <w:bookmarkStart w:id="15" w:name="_Toc31685"/>
      <w:r>
        <w:rPr>
          <w:rFonts w:hint="eastAsia" w:ascii="黑体" w:hAnsi="黑体" w:eastAsia="黑体" w:cs="黑体"/>
          <w:sz w:val="32"/>
          <w:szCs w:val="32"/>
        </w:rPr>
        <w:t>六、一般公共预算基本支出情况说明</w:t>
      </w:r>
      <w:bookmarkEnd w:id="15"/>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单位</w:t>
      </w:r>
      <w:r>
        <w:rPr>
          <w:rFonts w:hint="eastAsia" w:ascii="仿宋_GB2312" w:hAnsi="仿宋_GB2312" w:eastAsia="仿宋_GB2312" w:cs="仿宋_GB2312"/>
          <w:sz w:val="32"/>
          <w:szCs w:val="32"/>
        </w:rPr>
        <w:t>2024年一般公共预算基本支出</w:t>
      </w:r>
      <w:r>
        <w:rPr>
          <w:rFonts w:hint="eastAsia" w:ascii="仿宋_GB2312" w:hAnsi="仿宋_GB2312" w:eastAsia="仿宋_GB2312" w:cs="仿宋_GB2312"/>
          <w:sz w:val="32"/>
          <w:szCs w:val="32"/>
          <w:lang w:val="en-US" w:eastAsia="zh-CN"/>
        </w:rPr>
        <w:t>550.70</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507.54</w:t>
      </w:r>
      <w:r>
        <w:rPr>
          <w:rFonts w:hint="eastAsia" w:ascii="仿宋_GB2312" w:hAnsi="仿宋_GB2312" w:eastAsia="仿宋_GB2312" w:cs="仿宋_GB2312"/>
          <w:sz w:val="32"/>
          <w:szCs w:val="32"/>
        </w:rPr>
        <w:t>万元，主要包括：基本工资、津贴补贴、奖金、社会保险缴费、住房公积金等支出。</w:t>
      </w:r>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43.16</w:t>
      </w:r>
      <w:r>
        <w:rPr>
          <w:rFonts w:hint="eastAsia" w:ascii="仿宋_GB2312" w:hAnsi="仿宋_GB2312" w:eastAsia="仿宋_GB2312" w:cs="仿宋_GB2312"/>
          <w:sz w:val="32"/>
          <w:szCs w:val="32"/>
        </w:rPr>
        <w:t>万元，主要包括：办公费、印刷费、水费、电费、邮电费、物业管理费、差旅费、维修（护）费、会议费、培训费、公务接待费、劳务费、工会经费、福利费、税金及附加费用、其他交通费用等支出。</w:t>
      </w:r>
    </w:p>
    <w:p>
      <w:pPr>
        <w:widowControl/>
        <w:numPr>
          <w:ilvl w:val="0"/>
          <w:numId w:val="0"/>
        </w:numPr>
        <w:pBdr>
          <w:bottom w:val="single" w:color="FFFFFF" w:sz="8" w:space="31"/>
        </w:pBdr>
        <w:shd w:val="clear" w:color="auto" w:fill="FFFFFF"/>
        <w:spacing w:line="580" w:lineRule="atLeast"/>
        <w:ind w:left="0" w:leftChars="0" w:firstLine="640" w:firstLineChars="200"/>
        <w:outlineLvl w:val="0"/>
        <w:rPr>
          <w:rFonts w:hint="eastAsia" w:ascii="黑体" w:hAnsi="黑体" w:eastAsia="黑体" w:cs="黑体"/>
          <w:sz w:val="32"/>
          <w:szCs w:val="32"/>
        </w:rPr>
      </w:pPr>
      <w:bookmarkStart w:id="16" w:name="_Toc467"/>
      <w:r>
        <w:rPr>
          <w:rFonts w:hint="eastAsia" w:ascii="黑体" w:hAnsi="黑体" w:eastAsia="黑体" w:cs="黑体"/>
          <w:kern w:val="2"/>
          <w:sz w:val="32"/>
          <w:szCs w:val="32"/>
          <w:lang w:val="en-US" w:eastAsia="zh-CN" w:bidi="ar-SA"/>
        </w:rPr>
        <w:t>七、</w:t>
      </w:r>
      <w:r>
        <w:rPr>
          <w:rFonts w:hint="eastAsia" w:ascii="黑体" w:hAnsi="黑体" w:eastAsia="黑体" w:cs="黑体"/>
          <w:sz w:val="32"/>
          <w:szCs w:val="32"/>
        </w:rPr>
        <w:t>“三公”经费财政拨款预算安排情况说明</w:t>
      </w:r>
      <w:bookmarkEnd w:id="16"/>
      <w:bookmarkStart w:id="17" w:name="_Toc25943"/>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2024年“三公”经费财政拨款预算数</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val="en-US" w:eastAsia="zh-CN"/>
        </w:rPr>
        <w:t>.较2023年预算相比减少0.25万元，主要原因是：严格执行三公经费压减政策。</w:t>
      </w:r>
      <w:bookmarkEnd w:id="17"/>
    </w:p>
    <w:p>
      <w:pPr>
        <w:widowControl/>
        <w:numPr>
          <w:ilvl w:val="0"/>
          <w:numId w:val="0"/>
        </w:numPr>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rPr>
      </w:pPr>
      <w:bookmarkStart w:id="18" w:name="_Toc18157"/>
      <w:r>
        <w:rPr>
          <w:rFonts w:hint="eastAsia" w:ascii="黑体" w:hAnsi="黑体" w:eastAsia="黑体" w:cs="黑体"/>
          <w:sz w:val="32"/>
          <w:szCs w:val="32"/>
          <w:lang w:val="en-US" w:eastAsia="zh-CN"/>
        </w:rPr>
        <w:t>八、</w:t>
      </w:r>
      <w:r>
        <w:rPr>
          <w:rFonts w:hint="eastAsia" w:ascii="黑体" w:hAnsi="黑体" w:eastAsia="黑体" w:cs="黑体"/>
          <w:sz w:val="32"/>
          <w:szCs w:val="32"/>
        </w:rPr>
        <w:t>“政府性基金预算支出情况说明</w:t>
      </w:r>
      <w:bookmarkEnd w:id="18"/>
    </w:p>
    <w:p>
      <w:pPr>
        <w:widowControl/>
        <w:numPr>
          <w:ilvl w:val="0"/>
          <w:numId w:val="0"/>
        </w:numPr>
        <w:pBdr>
          <w:bottom w:val="single" w:color="FFFFFF" w:sz="8" w:space="31"/>
        </w:pBdr>
        <w:shd w:val="clear" w:color="auto" w:fill="FFFFFF"/>
        <w:spacing w:line="580" w:lineRule="atLeast"/>
        <w:ind w:firstLine="960" w:firstLineChars="3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2024年无政府性基金预算拨款安排的支出</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lang w:eastAsia="zh-CN"/>
        </w:rPr>
        <w:t>。</w:t>
      </w:r>
    </w:p>
    <w:p>
      <w:pPr>
        <w:widowControl/>
        <w:numPr>
          <w:ilvl w:val="0"/>
          <w:numId w:val="0"/>
        </w:numPr>
        <w:pBdr>
          <w:bottom w:val="single" w:color="FFFFFF" w:sz="8" w:space="31"/>
        </w:pBdr>
        <w:shd w:val="clear" w:color="auto" w:fill="FFFFFF"/>
        <w:spacing w:line="580" w:lineRule="atLeast"/>
        <w:ind w:left="0" w:leftChars="0" w:firstLine="640" w:firstLineChars="200"/>
        <w:outlineLvl w:val="0"/>
        <w:rPr>
          <w:rFonts w:hint="default" w:eastAsia="仿宋_GB2312"/>
          <w:b w:val="0"/>
          <w:bCs w:val="0"/>
          <w:lang w:val="en-US" w:eastAsia="zh-CN"/>
        </w:rPr>
      </w:pPr>
      <w:bookmarkStart w:id="19" w:name="_Toc10499"/>
      <w:r>
        <w:rPr>
          <w:rFonts w:hint="eastAsia" w:ascii="黑体" w:hAnsi="黑体" w:eastAsia="黑体" w:cs="黑体"/>
          <w:b w:val="0"/>
          <w:bCs w:val="0"/>
          <w:kern w:val="2"/>
          <w:sz w:val="32"/>
          <w:szCs w:val="32"/>
          <w:lang w:val="en-US" w:eastAsia="zh-CN" w:bidi="ar-SA"/>
        </w:rPr>
        <w:t>九、</w:t>
      </w:r>
      <w:r>
        <w:rPr>
          <w:rFonts w:hint="eastAsia" w:ascii="黑体" w:hAnsi="黑体" w:eastAsia="黑体" w:cs="黑体"/>
          <w:sz w:val="32"/>
          <w:szCs w:val="32"/>
          <w:lang w:val="en-US" w:eastAsia="zh-CN"/>
        </w:rPr>
        <w:t>国有资本经营预算支出情况说明</w:t>
      </w:r>
      <w:bookmarkEnd w:id="19"/>
    </w:p>
    <w:p>
      <w:pPr>
        <w:widowControl/>
        <w:numPr>
          <w:ilvl w:val="0"/>
          <w:numId w:val="0"/>
        </w:numPr>
        <w:pBdr>
          <w:bottom w:val="single" w:color="FFFFFF" w:sz="8" w:space="31"/>
        </w:pBdr>
        <w:shd w:val="clear" w:color="auto" w:fill="FFFFFF"/>
        <w:spacing w:line="580" w:lineRule="atLeast"/>
        <w:ind w:firstLine="1280" w:firstLineChars="400"/>
        <w:rPr>
          <w:rFonts w:hint="default" w:eastAsia="仿宋_GB2312"/>
          <w:b w:val="0"/>
          <w:bCs w:val="0"/>
          <w:lang w:val="en-US" w:eastAsia="zh-CN"/>
        </w:rPr>
      </w:pPr>
      <w:r>
        <w:rPr>
          <w:rFonts w:hint="eastAsia" w:ascii="仿宋_GB2312" w:hAnsi="仿宋_GB2312" w:eastAsia="仿宋_GB2312" w:cs="仿宋_GB2312"/>
          <w:b w:val="0"/>
          <w:bCs w:val="0"/>
          <w:sz w:val="32"/>
          <w:szCs w:val="32"/>
          <w:lang w:val="en-US" w:eastAsia="zh-CN"/>
        </w:rPr>
        <w:t>沙坝小学</w:t>
      </w:r>
      <w:r>
        <w:rPr>
          <w:rFonts w:hint="eastAsia" w:ascii="仿宋_GB2312" w:hAnsi="仿宋_GB2312" w:eastAsia="仿宋_GB2312" w:cs="仿宋_GB2312"/>
          <w:b w:val="0"/>
          <w:bCs w:val="0"/>
          <w:sz w:val="32"/>
          <w:szCs w:val="32"/>
        </w:rPr>
        <w:t>2024年</w:t>
      </w:r>
      <w:r>
        <w:rPr>
          <w:rFonts w:hint="eastAsia" w:ascii="仿宋_GB2312" w:hAnsi="仿宋_GB2312" w:eastAsia="仿宋_GB2312" w:cs="仿宋_GB2312"/>
          <w:b w:val="0"/>
          <w:bCs w:val="0"/>
          <w:sz w:val="32"/>
          <w:szCs w:val="32"/>
          <w:lang w:val="en-US" w:eastAsia="zh-CN"/>
        </w:rPr>
        <w:t>无国有资本经营预算支出情况说明</w:t>
      </w:r>
    </w:p>
    <w:p>
      <w:pPr>
        <w:widowControl/>
        <w:numPr>
          <w:ilvl w:val="0"/>
          <w:numId w:val="0"/>
        </w:numPr>
        <w:pBdr>
          <w:bottom w:val="single" w:color="FFFFFF" w:sz="8" w:space="31"/>
        </w:pBdr>
        <w:shd w:val="clear" w:color="auto" w:fill="FFFFFF"/>
        <w:spacing w:line="580" w:lineRule="atLeast"/>
        <w:ind w:left="0" w:leftChars="0" w:firstLine="640" w:firstLineChars="200"/>
        <w:outlineLvl w:val="0"/>
        <w:rPr>
          <w:rFonts w:ascii="楷体_GB2312" w:hAnsi="楷体_GB2312" w:eastAsia="楷体_GB2312" w:cs="楷体_GB2312"/>
          <w:sz w:val="32"/>
          <w:szCs w:val="32"/>
        </w:rPr>
      </w:pPr>
      <w:bookmarkStart w:id="20" w:name="_Toc2309"/>
      <w:r>
        <w:rPr>
          <w:rFonts w:hint="eastAsia" w:ascii="黑体" w:hAnsi="黑体" w:eastAsia="黑体" w:cs="黑体"/>
          <w:kern w:val="2"/>
          <w:sz w:val="32"/>
          <w:szCs w:val="32"/>
          <w:lang w:val="en-US" w:eastAsia="zh-CN" w:bidi="ar-SA"/>
        </w:rPr>
        <w:t>十、</w:t>
      </w:r>
      <w:r>
        <w:rPr>
          <w:rFonts w:hint="eastAsia" w:ascii="黑体" w:hAnsi="黑体" w:eastAsia="黑体" w:cs="黑体"/>
          <w:sz w:val="32"/>
          <w:szCs w:val="32"/>
          <w:lang w:val="en-US" w:eastAsia="zh-CN"/>
        </w:rPr>
        <w:t>其他重要事项的</w:t>
      </w:r>
      <w:r>
        <w:rPr>
          <w:rFonts w:hint="eastAsia" w:ascii="黑体" w:hAnsi="黑体" w:eastAsia="黑体" w:cs="黑体"/>
          <w:sz w:val="32"/>
          <w:szCs w:val="32"/>
        </w:rPr>
        <w:t>情况说明</w:t>
      </w:r>
      <w:bookmarkEnd w:id="20"/>
    </w:p>
    <w:p>
      <w:pPr>
        <w:widowControl/>
        <w:numPr>
          <w:ilvl w:val="0"/>
          <w:numId w:val="1"/>
        </w:numPr>
        <w:pBdr>
          <w:bottom w:val="single" w:color="FFFFFF" w:sz="8" w:space="31"/>
        </w:pBdr>
        <w:shd w:val="clear" w:color="auto" w:fill="FFFFFF"/>
        <w:spacing w:line="580" w:lineRule="atLeast"/>
        <w:ind w:firstLine="960" w:firstLineChars="300"/>
        <w:outlineLvl w:val="1"/>
        <w:rPr>
          <w:rFonts w:hint="eastAsia" w:ascii="仿宋" w:hAnsi="仿宋" w:eastAsia="仿宋" w:cs="仿宋"/>
          <w:sz w:val="32"/>
          <w:szCs w:val="32"/>
        </w:rPr>
      </w:pPr>
      <w:bookmarkStart w:id="21" w:name="_Toc18145"/>
      <w:r>
        <w:rPr>
          <w:rFonts w:hint="eastAsia" w:ascii="仿宋" w:hAnsi="仿宋" w:eastAsia="仿宋" w:cs="仿宋"/>
          <w:sz w:val="32"/>
          <w:szCs w:val="32"/>
        </w:rPr>
        <w:t>机关运行经费</w:t>
      </w:r>
      <w:bookmarkEnd w:id="21"/>
    </w:p>
    <w:p>
      <w:pPr>
        <w:widowControl/>
        <w:numPr>
          <w:ilvl w:val="0"/>
          <w:numId w:val="0"/>
        </w:numPr>
        <w:pBdr>
          <w:bottom w:val="single" w:color="FFFFFF" w:sz="8" w:space="31"/>
        </w:pBdr>
        <w:shd w:val="clear" w:color="auto" w:fill="FFFFFF"/>
        <w:spacing w:line="580" w:lineRule="atLeast"/>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2024年，沙坝小学无机关运行经费预算。</w:t>
      </w:r>
    </w:p>
    <w:p>
      <w:pPr>
        <w:widowControl/>
        <w:numPr>
          <w:ilvl w:val="0"/>
          <w:numId w:val="1"/>
        </w:numPr>
        <w:pBdr>
          <w:bottom w:val="single" w:color="FFFFFF" w:sz="8" w:space="31"/>
        </w:pBdr>
        <w:shd w:val="clear" w:color="auto" w:fill="FFFFFF"/>
        <w:spacing w:line="580" w:lineRule="atLeast"/>
        <w:ind w:left="0" w:leftChars="0" w:firstLine="960" w:firstLineChars="300"/>
        <w:outlineLvl w:val="1"/>
        <w:rPr>
          <w:rFonts w:hint="eastAsia" w:ascii="仿宋" w:hAnsi="仿宋" w:eastAsia="仿宋" w:cs="仿宋"/>
          <w:sz w:val="32"/>
          <w:szCs w:val="32"/>
        </w:rPr>
      </w:pPr>
      <w:bookmarkStart w:id="22" w:name="_Toc24981"/>
      <w:r>
        <w:rPr>
          <w:rFonts w:hint="eastAsia" w:ascii="仿宋" w:hAnsi="仿宋" w:eastAsia="仿宋" w:cs="仿宋"/>
          <w:sz w:val="32"/>
          <w:szCs w:val="32"/>
        </w:rPr>
        <w:t>政府采购情况</w:t>
      </w:r>
      <w:bookmarkEnd w:id="22"/>
    </w:p>
    <w:p>
      <w:pPr>
        <w:widowControl/>
        <w:numPr>
          <w:ilvl w:val="0"/>
          <w:numId w:val="0"/>
        </w:numPr>
        <w:pBdr>
          <w:bottom w:val="single" w:color="FFFFFF" w:sz="8" w:space="31"/>
        </w:pBdr>
        <w:shd w:val="clear" w:color="auto" w:fill="FFFFFF"/>
        <w:spacing w:line="580" w:lineRule="atLeast"/>
        <w:ind w:firstLine="1280" w:firstLineChars="400"/>
        <w:rPr>
          <w:rFonts w:hint="eastAsia" w:ascii="仿宋" w:hAnsi="仿宋" w:eastAsia="仿宋" w:cs="仿宋"/>
          <w:sz w:val="32"/>
          <w:szCs w:val="32"/>
          <w:lang w:eastAsia="zh-CN"/>
        </w:rPr>
      </w:pPr>
      <w:r>
        <w:rPr>
          <w:rFonts w:hint="eastAsia" w:ascii="仿宋" w:hAnsi="仿宋" w:eastAsia="仿宋" w:cs="仿宋"/>
          <w:sz w:val="32"/>
          <w:szCs w:val="32"/>
        </w:rPr>
        <w:t>2024年，</w:t>
      </w:r>
      <w:r>
        <w:rPr>
          <w:rFonts w:hint="eastAsia" w:ascii="仿宋" w:hAnsi="仿宋" w:eastAsia="仿宋" w:cs="仿宋"/>
          <w:sz w:val="32"/>
          <w:szCs w:val="32"/>
          <w:lang w:val="en-US" w:eastAsia="zh-CN"/>
        </w:rPr>
        <w:t>沙坝小学未</w:t>
      </w:r>
      <w:r>
        <w:rPr>
          <w:rFonts w:hint="eastAsia" w:ascii="仿宋" w:hAnsi="仿宋" w:eastAsia="仿宋" w:cs="仿宋"/>
          <w:sz w:val="32"/>
          <w:szCs w:val="32"/>
        </w:rPr>
        <w:t>安排政府采购预算</w:t>
      </w:r>
      <w:r>
        <w:rPr>
          <w:rFonts w:hint="eastAsia" w:ascii="仿宋" w:hAnsi="仿宋" w:eastAsia="仿宋" w:cs="仿宋"/>
          <w:sz w:val="32"/>
          <w:szCs w:val="32"/>
          <w:lang w:eastAsia="zh-CN"/>
        </w:rPr>
        <w:t>。</w:t>
      </w:r>
    </w:p>
    <w:p>
      <w:pPr>
        <w:widowControl/>
        <w:numPr>
          <w:ilvl w:val="0"/>
          <w:numId w:val="1"/>
        </w:numPr>
        <w:pBdr>
          <w:bottom w:val="single" w:color="FFFFFF" w:sz="8" w:space="31"/>
        </w:pBdr>
        <w:shd w:val="clear" w:color="auto" w:fill="FFFFFF"/>
        <w:spacing w:line="580" w:lineRule="atLeast"/>
        <w:ind w:left="0" w:leftChars="0" w:firstLine="960" w:firstLineChars="300"/>
        <w:outlineLvl w:val="1"/>
        <w:rPr>
          <w:rFonts w:hint="eastAsia" w:ascii="宋体" w:hAnsi="宋体" w:eastAsia="宋体" w:cs="宋体"/>
          <w:sz w:val="32"/>
          <w:szCs w:val="32"/>
        </w:rPr>
      </w:pPr>
      <w:bookmarkStart w:id="23" w:name="_Toc2770"/>
      <w:r>
        <w:rPr>
          <w:rFonts w:hint="eastAsia" w:ascii="宋体" w:hAnsi="宋体" w:eastAsia="宋体" w:cs="宋体"/>
          <w:sz w:val="32"/>
          <w:szCs w:val="32"/>
        </w:rPr>
        <w:t>国有资产占有使用情况</w:t>
      </w:r>
      <w:bookmarkEnd w:id="23"/>
    </w:p>
    <w:p>
      <w:pPr>
        <w:widowControl/>
        <w:numPr>
          <w:ilvl w:val="0"/>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截至2023年底，</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辆，单位价值200万元以上大型设备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ascii="仿宋_GB2312" w:hAnsi="仿宋_GB2312" w:eastAsia="仿宋_GB2312" w:cs="仿宋_GB2312"/>
          <w:sz w:val="32"/>
          <w:szCs w:val="32"/>
          <w:lang w:eastAsia="zh-CN"/>
        </w:rPr>
        <w:t>。</w:t>
      </w:r>
    </w:p>
    <w:p>
      <w:pPr>
        <w:widowControl/>
        <w:numPr>
          <w:ilvl w:val="0"/>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2024年部门预算安排车辆购置经费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万元。安排大型设备购置经费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widowControl/>
        <w:numPr>
          <w:ilvl w:val="0"/>
          <w:numId w:val="1"/>
        </w:numPr>
        <w:pBdr>
          <w:bottom w:val="single" w:color="FFFFFF" w:sz="8" w:space="31"/>
        </w:pBdr>
        <w:shd w:val="clear" w:color="auto" w:fill="FFFFFF"/>
        <w:spacing w:line="580" w:lineRule="atLeast"/>
        <w:ind w:left="0" w:leftChars="0" w:firstLine="960" w:firstLineChars="300"/>
        <w:outlineLvl w:val="1"/>
        <w:rPr>
          <w:rFonts w:hint="eastAsia" w:ascii="宋体" w:hAnsi="宋体" w:eastAsia="宋体" w:cs="宋体"/>
          <w:sz w:val="32"/>
          <w:szCs w:val="32"/>
        </w:rPr>
      </w:pPr>
      <w:bookmarkStart w:id="24" w:name="_Toc129"/>
      <w:r>
        <w:rPr>
          <w:rFonts w:hint="eastAsia" w:ascii="宋体" w:hAnsi="宋体" w:eastAsia="宋体" w:cs="宋体"/>
          <w:sz w:val="32"/>
          <w:szCs w:val="32"/>
        </w:rPr>
        <w:t>绩效目标设置情况</w:t>
      </w:r>
      <w:bookmarkEnd w:id="24"/>
    </w:p>
    <w:p>
      <w:pPr>
        <w:widowControl/>
        <w:numPr>
          <w:ilvl w:val="0"/>
          <w:numId w:val="0"/>
        </w:numPr>
        <w:pBdr>
          <w:bottom w:val="single" w:color="FFFFFF" w:sz="8" w:space="31"/>
        </w:pBdr>
        <w:shd w:val="clear" w:color="auto" w:fill="FFFFFF"/>
        <w:spacing w:line="58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绩效目标管理的项目</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 xml:space="preserve"> 43.16</w:t>
      </w:r>
      <w:r>
        <w:rPr>
          <w:rFonts w:hint="eastAsia" w:ascii="仿宋_GB2312" w:hAnsi="仿宋_GB2312" w:eastAsia="仿宋_GB2312" w:cs="仿宋_GB2312"/>
          <w:sz w:val="32"/>
          <w:szCs w:val="32"/>
        </w:rPr>
        <w:t>万元。其中：人员类项目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xml:space="preserve">个，涉及预算 </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万元；运转类项目</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43.16</w:t>
      </w:r>
      <w:r>
        <w:rPr>
          <w:rFonts w:hint="eastAsia" w:ascii="仿宋_GB2312" w:hAnsi="仿宋_GB2312" w:eastAsia="仿宋_GB2312" w:cs="仿宋_GB2312"/>
          <w:sz w:val="32"/>
          <w:szCs w:val="32"/>
        </w:rPr>
        <w:t>万元；特定目标类项目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万元。因部分项目内容涉密，不予公开。</w:t>
      </w:r>
    </w:p>
    <w:p>
      <w:pPr>
        <w:numPr>
          <w:ilvl w:val="0"/>
          <w:numId w:val="2"/>
        </w:numPr>
        <w:spacing w:line="576" w:lineRule="exact"/>
        <w:ind w:firstLine="640" w:firstLineChars="200"/>
        <w:outlineLvl w:val="0"/>
        <w:rPr>
          <w:rFonts w:hint="eastAsia" w:ascii="黑体" w:hAnsi="黑体" w:eastAsia="黑体" w:cs="黑体"/>
          <w:sz w:val="32"/>
          <w:szCs w:val="32"/>
        </w:rPr>
      </w:pPr>
      <w:bookmarkStart w:id="25" w:name="_Toc29424"/>
      <w:r>
        <w:rPr>
          <w:rFonts w:hint="eastAsia" w:ascii="黑体" w:hAnsi="黑体" w:eastAsia="黑体" w:cs="黑体"/>
          <w:sz w:val="32"/>
          <w:szCs w:val="32"/>
        </w:rPr>
        <w:t>名词解释</w:t>
      </w:r>
      <w:bookmarkEnd w:id="25"/>
    </w:p>
    <w:p>
      <w:pPr>
        <w:numPr>
          <w:ilvl w:val="0"/>
          <w:numId w:val="3"/>
        </w:numPr>
        <w:spacing w:line="576" w:lineRule="exact"/>
        <w:ind w:firstLine="640" w:firstLineChars="200"/>
        <w:outlineLvl w:val="0"/>
        <w:rPr>
          <w:rFonts w:hint="eastAsia" w:ascii="仿宋_GB2312" w:hAnsi="仿宋_GB2312" w:eastAsia="仿宋_GB2312" w:cs="仿宋_GB2312"/>
          <w:sz w:val="32"/>
          <w:szCs w:val="32"/>
        </w:rPr>
      </w:pPr>
      <w:bookmarkStart w:id="26" w:name="_Toc27162"/>
      <w:bookmarkStart w:id="27" w:name="_Toc9778"/>
      <w:bookmarkStart w:id="28" w:name="_Toc5641"/>
      <w:r>
        <w:rPr>
          <w:rFonts w:hint="eastAsia" w:ascii="仿宋" w:hAnsi="仿宋" w:eastAsia="仿宋" w:cs="仿宋"/>
          <w:sz w:val="32"/>
          <w:szCs w:val="32"/>
        </w:rPr>
        <w:t>财政拨款收入:指</w:t>
      </w:r>
      <w:bookmarkStart w:id="33" w:name="_GoBack"/>
      <w:bookmarkEnd w:id="33"/>
      <w:r>
        <w:rPr>
          <w:rFonts w:hint="eastAsia" w:ascii="仿宋" w:hAnsi="仿宋" w:eastAsia="仿宋" w:cs="仿宋"/>
          <w:sz w:val="32"/>
          <w:szCs w:val="32"/>
        </w:rPr>
        <w:t>财政当年安排的财政预算收入。按现行管理制度,部门预算中反映的财政拨款包括一般公共预算拨款和政府性基金预算拨款。</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（二）事业收入：指事业单位开展专业业务活动及辅助活动所取得的收入。主要为学校根据国家有关部门批准的项目和标准收取的学费、住宿费等。</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（三）其他收入：指除上述“一般公共预算拨款收入” “事业收入”等以外的收入。如银行存款利息收入、社会考试服务收入、课时收入等。</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）教育支出（类）普通教育（款）学前教育（项）：指全区学前教育发展的基本支出，包括基本工资、津贴补贴等人员经费以及办公费、印刷费、水电费等日常公用经费。</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）教育支出（类）普通教育（款）小学教育（项）：指全区小学教育发展的基本支出，包括基本工资、津贴补贴等人员经费以及办公费、印刷费、水电费等日常公用经费。</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ascii="宋体" w:hAnsi="宋体" w:eastAsia="宋体" w:cs="宋体"/>
          <w:sz w:val="24"/>
          <w:szCs w:val="24"/>
        </w:rPr>
        <w:t>　</w:t>
      </w: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）住房保障（类）住房改革支出（款）住房公积金（项）：指按照《住房公积金管理条例》的规定，由单位及其在职职工缴存的长期住房储金。</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）基本支出：指为保证机构正常运转，完成日常工作任务而发生的人员支出和公用支出。</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val="en-US" w:eastAsia="zh-CN"/>
        </w:rPr>
        <w:t>八</w:t>
      </w:r>
      <w:r>
        <w:rPr>
          <w:rFonts w:hint="eastAsia" w:ascii="仿宋" w:hAnsi="仿宋" w:eastAsia="仿宋" w:cs="仿宋"/>
          <w:sz w:val="32"/>
          <w:szCs w:val="32"/>
        </w:rPr>
        <w:t>）项目支出：指在基本支出之外为完成特定行政任务和事业发展目标所发生的支出。</w:t>
      </w:r>
      <w:r>
        <w:rPr>
          <w:rFonts w:hint="eastAsia" w:ascii="仿宋" w:hAnsi="仿宋" w:eastAsia="仿宋" w:cs="仿宋"/>
          <w:sz w:val="32"/>
          <w:szCs w:val="32"/>
        </w:rPr>
        <w:br w:type="textWrapping"/>
      </w:r>
      <w:r>
        <w:rPr>
          <w:rFonts w:ascii="宋体" w:hAnsi="宋体" w:eastAsia="宋体" w:cs="宋体"/>
          <w:sz w:val="24"/>
          <w:szCs w:val="24"/>
        </w:rPr>
        <w:t>  </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九</w:t>
      </w:r>
      <w:r>
        <w:rPr>
          <w:rFonts w:hint="eastAsia" w:ascii="楷体_GB2312" w:hAnsi="楷体_GB2312" w:eastAsia="楷体_GB2312" w:cs="楷体_GB2312"/>
          <w:sz w:val="32"/>
          <w:szCs w:val="32"/>
        </w:rPr>
        <w:t>）住房保障（类）住房改革支出（款）住房公积金（项）：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r>
        <w:rPr>
          <w:rFonts w:hint="eastAsia" w:ascii="仿宋_GB2312" w:hAnsi="仿宋_GB2312" w:eastAsia="仿宋_GB2312" w:cs="仿宋_GB2312"/>
          <w:sz w:val="32"/>
          <w:szCs w:val="32"/>
        </w:rPr>
        <w:br w:type="textWrapping"/>
      </w:r>
      <w:bookmarkEnd w:id="26"/>
      <w:bookmarkEnd w:id="27"/>
      <w:bookmarkEnd w:id="28"/>
      <w:r>
        <w:rPr>
          <w:rFonts w:hint="eastAsia" w:ascii="仿宋_GB2312" w:hAnsi="仿宋_GB2312" w:eastAsia="仿宋_GB2312" w:cs="仿宋_GB2312"/>
          <w:sz w:val="32"/>
          <w:szCs w:val="32"/>
        </w:rPr>
        <w:t>　</w:t>
      </w:r>
    </w:p>
    <w:p>
      <w:pPr>
        <w:numPr>
          <w:ilvl w:val="0"/>
          <w:numId w:val="0"/>
        </w:numPr>
        <w:spacing w:line="576" w:lineRule="exact"/>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w:t>
      </w:r>
      <w:bookmarkStart w:id="29" w:name="_Toc1574"/>
      <w:bookmarkStart w:id="30" w:name="_Toc32358"/>
      <w:bookmarkStart w:id="31" w:name="_Toc14748"/>
      <w:r>
        <w:rPr>
          <w:rFonts w:hint="eastAsia" w:ascii="仿宋_GB2312" w:hAnsi="仿宋_GB2312" w:eastAsia="仿宋_GB2312" w:cs="仿宋_GB2312"/>
          <w:sz w:val="32"/>
          <w:szCs w:val="32"/>
        </w:rPr>
        <w:t>附件：1.部门预算公开</w:t>
      </w:r>
      <w:r>
        <w:rPr>
          <w:rFonts w:hint="eastAsia" w:ascii="仿宋_GB2312" w:hAnsi="仿宋_GB2312" w:eastAsia="仿宋_GB2312" w:cs="仿宋_GB2312"/>
          <w:sz w:val="32"/>
          <w:szCs w:val="32"/>
          <w:lang w:val="en-US" w:eastAsia="zh-CN"/>
        </w:rPr>
        <w:t>报表</w:t>
      </w:r>
      <w:bookmarkEnd w:id="29"/>
      <w:bookmarkEnd w:id="30"/>
      <w:bookmarkEnd w:id="31"/>
    </w:p>
    <w:p>
      <w:pPr>
        <w:numPr>
          <w:ilvl w:val="0"/>
          <w:numId w:val="0"/>
        </w:numPr>
        <w:spacing w:line="576" w:lineRule="exact"/>
        <w:ind w:firstLine="1280" w:firstLineChars="400"/>
        <w:outlineLvl w:val="1"/>
        <w:rPr>
          <w:rFonts w:ascii="仿宋_GB2312" w:hAnsi="仿宋_GB2312" w:eastAsia="仿宋_GB2312" w:cs="仿宋_GB2312"/>
          <w:sz w:val="32"/>
          <w:szCs w:val="32"/>
        </w:rPr>
      </w:pPr>
      <w:bookmarkStart w:id="32" w:name="_Toc25750"/>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项目支出绩效目标表</w:t>
      </w:r>
      <w:bookmarkEnd w:id="32"/>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80DBA"/>
    <w:multiLevelType w:val="singleLevel"/>
    <w:tmpl w:val="88580DBA"/>
    <w:lvl w:ilvl="0" w:tentative="0">
      <w:start w:val="1"/>
      <w:numFmt w:val="chineseCounting"/>
      <w:suff w:val="nothing"/>
      <w:lvlText w:val="（%1）"/>
      <w:lvlJc w:val="left"/>
      <w:rPr>
        <w:rFonts w:hint="eastAsia"/>
      </w:rPr>
    </w:lvl>
  </w:abstractNum>
  <w:abstractNum w:abstractNumId="1">
    <w:nsid w:val="2C8985A2"/>
    <w:multiLevelType w:val="singleLevel"/>
    <w:tmpl w:val="2C8985A2"/>
    <w:lvl w:ilvl="0" w:tentative="0">
      <w:start w:val="1"/>
      <w:numFmt w:val="chineseCounting"/>
      <w:suff w:val="nothing"/>
      <w:lvlText w:val="（%1）"/>
      <w:lvlJc w:val="left"/>
      <w:rPr>
        <w:rFonts w:hint="eastAsia"/>
      </w:rPr>
    </w:lvl>
  </w:abstractNum>
  <w:abstractNum w:abstractNumId="2">
    <w:nsid w:val="53CD2C50"/>
    <w:multiLevelType w:val="singleLevel"/>
    <w:tmpl w:val="53CD2C50"/>
    <w:lvl w:ilvl="0" w:tentative="0">
      <w:start w:val="1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95F9E"/>
    <w:rsid w:val="007F1906"/>
    <w:rsid w:val="00F75017"/>
    <w:rsid w:val="00F95F9E"/>
    <w:rsid w:val="012352D1"/>
    <w:rsid w:val="057F6E96"/>
    <w:rsid w:val="08915791"/>
    <w:rsid w:val="099E3CC2"/>
    <w:rsid w:val="119448AB"/>
    <w:rsid w:val="16380A5A"/>
    <w:rsid w:val="1642632E"/>
    <w:rsid w:val="16994CCD"/>
    <w:rsid w:val="169A3A63"/>
    <w:rsid w:val="169F07F0"/>
    <w:rsid w:val="17FB49D5"/>
    <w:rsid w:val="1C05633D"/>
    <w:rsid w:val="1F7BF06F"/>
    <w:rsid w:val="1FDB75C6"/>
    <w:rsid w:val="1FEE4B73"/>
    <w:rsid w:val="207E34E2"/>
    <w:rsid w:val="23CE9849"/>
    <w:rsid w:val="2A5D44A6"/>
    <w:rsid w:val="2E192B44"/>
    <w:rsid w:val="340A09C8"/>
    <w:rsid w:val="398C7383"/>
    <w:rsid w:val="39F304DD"/>
    <w:rsid w:val="3D375ADF"/>
    <w:rsid w:val="3F9133A5"/>
    <w:rsid w:val="40805BAE"/>
    <w:rsid w:val="40917FDB"/>
    <w:rsid w:val="44260448"/>
    <w:rsid w:val="447A1643"/>
    <w:rsid w:val="47AB64AE"/>
    <w:rsid w:val="49357497"/>
    <w:rsid w:val="4B632733"/>
    <w:rsid w:val="4DA92202"/>
    <w:rsid w:val="4F6B10FA"/>
    <w:rsid w:val="54244390"/>
    <w:rsid w:val="54662A63"/>
    <w:rsid w:val="58064E12"/>
    <w:rsid w:val="58992FF4"/>
    <w:rsid w:val="58C03626"/>
    <w:rsid w:val="5AE76343"/>
    <w:rsid w:val="5BFEE015"/>
    <w:rsid w:val="5C79279D"/>
    <w:rsid w:val="61475F15"/>
    <w:rsid w:val="631864CE"/>
    <w:rsid w:val="63EDCF55"/>
    <w:rsid w:val="63FBFBCF"/>
    <w:rsid w:val="669360FD"/>
    <w:rsid w:val="68FF6A83"/>
    <w:rsid w:val="6AE03884"/>
    <w:rsid w:val="6E1749C6"/>
    <w:rsid w:val="6FBBC9CF"/>
    <w:rsid w:val="70FE3342"/>
    <w:rsid w:val="71880FC8"/>
    <w:rsid w:val="728704B4"/>
    <w:rsid w:val="72BDE561"/>
    <w:rsid w:val="73BC7F4A"/>
    <w:rsid w:val="74ED582B"/>
    <w:rsid w:val="78462278"/>
    <w:rsid w:val="7997EA6C"/>
    <w:rsid w:val="7A30231D"/>
    <w:rsid w:val="7AEAE675"/>
    <w:rsid w:val="7BAFCE5D"/>
    <w:rsid w:val="7C523723"/>
    <w:rsid w:val="7CEA68E4"/>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autoRedefine/>
    <w:qFormat/>
    <w:uiPriority w:val="0"/>
    <w:pPr>
      <w:suppressLineNumbers/>
      <w:spacing w:before="120" w:after="120"/>
    </w:pPr>
    <w:rPr>
      <w:i/>
      <w:iCs/>
      <w:sz w:val="24"/>
    </w:rPr>
  </w:style>
  <w:style w:type="paragraph" w:styleId="4">
    <w:name w:val="Body Text"/>
    <w:basedOn w:val="1"/>
    <w:autoRedefine/>
    <w:qFormat/>
    <w:uiPriority w:val="0"/>
    <w:pPr>
      <w:spacing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3">
    <w:name w:val="Index"/>
    <w:basedOn w:val="1"/>
    <w:autoRedefine/>
    <w:qFormat/>
    <w:uiPriority w:val="0"/>
    <w:pPr>
      <w:suppressLineNumbers/>
    </w:pPr>
  </w:style>
  <w:style w:type="paragraph" w:customStyle="1" w:styleId="14">
    <w:name w:val="p15"/>
    <w:basedOn w:val="1"/>
    <w:uiPriority w:val="0"/>
    <w:pPr>
      <w:widowControl/>
      <w:spacing w:before="100" w:beforeLines="0" w:after="100" w:afterLines="0"/>
      <w:jc w:val="left"/>
    </w:pPr>
    <w:rPr>
      <w:rFonts w:hint="eastAsia" w:ascii="宋体" w:hAnsi="宋体"/>
      <w:sz w:val="24"/>
    </w:rPr>
  </w:style>
  <w:style w:type="paragraph" w:customStyle="1" w:styleId="15">
    <w:name w:val="WPSOffice手动目录 1"/>
    <w:autoRedefine/>
    <w:uiPriority w:val="0"/>
    <w:pPr>
      <w:ind w:leftChars="0"/>
    </w:pPr>
    <w:rPr>
      <w:rFonts w:ascii="Times New Roman" w:hAnsi="Times New Roman" w:eastAsia="宋体" w:cs="Times New Roman"/>
      <w:sz w:val="20"/>
      <w:szCs w:val="20"/>
    </w:rPr>
  </w:style>
  <w:style w:type="paragraph" w:customStyle="1" w:styleId="16">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884</Words>
  <Characters>5039</Characters>
  <Lines>41</Lines>
  <Paragraphs>11</Paragraphs>
  <TotalTime>1</TotalTime>
  <ScaleCrop>false</ScaleCrop>
  <LinksUpToDate>false</LinksUpToDate>
  <CharactersWithSpaces>5912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2024-03-20T13:00:00Z</dcterms:created>
  <dc:creator>admin</dc:creator>
  <cp:lastModifiedBy>king</cp:lastModifiedBy>
  <dcterms:modified xsi:type="dcterms:W3CDTF">2024-04-08T07:27:40Z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22FF7BFAA36747FE88FB18BAE37C2F55_13</vt:lpwstr>
  </property>
</Properties>
</file>