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0F00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仿宋" w:hAnsi="仿宋" w:eastAsia="仿宋" w:cs="仿宋"/>
          <w:b/>
          <w:bCs/>
          <w:i w:val="0"/>
          <w:caps w:val="0"/>
          <w:color w:val="000000" w:themeColor="text1"/>
          <w:spacing w:val="0"/>
          <w:kern w:val="0"/>
          <w:sz w:val="40"/>
          <w:szCs w:val="40"/>
          <w:highlight w:val="none"/>
          <w:shd w:val="clear" w:color="auto" w:fill="FFFFFF"/>
          <w:lang w:val="en-US" w:eastAsia="zh-CN" w:bidi="ar"/>
          <w14:textFill>
            <w14:solidFill>
              <w14:schemeClr w14:val="tx1"/>
            </w14:solidFill>
          </w14:textFill>
        </w:rPr>
      </w:pPr>
      <w:bookmarkStart w:id="0" w:name="_Toc145"/>
      <w:r>
        <w:rPr>
          <w:rFonts w:hint="eastAsia" w:ascii="仿宋" w:hAnsi="仿宋" w:eastAsia="仿宋" w:cs="仿宋"/>
          <w:b/>
          <w:bCs/>
          <w:i w:val="0"/>
          <w:caps w:val="0"/>
          <w:color w:val="000000" w:themeColor="text1"/>
          <w:spacing w:val="0"/>
          <w:kern w:val="0"/>
          <w:sz w:val="40"/>
          <w:szCs w:val="40"/>
          <w:highlight w:val="none"/>
          <w:shd w:val="clear" w:color="auto" w:fill="FFFFFF"/>
          <w:lang w:val="en-US" w:eastAsia="zh-CN" w:bidi="ar"/>
          <w14:textFill>
            <w14:solidFill>
              <w14:schemeClr w14:val="tx1"/>
            </w14:solidFill>
          </w14:textFill>
        </w:rPr>
        <w:t>广元市昭化区红岩镇小学</w:t>
      </w:r>
      <w:bookmarkEnd w:id="0"/>
    </w:p>
    <w:p w14:paraId="1F6117C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仿宋" w:hAnsi="仿宋" w:eastAsia="仿宋" w:cs="仿宋"/>
          <w:b/>
          <w:bCs/>
          <w:i w:val="0"/>
          <w:caps w:val="0"/>
          <w:color w:val="000000" w:themeColor="text1"/>
          <w:spacing w:val="0"/>
          <w:kern w:val="0"/>
          <w:sz w:val="40"/>
          <w:szCs w:val="40"/>
          <w:highlight w:val="none"/>
          <w:shd w:val="clear" w:color="auto" w:fill="FFFFFF"/>
          <w:lang w:val="en-US" w:eastAsia="zh-CN" w:bidi="ar"/>
          <w14:textFill>
            <w14:solidFill>
              <w14:schemeClr w14:val="tx1"/>
            </w14:solidFill>
          </w14:textFill>
        </w:rPr>
      </w:pPr>
      <w:r>
        <w:rPr>
          <w:rFonts w:hint="eastAsia" w:ascii="仿宋" w:hAnsi="仿宋" w:eastAsia="仿宋" w:cs="仿宋"/>
          <w:b/>
          <w:bCs/>
          <w:i w:val="0"/>
          <w:caps w:val="0"/>
          <w:color w:val="000000" w:themeColor="text1"/>
          <w:spacing w:val="0"/>
          <w:kern w:val="0"/>
          <w:sz w:val="40"/>
          <w:szCs w:val="40"/>
          <w:highlight w:val="none"/>
          <w:shd w:val="clear" w:color="auto" w:fill="FFFFFF"/>
          <w:lang w:val="en-US" w:eastAsia="zh-CN" w:bidi="ar"/>
          <w14:textFill>
            <w14:solidFill>
              <w14:schemeClr w14:val="tx1"/>
            </w14:solidFill>
          </w14:textFill>
        </w:rPr>
        <w:t>2024年部门预算编制说明</w:t>
      </w:r>
    </w:p>
    <w:p w14:paraId="29B83668">
      <w:pPr>
        <w:jc w:val="center"/>
        <w:rPr>
          <w:rFonts w:hint="eastAsia" w:ascii="仿宋" w:hAnsi="仿宋" w:eastAsia="仿宋" w:cs="仿宋"/>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 w:hAnsi="仿宋" w:eastAsia="仿宋" w:cs="仿宋"/>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83109"/>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0689F0E5">
          <w:pPr>
            <w:spacing w:before="0" w:beforeLines="0" w:after="0" w:afterLines="0" w:line="240" w:lineRule="auto"/>
            <w:ind w:left="0" w:leftChars="0" w:right="0" w:rightChars="0" w:firstLine="0" w:firstLineChars="0"/>
            <w:jc w:val="center"/>
          </w:pPr>
        </w:p>
        <w:p w14:paraId="38981D52">
          <w:pPr>
            <w:pStyle w:val="14"/>
            <w:tabs>
              <w:tab w:val="right" w:leader="dot" w:pos="8845"/>
            </w:tabs>
            <w:rPr>
              <w:b/>
            </w:rPr>
          </w:pPr>
          <w:r>
            <w:fldChar w:fldCharType="begin"/>
          </w:r>
          <w:r>
            <w:instrText xml:space="preserve">TOC \o "1-2" \h \u </w:instrText>
          </w:r>
          <w:r>
            <w:fldChar w:fldCharType="separate"/>
          </w:r>
        </w:p>
        <w:p w14:paraId="147497A1">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_Toc1550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一、基本职能及主要工作</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_Toc1550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2</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73C1ABDD">
          <w:pPr>
            <w:pStyle w:val="15"/>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_Toc15322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（一）单位</w:t>
          </w:r>
          <w:r>
            <w:rPr>
              <w:rFonts w:hint="eastAsia" w:ascii="方正仿宋_GB2312" w:hAnsi="方正仿宋_GB2312" w:eastAsia="方正仿宋_GB2312" w:cs="方正仿宋_GB2312"/>
              <w:sz w:val="32"/>
              <w:szCs w:val="32"/>
            </w:rPr>
            <w:t>职能简介</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_Toc15322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14:paraId="64E47B46">
          <w:pPr>
            <w:pStyle w:val="15"/>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_Toc6365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（二）</w:t>
          </w:r>
          <w:r>
            <w:rPr>
              <w:rFonts w:hint="eastAsia" w:ascii="方正仿宋_GB2312" w:hAnsi="方正仿宋_GB2312" w:eastAsia="方正仿宋_GB2312" w:cs="方正仿宋_GB2312"/>
              <w:sz w:val="32"/>
              <w:szCs w:val="32"/>
              <w:lang w:val="en-US" w:eastAsia="zh-CN"/>
            </w:rPr>
            <w:t>单位</w:t>
          </w:r>
          <w:r>
            <w:rPr>
              <w:rFonts w:hint="eastAsia" w:ascii="方正仿宋_GB2312" w:hAnsi="方正仿宋_GB2312" w:eastAsia="方正仿宋_GB2312" w:cs="方正仿宋_GB2312"/>
              <w:sz w:val="32"/>
              <w:szCs w:val="32"/>
              <w:lang w:val="en-US"/>
            </w:rPr>
            <w:t>2024</w:t>
          </w:r>
          <w:r>
            <w:rPr>
              <w:rFonts w:hint="eastAsia" w:ascii="方正仿宋_GB2312" w:hAnsi="方正仿宋_GB2312" w:eastAsia="方正仿宋_GB2312" w:cs="方正仿宋_GB2312"/>
              <w:sz w:val="32"/>
              <w:szCs w:val="32"/>
            </w:rPr>
            <w:t>年重点工作</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_Toc6365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14:paraId="53962617">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_Toc21259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二、部门预算单位构成</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_Toc21259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4</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1BE2A408">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_Toc2958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三、收支预算情况说明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_Toc2958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4</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018415EC">
          <w:pPr>
            <w:pStyle w:val="15"/>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_Toc23763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（一）收入预算情况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_Toc23763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5</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14:paraId="59D85939">
          <w:pPr>
            <w:pStyle w:val="15"/>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_Toc10440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（二）支出预算情况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_Toc10440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5</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14:paraId="30C62D29">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_Toc13579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四、财政拨款收支预算情况说明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_Toc13579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5</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254CCD42">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_Toc29070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五、一般公共预算当年拨款情况说明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_Toc29070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5</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4DF84CD1">
          <w:pPr>
            <w:pStyle w:val="15"/>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_Toc17163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（一）一般公共预算当年拨款规模变化情况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_Toc17163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5</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14:paraId="18B51A0D">
          <w:pPr>
            <w:pStyle w:val="15"/>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_Toc30899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（二）一般公共预算当年拨款结构情况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_Toc30899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5</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14:paraId="7A19F09B">
          <w:pPr>
            <w:pStyle w:val="15"/>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_Toc23507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（三）一般公共预算当年拨款具体使用情况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_Toc23507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5</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14:paraId="7F65FA88">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_Toc24287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六、一般公共预算基本支出情况说明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_Toc24287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6FA98457">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_Toc26213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七、“三公”经费财政拨款预算安排情况说明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_Toc26213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24DFE09C">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_Toc26927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八、政府性基金预算支出情况说明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_Toc26927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2CEC3621">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_Toc19231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九、国有资本经营预算支出情况说明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_Toc19231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7</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4672B4D3">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_Toc30228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十、其他重要事项的情况说明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_Toc30228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7</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3A9AAC12">
          <w:pPr>
            <w:pStyle w:val="14"/>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_Toc20421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sz w:val="32"/>
              <w:szCs w:val="32"/>
              <w:lang w:val="en-US" w:eastAsia="zh-CN"/>
            </w:rPr>
            <w:t>十一、名词解释</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_Toc20421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7</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14:paraId="56747F0B">
          <w:r>
            <w:rPr>
              <w:b/>
            </w:rPr>
            <w:fldChar w:fldCharType="end"/>
          </w:r>
        </w:p>
      </w:sdtContent>
    </w:sdt>
    <w:p w14:paraId="15BC56B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仿宋" w:hAnsi="仿宋" w:eastAsia="仿宋" w:cs="仿宋"/>
          <w:b/>
          <w:i w:val="0"/>
          <w:caps w:val="0"/>
          <w:color w:val="000000" w:themeColor="text1"/>
          <w:spacing w:val="0"/>
          <w:sz w:val="32"/>
          <w:szCs w:val="32"/>
          <w:highlight w:val="none"/>
          <w:shd w:val="clear" w:color="auto" w:fill="FFFFFF"/>
          <w:lang w:val="en-US" w:eastAsia="zh-CN"/>
          <w14:textFill>
            <w14:solidFill>
              <w14:schemeClr w14:val="tx1"/>
            </w14:solidFill>
          </w14:textFill>
        </w:rPr>
      </w:pPr>
      <w:r>
        <w:rPr>
          <w:rFonts w:hint="eastAsia" w:ascii="仿宋" w:hAnsi="仿宋" w:eastAsia="仿宋" w:cs="仿宋"/>
          <w:b/>
          <w:i w:val="0"/>
          <w:caps w:val="0"/>
          <w:color w:val="000000" w:themeColor="text1"/>
          <w:spacing w:val="0"/>
          <w:sz w:val="32"/>
          <w:szCs w:val="32"/>
          <w:highlight w:val="none"/>
          <w:shd w:val="clear" w:color="auto" w:fill="FFFFFF"/>
          <w:lang w:val="en-US" w:eastAsia="zh-CN"/>
          <w14:textFill>
            <w14:solidFill>
              <w14:schemeClr w14:val="tx1"/>
            </w14:solidFill>
          </w14:textFill>
        </w:rPr>
        <w:t xml:space="preserve">     </w:t>
      </w:r>
    </w:p>
    <w:p w14:paraId="2FA4CDA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25E5103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3F9CC24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7CD7543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786C287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47DCC47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033415D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6C702C5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0FA411A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5FA4D9B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0C8D659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6907522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6CE308E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14:paraId="01E658B9">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lang w:val="en-US" w:eastAsia="zh-CN"/>
        </w:rPr>
      </w:pPr>
      <w:bookmarkStart w:id="1" w:name="_Toc1550"/>
    </w:p>
    <w:p w14:paraId="3220813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rPr>
      </w:pPr>
      <w:r>
        <w:rPr>
          <w:rFonts w:hint="eastAsia" w:ascii="仿宋" w:hAnsi="仿宋" w:eastAsia="仿宋" w:cs="仿宋"/>
          <w:b/>
          <w:bCs/>
          <w:sz w:val="32"/>
          <w:szCs w:val="32"/>
          <w:lang w:val="en-US" w:eastAsia="zh-CN"/>
        </w:rPr>
        <w:t>一、基本职能及主要工作</w:t>
      </w:r>
      <w:bookmarkEnd w:id="1"/>
    </w:p>
    <w:p w14:paraId="51B403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rPr>
      </w:pPr>
      <w:bookmarkStart w:id="2" w:name="_Toc15322"/>
      <w:r>
        <w:rPr>
          <w:rFonts w:hint="eastAsia" w:ascii="仿宋" w:hAnsi="仿宋" w:eastAsia="仿宋" w:cs="仿宋"/>
          <w:sz w:val="32"/>
          <w:szCs w:val="32"/>
          <w:lang w:val="en-US" w:eastAsia="zh-CN"/>
        </w:rPr>
        <w:t>（一）单位</w:t>
      </w:r>
      <w:r>
        <w:rPr>
          <w:rFonts w:hint="eastAsia" w:ascii="仿宋" w:hAnsi="仿宋" w:eastAsia="仿宋" w:cs="仿宋"/>
          <w:sz w:val="32"/>
          <w:szCs w:val="32"/>
        </w:rPr>
        <w:t>职能简介</w:t>
      </w:r>
      <w:bookmarkEnd w:id="2"/>
    </w:p>
    <w:p w14:paraId="2848E568">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1.贯彻党的教育方针，坚持社会主义办学方向，实行教育与生产劳动相结合，对学生进行德育、智育、体育、美育和劳动等方面的教育。</w:t>
      </w:r>
    </w:p>
    <w:p w14:paraId="1749B5E7">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2.用科学的发展观指导教育教学工作。加强教育科研工作，推动校本教育的健康发展。加强教学管理，不断推进新课程改革，全面提高教学质量。</w:t>
      </w:r>
    </w:p>
    <w:p w14:paraId="18E49CE0">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3.负责配合各级人民政府依法动员、组织适龄儿童、少年入学，严格控制学生辍学，依法保证适龄儿童、少年接受九年义务教育。</w:t>
      </w:r>
    </w:p>
    <w:p w14:paraId="4606CB06">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4.继续深化人事制度改革，完善学校内部管理，做好后勤保障工作。</w:t>
      </w:r>
    </w:p>
    <w:p w14:paraId="72545EDF">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5.负责科学管理、合理使用学校的设施和经费，并积极筹措资金，改善办学条件。</w:t>
      </w:r>
    </w:p>
    <w:p w14:paraId="662C5EE1">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6.负责维护学校、师生的合法权益，有权拒绝任何组织和个人对教育教学活动进行非法干扰。</w:t>
      </w:r>
    </w:p>
    <w:p w14:paraId="31626881">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7.负责创建绿色校园、文明校园和平安校园。</w:t>
      </w:r>
    </w:p>
    <w:p w14:paraId="3E4C46A2">
      <w:pPr>
        <w:pStyle w:val="4"/>
        <w:adjustRightInd w:val="0"/>
        <w:spacing w:beforeLines="0" w:line="500" w:lineRule="exact"/>
        <w:ind w:firstLine="640" w:firstLineChars="200"/>
        <w:outlineLvl w:val="2"/>
        <w:rPr>
          <w:rFonts w:hint="eastAsia" w:ascii="仿宋" w:hAnsi="仿宋" w:eastAsia="仿宋" w:cs="仿宋"/>
          <w:kern w:val="2"/>
          <w:sz w:val="32"/>
          <w:szCs w:val="32"/>
        </w:rPr>
      </w:pPr>
      <w:r>
        <w:rPr>
          <w:rFonts w:hint="eastAsia" w:ascii="仿宋" w:hAnsi="仿宋" w:eastAsia="仿宋" w:cs="仿宋"/>
          <w:kern w:val="2"/>
          <w:sz w:val="32"/>
          <w:szCs w:val="32"/>
        </w:rPr>
        <w:t>8.负责关心教职工生活，发挥教代会职能作用。</w:t>
      </w:r>
    </w:p>
    <w:p w14:paraId="31E29B0E">
      <w:pPr>
        <w:ind w:firstLine="640" w:firstLineChars="200"/>
        <w:rPr>
          <w:rFonts w:hint="eastAsia" w:ascii="仿宋" w:hAnsi="仿宋" w:eastAsia="仿宋" w:cs="仿宋"/>
          <w:sz w:val="32"/>
          <w:szCs w:val="32"/>
        </w:rPr>
      </w:pPr>
      <w:r>
        <w:rPr>
          <w:rFonts w:hint="eastAsia" w:ascii="仿宋" w:hAnsi="仿宋" w:eastAsia="仿宋" w:cs="仿宋"/>
          <w:sz w:val="32"/>
          <w:szCs w:val="32"/>
        </w:rPr>
        <w:t>9.承办上级交办的其他事项。</w:t>
      </w:r>
    </w:p>
    <w:p w14:paraId="56E4682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rPr>
      </w:pPr>
      <w:bookmarkStart w:id="3" w:name="_Toc6365"/>
      <w:r>
        <w:rPr>
          <w:rFonts w:hint="eastAsia" w:ascii="仿宋" w:hAnsi="仿宋" w:eastAsia="仿宋" w:cs="仿宋"/>
          <w:sz w:val="32"/>
          <w:szCs w:val="32"/>
        </w:rPr>
        <w:t>（二）</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2024</w:t>
      </w:r>
      <w:r>
        <w:rPr>
          <w:rFonts w:hint="eastAsia" w:ascii="仿宋" w:hAnsi="仿宋" w:eastAsia="仿宋" w:cs="仿宋"/>
          <w:sz w:val="32"/>
          <w:szCs w:val="32"/>
        </w:rPr>
        <w:t>年重点工作</w:t>
      </w:r>
      <w:bookmarkEnd w:id="3"/>
    </w:p>
    <w:p w14:paraId="2654532A">
      <w:pPr>
        <w:spacing w:line="576" w:lineRule="exact"/>
        <w:ind w:firstLine="640" w:firstLineChars="200"/>
        <w:rPr>
          <w:rFonts w:hint="eastAsia" w:ascii="仿宋" w:hAnsi="仿宋" w:eastAsia="仿宋" w:cs="仿宋"/>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坚持立德树人</w:t>
      </w:r>
      <w:r>
        <w:rPr>
          <w:rFonts w:hint="eastAsia" w:ascii="仿宋" w:hAnsi="仿宋" w:eastAsia="仿宋" w:cs="仿宋"/>
          <w:b/>
          <w:sz w:val="32"/>
          <w:szCs w:val="32"/>
        </w:rPr>
        <w:t>。</w:t>
      </w:r>
      <w:r>
        <w:rPr>
          <w:rFonts w:hint="eastAsia" w:ascii="仿宋" w:hAnsi="仿宋" w:eastAsia="仿宋" w:cs="仿宋"/>
          <w:sz w:val="32"/>
          <w:szCs w:val="32"/>
        </w:rPr>
        <w:t xml:space="preserve">严格遵守“廉政准则”与中央八项规定，治理在职教师有偿补课，狠抓师德师风建设。不断推进学习型教师团队的建设，从而有效提升教师综合素质。 </w:t>
      </w:r>
    </w:p>
    <w:p w14:paraId="273BF079">
      <w:pPr>
        <w:spacing w:line="576" w:lineRule="exact"/>
        <w:ind w:firstLine="640" w:firstLineChars="200"/>
        <w:rPr>
          <w:rFonts w:hint="eastAsia" w:ascii="仿宋" w:hAnsi="仿宋" w:eastAsia="仿宋" w:cs="仿宋"/>
          <w:sz w:val="32"/>
          <w:szCs w:val="32"/>
          <w:lang w:eastAsia="zh-CN"/>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夯实养成教育。</w:t>
      </w:r>
      <w:r>
        <w:rPr>
          <w:rFonts w:hint="eastAsia" w:ascii="仿宋" w:hAnsi="仿宋" w:eastAsia="仿宋" w:cs="仿宋"/>
          <w:sz w:val="32"/>
          <w:szCs w:val="32"/>
        </w:rPr>
        <w:t>坚持德育为首，不断</w:t>
      </w:r>
      <w:bookmarkStart w:id="26" w:name="_GoBack"/>
      <w:bookmarkEnd w:id="26"/>
      <w:r>
        <w:rPr>
          <w:rFonts w:hint="eastAsia" w:ascii="仿宋" w:hAnsi="仿宋" w:eastAsia="仿宋" w:cs="仿宋"/>
          <w:sz w:val="32"/>
          <w:szCs w:val="32"/>
        </w:rPr>
        <w:t xml:space="preserve">优化学校德育工作方法，结合学校实际及各年龄段学生特点，扎实开展各项教育活动，让活动走进孩子的内心，规范学生行为，确实提高学生思想道德素质，培养学生养成良好的行为习惯。 </w:t>
      </w:r>
    </w:p>
    <w:p w14:paraId="24B5887B">
      <w:pPr>
        <w:spacing w:line="576" w:lineRule="exact"/>
        <w:ind w:firstLine="640" w:firstLineChars="200"/>
        <w:rPr>
          <w:rFonts w:hint="eastAsia" w:ascii="仿宋" w:hAnsi="仿宋" w:eastAsia="仿宋" w:cs="仿宋"/>
          <w:sz w:val="32"/>
          <w:szCs w:val="32"/>
          <w:lang w:eastAsia="zh-CN"/>
        </w:rPr>
      </w:pP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t>实施精细管理。</w:t>
      </w:r>
      <w:r>
        <w:rPr>
          <w:rFonts w:hint="eastAsia" w:ascii="仿宋" w:hAnsi="仿宋" w:eastAsia="仿宋" w:cs="仿宋"/>
          <w:sz w:val="32"/>
          <w:szCs w:val="32"/>
        </w:rPr>
        <w:t xml:space="preserve">注重精细化管理，优化学校各项教育管理制度，放大学校新亮点，不断提高自主办学水平，进一步提升学校内涵发展。 </w:t>
      </w:r>
    </w:p>
    <w:p w14:paraId="4D85D1D8">
      <w:pPr>
        <w:spacing w:line="576" w:lineRule="exact"/>
        <w:ind w:firstLine="640" w:firstLineChars="200"/>
        <w:rPr>
          <w:rFonts w:hint="eastAsia" w:ascii="仿宋" w:hAnsi="仿宋" w:eastAsia="仿宋" w:cs="仿宋"/>
          <w:sz w:val="32"/>
          <w:szCs w:val="32"/>
        </w:rPr>
      </w:pPr>
      <w:r>
        <w:rPr>
          <w:rFonts w:hint="eastAsia" w:ascii="仿宋" w:hAnsi="仿宋" w:eastAsia="仿宋" w:cs="仿宋"/>
          <w:b w:val="0"/>
          <w:bCs/>
          <w:sz w:val="32"/>
          <w:szCs w:val="32"/>
          <w:lang w:val="en-US" w:eastAsia="zh-CN"/>
        </w:rPr>
        <w:t>4、</w:t>
      </w:r>
      <w:r>
        <w:rPr>
          <w:rFonts w:hint="eastAsia" w:ascii="仿宋" w:hAnsi="仿宋" w:eastAsia="仿宋" w:cs="仿宋"/>
          <w:b w:val="0"/>
          <w:bCs/>
          <w:sz w:val="32"/>
          <w:szCs w:val="32"/>
        </w:rPr>
        <w:t>深化教学改革。</w:t>
      </w:r>
      <w:r>
        <w:rPr>
          <w:rFonts w:hint="eastAsia" w:ascii="仿宋" w:hAnsi="仿宋" w:eastAsia="仿宋" w:cs="仿宋"/>
          <w:sz w:val="32"/>
          <w:szCs w:val="32"/>
        </w:rPr>
        <w:t>以优化课堂教学为抓手，持续搞好高效课堂活动，以课题研究为主线，扎实开展教科研活动，促进教育教学质量的提高。</w:t>
      </w:r>
    </w:p>
    <w:p w14:paraId="7071079C">
      <w:pPr>
        <w:spacing w:line="576" w:lineRule="exact"/>
        <w:ind w:firstLine="640" w:firstLineChars="200"/>
        <w:rPr>
          <w:rFonts w:hint="eastAsia" w:ascii="仿宋" w:hAnsi="仿宋" w:eastAsia="仿宋" w:cs="仿宋"/>
          <w:sz w:val="32"/>
          <w:szCs w:val="32"/>
        </w:rPr>
      </w:pPr>
      <w:r>
        <w:rPr>
          <w:rFonts w:hint="eastAsia" w:ascii="仿宋" w:hAnsi="仿宋" w:eastAsia="仿宋" w:cs="仿宋"/>
          <w:b w:val="0"/>
          <w:bCs/>
          <w:sz w:val="32"/>
          <w:szCs w:val="32"/>
          <w:lang w:val="en-US" w:eastAsia="zh-CN"/>
        </w:rPr>
        <w:t>5、</w:t>
      </w:r>
      <w:r>
        <w:rPr>
          <w:rFonts w:hint="eastAsia" w:ascii="仿宋" w:hAnsi="仿宋" w:eastAsia="仿宋" w:cs="仿宋"/>
          <w:b w:val="0"/>
          <w:bCs/>
          <w:sz w:val="32"/>
          <w:szCs w:val="32"/>
        </w:rPr>
        <w:t>强</w:t>
      </w:r>
      <w:r>
        <w:rPr>
          <w:rFonts w:hint="eastAsia" w:ascii="仿宋" w:hAnsi="仿宋" w:eastAsia="仿宋" w:cs="仿宋"/>
          <w:b w:val="0"/>
          <w:bCs/>
          <w:sz w:val="32"/>
          <w:szCs w:val="32"/>
          <w:lang w:eastAsia="zh-CN"/>
        </w:rPr>
        <w:t>化</w:t>
      </w:r>
      <w:r>
        <w:rPr>
          <w:rFonts w:hint="eastAsia" w:ascii="仿宋" w:hAnsi="仿宋" w:eastAsia="仿宋" w:cs="仿宋"/>
          <w:b w:val="0"/>
          <w:bCs/>
          <w:sz w:val="32"/>
          <w:szCs w:val="32"/>
        </w:rPr>
        <w:t>党建</w:t>
      </w:r>
      <w:r>
        <w:rPr>
          <w:rFonts w:hint="eastAsia" w:ascii="仿宋" w:hAnsi="仿宋" w:eastAsia="仿宋" w:cs="仿宋"/>
          <w:b w:val="0"/>
          <w:bCs/>
          <w:sz w:val="32"/>
          <w:szCs w:val="32"/>
          <w:lang w:eastAsia="zh-CN"/>
        </w:rPr>
        <w:t>引领</w:t>
      </w:r>
      <w:r>
        <w:rPr>
          <w:rFonts w:hint="eastAsia" w:ascii="仿宋" w:hAnsi="仿宋" w:eastAsia="仿宋" w:cs="仿宋"/>
          <w:b w:val="0"/>
          <w:bCs/>
          <w:sz w:val="32"/>
          <w:szCs w:val="32"/>
        </w:rPr>
        <w:t>。</w:t>
      </w:r>
      <w:r>
        <w:rPr>
          <w:rFonts w:hint="eastAsia" w:ascii="仿宋" w:hAnsi="仿宋" w:eastAsia="仿宋" w:cs="仿宋"/>
          <w:b w:val="0"/>
          <w:bCs/>
          <w:sz w:val="32"/>
          <w:szCs w:val="32"/>
          <w:lang w:eastAsia="zh-CN"/>
        </w:rPr>
        <w:t>完善党组织领导下的校长负责制，加强党组织对学校工作的统领，确保</w:t>
      </w:r>
      <w:r>
        <w:rPr>
          <w:rFonts w:hint="eastAsia" w:ascii="仿宋" w:hAnsi="仿宋" w:eastAsia="仿宋" w:cs="仿宋"/>
          <w:sz w:val="32"/>
          <w:szCs w:val="32"/>
        </w:rPr>
        <w:t>学校党组织建设的制度化、正常化，积极实施党建创新工程，继续落实党建文化建设要求，强化党建工作。</w:t>
      </w:r>
    </w:p>
    <w:p w14:paraId="435D3E69">
      <w:pPr>
        <w:spacing w:line="576" w:lineRule="exact"/>
        <w:ind w:firstLine="640" w:firstLineChars="200"/>
        <w:rPr>
          <w:rFonts w:hint="eastAsia" w:ascii="仿宋" w:hAnsi="仿宋" w:eastAsia="仿宋" w:cs="仿宋"/>
          <w:sz w:val="32"/>
          <w:szCs w:val="32"/>
        </w:rPr>
      </w:pPr>
      <w:r>
        <w:rPr>
          <w:rFonts w:hint="eastAsia" w:ascii="仿宋" w:hAnsi="仿宋" w:eastAsia="仿宋" w:cs="仿宋"/>
          <w:b w:val="0"/>
          <w:bCs/>
          <w:sz w:val="32"/>
          <w:szCs w:val="32"/>
          <w:lang w:val="en-US" w:eastAsia="zh-CN"/>
        </w:rPr>
        <w:t>6、</w:t>
      </w:r>
      <w:r>
        <w:rPr>
          <w:rFonts w:hint="eastAsia" w:ascii="仿宋" w:hAnsi="仿宋" w:eastAsia="仿宋" w:cs="仿宋"/>
          <w:b w:val="0"/>
          <w:bCs/>
          <w:sz w:val="32"/>
          <w:szCs w:val="32"/>
        </w:rPr>
        <w:t>加强特色</w:t>
      </w:r>
      <w:r>
        <w:rPr>
          <w:rFonts w:hint="eastAsia" w:ascii="仿宋" w:hAnsi="仿宋" w:eastAsia="仿宋" w:cs="仿宋"/>
          <w:b w:val="0"/>
          <w:bCs/>
          <w:sz w:val="32"/>
          <w:szCs w:val="32"/>
          <w:lang w:eastAsia="zh-CN"/>
        </w:rPr>
        <w:t>创建</w:t>
      </w:r>
      <w:r>
        <w:rPr>
          <w:rFonts w:hint="eastAsia" w:ascii="仿宋" w:hAnsi="仿宋" w:eastAsia="仿宋" w:cs="仿宋"/>
          <w:b w:val="0"/>
          <w:bCs/>
          <w:sz w:val="32"/>
          <w:szCs w:val="32"/>
        </w:rPr>
        <w:t>。</w:t>
      </w:r>
      <w:r>
        <w:rPr>
          <w:rFonts w:hint="eastAsia" w:ascii="仿宋" w:hAnsi="仿宋" w:eastAsia="仿宋" w:cs="仿宋"/>
          <w:sz w:val="32"/>
          <w:szCs w:val="32"/>
        </w:rPr>
        <w:t>紧紧围绕“</w:t>
      </w:r>
      <w:r>
        <w:rPr>
          <w:rFonts w:hint="eastAsia" w:ascii="仿宋" w:hAnsi="仿宋" w:eastAsia="仿宋" w:cs="仿宋"/>
          <w:sz w:val="32"/>
          <w:szCs w:val="32"/>
          <w:lang w:eastAsia="zh-CN"/>
        </w:rPr>
        <w:t>学有所长</w:t>
      </w:r>
      <w:r>
        <w:rPr>
          <w:rFonts w:hint="eastAsia" w:ascii="仿宋" w:hAnsi="仿宋" w:eastAsia="仿宋" w:cs="仿宋"/>
          <w:sz w:val="32"/>
          <w:szCs w:val="32"/>
        </w:rPr>
        <w:t>”中心，继续加强</w:t>
      </w:r>
      <w:r>
        <w:rPr>
          <w:rFonts w:hint="eastAsia" w:ascii="仿宋" w:hAnsi="仿宋" w:eastAsia="仿宋" w:cs="仿宋"/>
          <w:sz w:val="32"/>
          <w:szCs w:val="32"/>
          <w:lang w:val="en-US" w:eastAsia="zh-CN"/>
        </w:rPr>
        <w:t>学校</w:t>
      </w:r>
      <w:r>
        <w:rPr>
          <w:rFonts w:hint="eastAsia" w:ascii="仿宋" w:hAnsi="仿宋" w:eastAsia="仿宋" w:cs="仿宋"/>
          <w:sz w:val="32"/>
          <w:szCs w:val="32"/>
        </w:rPr>
        <w:t>特色建设。</w:t>
      </w:r>
    </w:p>
    <w:p w14:paraId="14366940">
      <w:pPr>
        <w:spacing w:line="576" w:lineRule="exact"/>
        <w:ind w:firstLine="640" w:firstLineChars="200"/>
        <w:rPr>
          <w:rFonts w:hint="eastAsia" w:ascii="仿宋" w:hAnsi="仿宋" w:eastAsia="仿宋" w:cs="仿宋"/>
          <w:sz w:val="32"/>
          <w:szCs w:val="32"/>
          <w:lang w:eastAsia="zh-CN"/>
        </w:rPr>
      </w:pPr>
      <w:r>
        <w:rPr>
          <w:rFonts w:hint="eastAsia" w:ascii="仿宋" w:hAnsi="仿宋" w:eastAsia="仿宋" w:cs="仿宋"/>
          <w:b w:val="0"/>
          <w:bCs/>
          <w:sz w:val="32"/>
          <w:szCs w:val="32"/>
          <w:lang w:val="en-US" w:eastAsia="zh-CN"/>
        </w:rPr>
        <w:t>7、</w:t>
      </w:r>
      <w:r>
        <w:rPr>
          <w:rFonts w:hint="eastAsia" w:ascii="仿宋" w:hAnsi="仿宋" w:eastAsia="仿宋" w:cs="仿宋"/>
          <w:b w:val="0"/>
          <w:bCs/>
          <w:sz w:val="32"/>
          <w:szCs w:val="32"/>
          <w:lang w:eastAsia="zh-CN"/>
        </w:rPr>
        <w:t>推进依法治校</w:t>
      </w:r>
      <w:r>
        <w:rPr>
          <w:rFonts w:hint="eastAsia" w:ascii="仿宋" w:hAnsi="仿宋" w:eastAsia="仿宋" w:cs="仿宋"/>
          <w:b w:val="0"/>
          <w:bCs/>
          <w:sz w:val="32"/>
          <w:szCs w:val="32"/>
        </w:rPr>
        <w:t>。</w:t>
      </w:r>
      <w:r>
        <w:rPr>
          <w:rFonts w:hint="eastAsia" w:ascii="仿宋" w:hAnsi="仿宋" w:eastAsia="仿宋" w:cs="仿宋"/>
          <w:sz w:val="32"/>
          <w:szCs w:val="32"/>
          <w:lang w:eastAsia="zh-CN"/>
        </w:rPr>
        <w:t>把学校工作纳入法制轨道，切实提高法律素质，全面推进依法治校，在校园中形成学法、知法、守法、用法、护法的良好风气。</w:t>
      </w:r>
    </w:p>
    <w:p w14:paraId="7B19B61A">
      <w:pPr>
        <w:spacing w:line="576" w:lineRule="exact"/>
        <w:ind w:firstLine="640" w:firstLineChars="200"/>
        <w:rPr>
          <w:rFonts w:hint="eastAsia" w:ascii="仿宋" w:hAnsi="仿宋" w:eastAsia="仿宋" w:cs="仿宋"/>
          <w:b/>
          <w:sz w:val="32"/>
          <w:szCs w:val="32"/>
          <w:lang w:eastAsia="zh-CN"/>
        </w:rPr>
      </w:pPr>
      <w:r>
        <w:rPr>
          <w:rFonts w:hint="eastAsia" w:ascii="仿宋" w:hAnsi="仿宋" w:eastAsia="仿宋" w:cs="仿宋"/>
          <w:b w:val="0"/>
          <w:bCs/>
          <w:sz w:val="32"/>
          <w:szCs w:val="32"/>
          <w:lang w:val="en-US" w:eastAsia="zh-CN"/>
        </w:rPr>
        <w:t>8、</w:t>
      </w:r>
      <w:r>
        <w:rPr>
          <w:rFonts w:hint="eastAsia" w:ascii="仿宋" w:hAnsi="仿宋" w:eastAsia="仿宋" w:cs="仿宋"/>
          <w:b w:val="0"/>
          <w:bCs/>
          <w:sz w:val="32"/>
          <w:szCs w:val="32"/>
          <w:lang w:eastAsia="zh-CN"/>
        </w:rPr>
        <w:t>夯实义教改革。深化宣传，扎实做好义务教育几项改革重点工作，确保“双减”落到实处，“五项管理”有序推进，</w:t>
      </w:r>
      <w:r>
        <w:rPr>
          <w:rFonts w:hint="eastAsia" w:ascii="仿宋" w:hAnsi="仿宋" w:eastAsia="仿宋" w:cs="仿宋"/>
          <w:b w:val="0"/>
          <w:bCs/>
          <w:sz w:val="32"/>
          <w:szCs w:val="32"/>
          <w:lang w:val="en-US" w:eastAsia="zh-CN"/>
        </w:rPr>
        <w:t>课后服务质量提升</w:t>
      </w:r>
      <w:r>
        <w:rPr>
          <w:rFonts w:hint="eastAsia" w:ascii="仿宋" w:hAnsi="仿宋" w:eastAsia="仿宋" w:cs="仿宋"/>
          <w:b w:val="0"/>
          <w:bCs/>
          <w:sz w:val="32"/>
          <w:szCs w:val="32"/>
          <w:lang w:eastAsia="zh-CN"/>
        </w:rPr>
        <w:t>。</w:t>
      </w:r>
    </w:p>
    <w:p w14:paraId="4DB67F35">
      <w:pPr>
        <w:spacing w:line="576" w:lineRule="exact"/>
        <w:ind w:firstLine="640" w:firstLineChars="200"/>
        <w:rPr>
          <w:rFonts w:hint="eastAsia" w:ascii="仿宋" w:hAnsi="仿宋" w:eastAsia="仿宋" w:cs="仿宋"/>
          <w:sz w:val="32"/>
          <w:szCs w:val="32"/>
        </w:rPr>
      </w:pPr>
      <w:r>
        <w:rPr>
          <w:rFonts w:hint="eastAsia" w:ascii="仿宋" w:hAnsi="仿宋" w:eastAsia="仿宋" w:cs="仿宋"/>
          <w:b w:val="0"/>
          <w:bCs/>
          <w:sz w:val="32"/>
          <w:szCs w:val="32"/>
          <w:lang w:val="en-US" w:eastAsia="zh-CN"/>
        </w:rPr>
        <w:t>9、</w:t>
      </w:r>
      <w:r>
        <w:rPr>
          <w:rFonts w:hint="eastAsia" w:ascii="仿宋" w:hAnsi="仿宋" w:eastAsia="仿宋" w:cs="仿宋"/>
          <w:b w:val="0"/>
          <w:bCs/>
          <w:sz w:val="32"/>
          <w:szCs w:val="32"/>
        </w:rPr>
        <w:t>提升服务水平。</w:t>
      </w:r>
      <w:r>
        <w:rPr>
          <w:rFonts w:hint="eastAsia" w:ascii="仿宋" w:hAnsi="仿宋" w:eastAsia="仿宋" w:cs="仿宋"/>
          <w:sz w:val="32"/>
          <w:szCs w:val="32"/>
        </w:rPr>
        <w:t>加强校园文化建设，精心打造文明、卫生的校园环境，提高后勤服务和管理水平；</w:t>
      </w:r>
      <w:r>
        <w:rPr>
          <w:rFonts w:hint="eastAsia" w:ascii="仿宋" w:hAnsi="仿宋" w:eastAsia="仿宋" w:cs="仿宋"/>
          <w:sz w:val="32"/>
          <w:szCs w:val="32"/>
          <w:lang w:val="en-US" w:eastAsia="zh-CN"/>
        </w:rPr>
        <w:t>切实做好工会服务工作，为教师排忧解难；积极推进家校共育、警校共育、医校共育等工作，</w:t>
      </w:r>
      <w:r>
        <w:rPr>
          <w:rFonts w:hint="eastAsia" w:ascii="仿宋" w:hAnsi="仿宋" w:eastAsia="仿宋" w:cs="仿宋"/>
          <w:sz w:val="32"/>
          <w:szCs w:val="32"/>
        </w:rPr>
        <w:t>推动学校教育长远发展。</w:t>
      </w:r>
    </w:p>
    <w:p w14:paraId="38274104">
      <w:pPr>
        <w:spacing w:line="576" w:lineRule="exact"/>
        <w:ind w:firstLine="640" w:firstLineChars="200"/>
        <w:rPr>
          <w:rFonts w:hint="eastAsia" w:ascii="仿宋" w:hAnsi="仿宋" w:eastAsia="仿宋" w:cs="仿宋"/>
          <w:sz w:val="32"/>
          <w:szCs w:val="32"/>
          <w:lang w:eastAsia="zh-CN"/>
        </w:rPr>
      </w:pPr>
      <w:r>
        <w:rPr>
          <w:rFonts w:hint="eastAsia" w:ascii="仿宋" w:hAnsi="仿宋" w:eastAsia="仿宋" w:cs="仿宋"/>
          <w:b w:val="0"/>
          <w:bCs w:val="0"/>
          <w:sz w:val="32"/>
          <w:szCs w:val="32"/>
          <w:lang w:val="en-US" w:eastAsia="zh-CN"/>
        </w:rPr>
        <w:t>10、筑牢安全</w:t>
      </w:r>
      <w:r>
        <w:rPr>
          <w:rFonts w:hint="eastAsia" w:ascii="仿宋" w:hAnsi="仿宋" w:eastAsia="仿宋" w:cs="仿宋"/>
          <w:b w:val="0"/>
          <w:bCs w:val="0"/>
          <w:sz w:val="32"/>
          <w:szCs w:val="32"/>
          <w:lang w:eastAsia="zh-CN"/>
        </w:rPr>
        <w:t>防控。</w:t>
      </w:r>
      <w:r>
        <w:rPr>
          <w:rFonts w:hint="eastAsia" w:ascii="仿宋" w:hAnsi="仿宋" w:eastAsia="仿宋" w:cs="仿宋"/>
          <w:sz w:val="32"/>
          <w:szCs w:val="32"/>
          <w:lang w:eastAsia="zh-CN"/>
        </w:rPr>
        <w:t>完善制度，强化责任，</w:t>
      </w:r>
      <w:r>
        <w:rPr>
          <w:rFonts w:hint="eastAsia" w:ascii="仿宋" w:hAnsi="仿宋" w:eastAsia="仿宋" w:cs="仿宋"/>
          <w:sz w:val="32"/>
          <w:szCs w:val="32"/>
          <w:lang w:val="en-US" w:eastAsia="zh-CN"/>
        </w:rPr>
        <w:t>落实三防</w:t>
      </w:r>
      <w:r>
        <w:rPr>
          <w:rFonts w:hint="eastAsia" w:ascii="仿宋" w:hAnsi="仿宋" w:eastAsia="仿宋" w:cs="仿宋"/>
          <w:sz w:val="32"/>
          <w:szCs w:val="32"/>
          <w:lang w:eastAsia="zh-CN"/>
        </w:rPr>
        <w:t>，抓实抓细</w:t>
      </w:r>
      <w:r>
        <w:rPr>
          <w:rFonts w:hint="eastAsia" w:ascii="仿宋" w:hAnsi="仿宋" w:eastAsia="仿宋" w:cs="仿宋"/>
          <w:sz w:val="32"/>
          <w:szCs w:val="32"/>
          <w:lang w:val="en-US" w:eastAsia="zh-CN"/>
        </w:rPr>
        <w:t>专题教育活动</w:t>
      </w:r>
      <w:r>
        <w:rPr>
          <w:rFonts w:hint="eastAsia" w:ascii="仿宋" w:hAnsi="仿宋" w:eastAsia="仿宋" w:cs="仿宋"/>
          <w:sz w:val="32"/>
          <w:szCs w:val="32"/>
          <w:lang w:eastAsia="zh-CN"/>
        </w:rPr>
        <w:t>，确保不出现任何</w:t>
      </w:r>
      <w:r>
        <w:rPr>
          <w:rFonts w:hint="eastAsia" w:ascii="仿宋" w:hAnsi="仿宋" w:eastAsia="仿宋" w:cs="仿宋"/>
          <w:sz w:val="32"/>
          <w:szCs w:val="32"/>
          <w:lang w:val="en-US" w:eastAsia="zh-CN"/>
        </w:rPr>
        <w:t>责任事故</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p>
    <w:p w14:paraId="7824BE3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lang w:val="en-US" w:eastAsia="zh-CN"/>
        </w:rPr>
      </w:pPr>
      <w:bookmarkStart w:id="4" w:name="_Toc21259"/>
      <w:r>
        <w:rPr>
          <w:rFonts w:hint="eastAsia" w:ascii="仿宋" w:hAnsi="仿宋" w:eastAsia="仿宋" w:cs="仿宋"/>
          <w:b/>
          <w:bCs/>
          <w:sz w:val="32"/>
          <w:szCs w:val="32"/>
          <w:lang w:val="en-US" w:eastAsia="zh-CN"/>
        </w:rPr>
        <w:t>二、部门预算单位构成</w:t>
      </w:r>
      <w:bookmarkEnd w:id="4"/>
    </w:p>
    <w:p w14:paraId="0EE4CC1F">
      <w:pPr>
        <w:snapToGrid w:val="0"/>
        <w:spacing w:line="520" w:lineRule="exact"/>
        <w:ind w:firstLine="640" w:firstLineChars="200"/>
        <w:rPr>
          <w:rFonts w:ascii="仿宋" w:hAnsi="仿宋" w:eastAsia="仿宋"/>
          <w:sz w:val="32"/>
          <w:szCs w:val="32"/>
        </w:rPr>
      </w:pPr>
      <w:r>
        <w:rPr>
          <w:rFonts w:hint="eastAsia" w:ascii="仿宋" w:hAnsi="仿宋" w:eastAsia="仿宋"/>
          <w:sz w:val="32"/>
          <w:szCs w:val="32"/>
        </w:rPr>
        <w:t>本单位为广元市昭化区教育局所属的二级预算单位，</w:t>
      </w:r>
      <w:r>
        <w:rPr>
          <w:rFonts w:hint="eastAsia" w:ascii="仿宋" w:hAnsi="仿宋" w:eastAsia="仿宋"/>
          <w:sz w:val="32"/>
          <w:szCs w:val="32"/>
          <w:lang w:val="en-US" w:eastAsia="zh-CN"/>
        </w:rPr>
        <w:t>本单位无下属机构</w:t>
      </w:r>
      <w:r>
        <w:rPr>
          <w:rFonts w:hint="eastAsia" w:ascii="仿宋" w:hAnsi="仿宋" w:eastAsia="仿宋"/>
          <w:sz w:val="32"/>
          <w:szCs w:val="32"/>
          <w:lang w:eastAsia="zh-CN"/>
        </w:rPr>
        <w:t>，</w:t>
      </w:r>
      <w:r>
        <w:rPr>
          <w:rFonts w:hint="eastAsia" w:ascii="仿宋" w:hAnsi="仿宋" w:eastAsia="仿宋"/>
          <w:sz w:val="32"/>
          <w:szCs w:val="32"/>
          <w:lang w:val="en-US" w:eastAsia="zh-CN"/>
        </w:rPr>
        <w:t>属于公益一类事业单位</w:t>
      </w:r>
      <w:r>
        <w:rPr>
          <w:rFonts w:hint="eastAsia" w:ascii="仿宋" w:hAnsi="仿宋" w:eastAsia="仿宋"/>
          <w:sz w:val="32"/>
          <w:szCs w:val="32"/>
        </w:rPr>
        <w:t>。</w:t>
      </w:r>
    </w:p>
    <w:p w14:paraId="0E9786E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rPr>
      </w:pPr>
      <w:bookmarkStart w:id="5" w:name="_Toc2958"/>
      <w:r>
        <w:rPr>
          <w:rFonts w:hint="eastAsia" w:ascii="仿宋" w:hAnsi="仿宋" w:eastAsia="仿宋" w:cs="仿宋"/>
          <w:b/>
          <w:bCs/>
          <w:sz w:val="32"/>
          <w:szCs w:val="32"/>
          <w:lang w:val="en-US" w:eastAsia="zh-CN"/>
        </w:rPr>
        <w:t>三、收支预算情况说明</w:t>
      </w:r>
      <w:bookmarkEnd w:id="5"/>
    </w:p>
    <w:p w14:paraId="295726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综合预算的原则，红岩小学所有收入和支出均纳入部门预算管理。收入：一般公共预算拨款收入；支出包括：教育支出。红岩小学2024年收支预算总数333.89万元,比2023年收支预算总数减少40.02万元，主要原因是基本支出减少。</w:t>
      </w:r>
    </w:p>
    <w:p w14:paraId="435794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6" w:name="_Toc23763"/>
      <w:r>
        <w:rPr>
          <w:rFonts w:hint="eastAsia" w:ascii="仿宋" w:hAnsi="仿宋" w:eastAsia="仿宋" w:cs="仿宋"/>
          <w:sz w:val="32"/>
          <w:szCs w:val="32"/>
          <w:lang w:val="en-US" w:eastAsia="zh-CN"/>
        </w:rPr>
        <w:t>（一）收入预算情况</w:t>
      </w:r>
      <w:bookmarkEnd w:id="6"/>
    </w:p>
    <w:p w14:paraId="7B42B8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红岩小学2024年收入预算333.89万元，其中：一般公共预算拨款收入333.89万元，占100%。</w:t>
      </w:r>
    </w:p>
    <w:p w14:paraId="3A2AEB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7" w:name="_Toc10440"/>
      <w:r>
        <w:rPr>
          <w:rFonts w:hint="eastAsia" w:ascii="仿宋" w:hAnsi="仿宋" w:eastAsia="仿宋" w:cs="仿宋"/>
          <w:sz w:val="32"/>
          <w:szCs w:val="32"/>
          <w:lang w:val="en-US" w:eastAsia="zh-CN"/>
        </w:rPr>
        <w:t>（二）支出预算情况</w:t>
      </w:r>
      <w:bookmarkEnd w:id="7"/>
    </w:p>
    <w:p w14:paraId="34E1D53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红岩小学2024年支出预算333.89万元，其中：基本支出302.29万元，占90.53%；项目支出31.6万元，占9.47%</w:t>
      </w:r>
      <w:r>
        <w:rPr>
          <w:rFonts w:hint="eastAsia" w:ascii="仿宋" w:hAnsi="仿宋" w:eastAsia="仿宋" w:cs="仿宋"/>
          <w:b w:val="0"/>
          <w:bCs w:val="0"/>
          <w:sz w:val="32"/>
          <w:szCs w:val="32"/>
          <w:lang w:val="en-US" w:eastAsia="zh-CN"/>
        </w:rPr>
        <w:t>。</w:t>
      </w:r>
    </w:p>
    <w:p w14:paraId="164B1B8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rPr>
      </w:pPr>
      <w:bookmarkStart w:id="8" w:name="_Toc13579"/>
      <w:r>
        <w:rPr>
          <w:rFonts w:hint="eastAsia" w:ascii="仿宋" w:hAnsi="仿宋" w:eastAsia="仿宋" w:cs="仿宋"/>
          <w:b/>
          <w:bCs/>
          <w:sz w:val="32"/>
          <w:szCs w:val="32"/>
          <w:lang w:val="en-US" w:eastAsia="zh-CN"/>
        </w:rPr>
        <w:t>四、财政拨款收支预算情况说明</w:t>
      </w:r>
      <w:bookmarkEnd w:id="8"/>
    </w:p>
    <w:p w14:paraId="0C5FA5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红岩小学2024年财政拨款收支预算总数333.89万元,比2023年财政拨款收支预算总数减少40.02万元，主要原因是基本支出减少。</w:t>
      </w:r>
    </w:p>
    <w:p w14:paraId="2CED5B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收入：本年一般公共预算拨款收入333.89万元；支出：教育支出333.89万元。</w:t>
      </w:r>
    </w:p>
    <w:p w14:paraId="55843B00">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lang w:val="en-US" w:eastAsia="zh-CN"/>
        </w:rPr>
      </w:pPr>
      <w:bookmarkStart w:id="9" w:name="_Toc29070"/>
      <w:r>
        <w:rPr>
          <w:rFonts w:hint="eastAsia" w:ascii="仿宋" w:hAnsi="仿宋" w:eastAsia="仿宋" w:cs="仿宋"/>
          <w:b/>
          <w:bCs/>
          <w:sz w:val="32"/>
          <w:szCs w:val="32"/>
          <w:lang w:val="en-US" w:eastAsia="zh-CN"/>
        </w:rPr>
        <w:t>五、一般公共预算当年拨款情况说明</w:t>
      </w:r>
      <w:bookmarkEnd w:id="9"/>
    </w:p>
    <w:p w14:paraId="42A3EB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10" w:name="_Toc17163"/>
      <w:r>
        <w:rPr>
          <w:rFonts w:hint="eastAsia" w:ascii="仿宋" w:hAnsi="仿宋" w:eastAsia="仿宋" w:cs="仿宋"/>
          <w:sz w:val="32"/>
          <w:szCs w:val="32"/>
          <w:lang w:val="en-US" w:eastAsia="zh-CN"/>
        </w:rPr>
        <w:t>（一）一般公共预算当年拨款规模变化情况</w:t>
      </w:r>
      <w:bookmarkEnd w:id="10"/>
    </w:p>
    <w:p w14:paraId="6F6F0E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红岩小学2024年一般公共预算当年拨款333.89万元，比2023年预算数减少40.02万元，主要原因是基本支出减少。</w:t>
      </w:r>
    </w:p>
    <w:p w14:paraId="337FB4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11" w:name="_Toc30899"/>
      <w:r>
        <w:rPr>
          <w:rFonts w:hint="eastAsia" w:ascii="仿宋" w:hAnsi="仿宋" w:eastAsia="仿宋" w:cs="仿宋"/>
          <w:sz w:val="32"/>
          <w:szCs w:val="32"/>
          <w:lang w:val="en-US" w:eastAsia="zh-CN"/>
        </w:rPr>
        <w:t>（二）一般公共预算当年拨款结构情况</w:t>
      </w:r>
      <w:bookmarkEnd w:id="11"/>
    </w:p>
    <w:p w14:paraId="0CA8C5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教育支出333.89万元，占100%。</w:t>
      </w:r>
    </w:p>
    <w:p w14:paraId="15F45D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12" w:name="_Toc23507"/>
      <w:r>
        <w:rPr>
          <w:rFonts w:hint="eastAsia" w:ascii="仿宋" w:hAnsi="仿宋" w:eastAsia="仿宋" w:cs="仿宋"/>
          <w:sz w:val="32"/>
          <w:szCs w:val="32"/>
          <w:lang w:val="en-US" w:eastAsia="zh-CN"/>
        </w:rPr>
        <w:t>（三）一般公共预算当年拨款具体使用情况</w:t>
      </w:r>
      <w:bookmarkEnd w:id="12"/>
    </w:p>
    <w:p w14:paraId="5AA724A2">
      <w:pPr>
        <w:spacing w:line="600" w:lineRule="exact"/>
        <w:ind w:firstLine="640" w:firstLineChars="200"/>
        <w:rPr>
          <w:rFonts w:hint="eastAsia" w:ascii="Times New Roman" w:hAnsi="Times New Roman" w:eastAsia="仿宋_GB2312"/>
          <w:sz w:val="32"/>
          <w:szCs w:val="32"/>
        </w:rPr>
      </w:pPr>
      <w:r>
        <w:rPr>
          <w:rFonts w:hint="eastAsia" w:ascii="仿宋" w:hAnsi="仿宋" w:eastAsia="仿宋" w:cs="仿宋"/>
          <w:sz w:val="32"/>
          <w:szCs w:val="32"/>
          <w:lang w:val="en-US" w:eastAsia="zh-CN"/>
        </w:rPr>
        <w:t>1.教育支出（类）普通教育（款）学前教育（项）2024年预算数为10.40万元，主要用于：本单位</w:t>
      </w:r>
      <w:r>
        <w:rPr>
          <w:rFonts w:hint="eastAsia" w:ascii="Times New Roman" w:hAnsi="Times New Roman" w:eastAsia="仿宋_GB2312"/>
          <w:sz w:val="32"/>
          <w:szCs w:val="32"/>
          <w:lang w:val="en-US" w:eastAsia="zh-CN"/>
        </w:rPr>
        <w:t>学前</w:t>
      </w:r>
      <w:r>
        <w:rPr>
          <w:rFonts w:hint="eastAsia" w:ascii="Times New Roman" w:hAnsi="Times New Roman" w:eastAsia="仿宋_GB2312"/>
          <w:sz w:val="32"/>
          <w:szCs w:val="32"/>
        </w:rPr>
        <w:t>教育发展的基本支出，</w:t>
      </w:r>
      <w:r>
        <w:rPr>
          <w:rFonts w:ascii="Times New Roman" w:hAnsi="Times New Roman" w:eastAsia="仿宋_GB2312"/>
          <w:sz w:val="32"/>
          <w:szCs w:val="32"/>
        </w:rPr>
        <w:t>包括基本工资、津贴补贴等人员经费以及办公费、印刷费、水电费等日常公用经费</w:t>
      </w:r>
      <w:r>
        <w:rPr>
          <w:rFonts w:hint="eastAsia" w:ascii="Times New Roman" w:hAnsi="Times New Roman" w:eastAsia="仿宋_GB2312"/>
          <w:sz w:val="32"/>
          <w:szCs w:val="32"/>
        </w:rPr>
        <w:t>。</w:t>
      </w:r>
    </w:p>
    <w:p w14:paraId="378CEC94">
      <w:p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2.教育支出（类）普通教育（款）小学教育（项）2024年预算数为302.29万元，主要用于：本单位</w:t>
      </w:r>
      <w:r>
        <w:rPr>
          <w:rFonts w:hint="eastAsia" w:ascii="Times New Roman" w:hAnsi="Times New Roman" w:eastAsia="仿宋_GB2312"/>
          <w:sz w:val="32"/>
          <w:szCs w:val="32"/>
        </w:rPr>
        <w:t>小学教育发展的基本支</w:t>
      </w:r>
      <w:r>
        <w:rPr>
          <w:rFonts w:hint="eastAsia" w:ascii="仿宋" w:hAnsi="仿宋" w:eastAsia="仿宋" w:cs="仿宋"/>
          <w:sz w:val="32"/>
          <w:szCs w:val="32"/>
          <w:lang w:val="en-US" w:eastAsia="zh-CN"/>
        </w:rPr>
        <w:t>出，包括基本工资、津贴补贴、基础绩效奖等人员经费以及机构运行所需的办公费、印刷费、维修（护）费、工会经费等运行补助经费。</w:t>
      </w:r>
    </w:p>
    <w:p w14:paraId="65731723">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rPr>
      </w:pPr>
      <w:bookmarkStart w:id="13" w:name="_Toc24287"/>
      <w:r>
        <w:rPr>
          <w:rFonts w:hint="eastAsia" w:ascii="仿宋" w:hAnsi="仿宋" w:eastAsia="仿宋" w:cs="仿宋"/>
          <w:b/>
          <w:bCs/>
          <w:sz w:val="32"/>
          <w:szCs w:val="32"/>
          <w:lang w:val="en-US" w:eastAsia="zh-CN"/>
        </w:rPr>
        <w:t>六、一般公共预算基本支出情况说明</w:t>
      </w:r>
      <w:bookmarkEnd w:id="13"/>
    </w:p>
    <w:p w14:paraId="550B57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红岩小学2024年一般公共预算基本支出302.29万元，其中：</w:t>
      </w:r>
    </w:p>
    <w:p w14:paraId="6942FB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人员经费302.29万元，主要包括：基本工资、津贴补贴、奖金、社会保险缴费、住房公积金等支出。</w:t>
      </w:r>
    </w:p>
    <w:p w14:paraId="4B6F06C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rPr>
      </w:pPr>
      <w:bookmarkStart w:id="14" w:name="_Toc26213"/>
      <w:r>
        <w:rPr>
          <w:rFonts w:hint="eastAsia" w:ascii="仿宋" w:hAnsi="仿宋" w:eastAsia="仿宋" w:cs="仿宋"/>
          <w:b/>
          <w:bCs/>
          <w:sz w:val="32"/>
          <w:szCs w:val="32"/>
          <w:lang w:val="en-US" w:eastAsia="zh-CN"/>
        </w:rPr>
        <w:t>七、“三公”经费财政拨款预算安排情况说明</w:t>
      </w:r>
      <w:bookmarkEnd w:id="14"/>
    </w:p>
    <w:p w14:paraId="0C4DCB1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红岩小学2024年“三公”经费财政拨款预算数0万元。</w:t>
      </w:r>
    </w:p>
    <w:p w14:paraId="77522DCF">
      <w:pPr>
        <w:numPr>
          <w:ilvl w:val="0"/>
          <w:numId w:val="1"/>
        </w:numPr>
        <w:spacing w:line="600" w:lineRule="exact"/>
        <w:ind w:firstLine="640" w:firstLineChars="200"/>
        <w:outlineLvl w:val="1"/>
        <w:rPr>
          <w:rFonts w:hint="eastAsia" w:ascii="仿宋" w:hAnsi="仿宋" w:eastAsia="仿宋" w:cs="仿宋"/>
          <w:sz w:val="32"/>
          <w:szCs w:val="32"/>
          <w:lang w:val="en-US" w:eastAsia="zh-CN"/>
        </w:rPr>
      </w:pPr>
      <w:bookmarkStart w:id="15" w:name="_Toc7172"/>
      <w:r>
        <w:rPr>
          <w:rFonts w:hint="eastAsia" w:ascii="仿宋" w:hAnsi="仿宋" w:eastAsia="仿宋" w:cs="仿宋"/>
          <w:sz w:val="32"/>
          <w:szCs w:val="32"/>
          <w:lang w:val="en-US" w:eastAsia="zh-CN"/>
        </w:rPr>
        <w:t>公务接待费</w:t>
      </w:r>
      <w:bookmarkEnd w:id="15"/>
    </w:p>
    <w:p w14:paraId="30D53C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公务接待费与2023年预算相比持平。</w:t>
      </w:r>
    </w:p>
    <w:p w14:paraId="602F28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16" w:name="_Toc23553"/>
      <w:r>
        <w:rPr>
          <w:rFonts w:hint="eastAsia" w:ascii="仿宋" w:hAnsi="仿宋" w:eastAsia="仿宋" w:cs="仿宋"/>
          <w:sz w:val="32"/>
          <w:szCs w:val="32"/>
          <w:lang w:val="en-US" w:eastAsia="zh-CN"/>
        </w:rPr>
        <w:t>（二）公务用车购置及运行维护费</w:t>
      </w:r>
      <w:bookmarkEnd w:id="16"/>
    </w:p>
    <w:p w14:paraId="7A80AFE5">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公务用车购置及运行维护费与2023年预算持平。</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单位现有公务用车0辆。</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2024年未安排公务用车购置费。</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2024年安排公务用车运行维护费0万元。</w:t>
      </w:r>
    </w:p>
    <w:p w14:paraId="00A26F0F">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lang w:val="en-US" w:eastAsia="zh-CN"/>
        </w:rPr>
      </w:pPr>
      <w:bookmarkStart w:id="17" w:name="_Toc26927"/>
      <w:r>
        <w:rPr>
          <w:rFonts w:hint="eastAsia" w:ascii="仿宋" w:hAnsi="仿宋" w:eastAsia="仿宋" w:cs="仿宋"/>
          <w:b/>
          <w:bCs/>
          <w:sz w:val="32"/>
          <w:szCs w:val="32"/>
          <w:lang w:val="en-US" w:eastAsia="zh-CN"/>
        </w:rPr>
        <w:t>八、政府性基金预算支出情况说明</w:t>
      </w:r>
      <w:bookmarkEnd w:id="17"/>
    </w:p>
    <w:p w14:paraId="6344E4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红岩小学2024年无政府性基金预算拨款安排的支出。</w:t>
      </w:r>
    </w:p>
    <w:p w14:paraId="788B448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lang w:val="en-US" w:eastAsia="zh-CN"/>
        </w:rPr>
      </w:pPr>
      <w:bookmarkStart w:id="18" w:name="_Toc19231"/>
      <w:r>
        <w:rPr>
          <w:rFonts w:hint="eastAsia" w:ascii="仿宋" w:hAnsi="仿宋" w:eastAsia="仿宋" w:cs="仿宋"/>
          <w:b/>
          <w:bCs/>
          <w:sz w:val="32"/>
          <w:szCs w:val="32"/>
          <w:lang w:val="en-US" w:eastAsia="zh-CN"/>
        </w:rPr>
        <w:t>九、国有资本经营预算支出情况说明</w:t>
      </w:r>
      <w:bookmarkEnd w:id="18"/>
    </w:p>
    <w:p w14:paraId="7D4F72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红岩小学2024年无国有资本经营预算拨款安排的支出。</w:t>
      </w:r>
    </w:p>
    <w:p w14:paraId="4425F6A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rPr>
      </w:pPr>
      <w:bookmarkStart w:id="19" w:name="_Toc30228"/>
      <w:r>
        <w:rPr>
          <w:rFonts w:hint="eastAsia" w:ascii="仿宋" w:hAnsi="仿宋" w:eastAsia="仿宋" w:cs="仿宋"/>
          <w:b/>
          <w:bCs/>
          <w:sz w:val="32"/>
          <w:szCs w:val="32"/>
          <w:lang w:val="en-US" w:eastAsia="zh-CN"/>
        </w:rPr>
        <w:t>十、其他重要事项的情况说明</w:t>
      </w:r>
      <w:bookmarkEnd w:id="19"/>
    </w:p>
    <w:p w14:paraId="0EFBE3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20" w:name="_Toc31577"/>
      <w:r>
        <w:rPr>
          <w:rFonts w:hint="eastAsia" w:ascii="仿宋" w:hAnsi="仿宋" w:eastAsia="仿宋" w:cs="仿宋"/>
          <w:sz w:val="32"/>
          <w:szCs w:val="32"/>
          <w:lang w:val="en-US" w:eastAsia="zh-CN"/>
        </w:rPr>
        <w:t>（一）机关运行经费</w:t>
      </w:r>
      <w:bookmarkEnd w:id="20"/>
    </w:p>
    <w:p w14:paraId="504482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2024年，我单位机关运行经费财政拨款预算为0万元，比2023年预算减少0万元，下降0%。</w:t>
      </w:r>
      <w:r>
        <w:rPr>
          <w:rFonts w:ascii="Times New Roman" w:hAnsi="Times New Roman" w:eastAsia="仿宋_GB2312"/>
          <w:sz w:val="32"/>
          <w:szCs w:val="32"/>
        </w:rPr>
        <w:t>主要原因是</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年我单位无</w:t>
      </w:r>
      <w:r>
        <w:rPr>
          <w:rFonts w:ascii="Times New Roman" w:hAnsi="Times New Roman" w:eastAsia="仿宋_GB2312"/>
          <w:sz w:val="32"/>
          <w:szCs w:val="32"/>
        </w:rPr>
        <w:t>机关运行经费财政拨款预算</w:t>
      </w:r>
      <w:r>
        <w:rPr>
          <w:rFonts w:hint="eastAsia" w:ascii="Times New Roman" w:hAnsi="Times New Roman" w:eastAsia="仿宋_GB2312"/>
          <w:sz w:val="32"/>
          <w:szCs w:val="32"/>
        </w:rPr>
        <w:t>收入</w:t>
      </w:r>
      <w:r>
        <w:rPr>
          <w:rFonts w:hint="eastAsia" w:ascii="Times New Roman" w:hAnsi="Times New Roman" w:eastAsia="仿宋_GB2312"/>
          <w:sz w:val="32"/>
          <w:szCs w:val="32"/>
          <w:lang w:eastAsia="zh-CN"/>
        </w:rPr>
        <w:t>。</w:t>
      </w:r>
    </w:p>
    <w:p w14:paraId="088B1B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21" w:name="_Toc12232"/>
      <w:r>
        <w:rPr>
          <w:rFonts w:hint="eastAsia" w:ascii="仿宋" w:hAnsi="仿宋" w:eastAsia="仿宋" w:cs="仿宋"/>
          <w:sz w:val="32"/>
          <w:szCs w:val="32"/>
          <w:lang w:val="en-US" w:eastAsia="zh-CN"/>
        </w:rPr>
        <w:t>（二）政府采购情况</w:t>
      </w:r>
      <w:bookmarkEnd w:id="21"/>
    </w:p>
    <w:p w14:paraId="118A63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w:t>
      </w:r>
      <w:r>
        <w:rPr>
          <w:rFonts w:hint="eastAsia" w:ascii="Times New Roman" w:hAnsi="Times New Roman" w:eastAsia="仿宋_GB2312"/>
          <w:sz w:val="32"/>
          <w:szCs w:val="32"/>
          <w:lang w:val="en-US" w:eastAsia="zh-CN"/>
        </w:rPr>
        <w:t>红岩小学</w:t>
      </w:r>
      <w:r>
        <w:rPr>
          <w:rFonts w:hint="eastAsia" w:ascii="Times New Roman" w:hAnsi="Times New Roman" w:eastAsia="仿宋_GB2312"/>
          <w:sz w:val="32"/>
          <w:szCs w:val="32"/>
        </w:rPr>
        <w:t>没有</w:t>
      </w:r>
      <w:r>
        <w:rPr>
          <w:rFonts w:ascii="Times New Roman" w:hAnsi="Times New Roman" w:eastAsia="仿宋_GB2312"/>
          <w:sz w:val="32"/>
          <w:szCs w:val="32"/>
        </w:rPr>
        <w:t>安排政府采购预算</w:t>
      </w:r>
      <w:r>
        <w:rPr>
          <w:rFonts w:hint="eastAsia" w:ascii="Times New Roman" w:hAnsi="Times New Roman" w:eastAsia="仿宋_GB2312"/>
          <w:sz w:val="32"/>
          <w:szCs w:val="32"/>
        </w:rPr>
        <w:t>。</w:t>
      </w:r>
    </w:p>
    <w:p w14:paraId="0BAB12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22" w:name="_Toc433"/>
      <w:r>
        <w:rPr>
          <w:rFonts w:hint="eastAsia" w:ascii="仿宋" w:hAnsi="仿宋" w:eastAsia="仿宋" w:cs="仿宋"/>
          <w:sz w:val="32"/>
          <w:szCs w:val="32"/>
          <w:lang w:val="en-US" w:eastAsia="zh-CN"/>
        </w:rPr>
        <w:t>（三）国有资产占有使用情况</w:t>
      </w:r>
      <w:bookmarkEnd w:id="22"/>
    </w:p>
    <w:p w14:paraId="175BA4C9">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截至20</w:t>
      </w:r>
      <w:r>
        <w:rPr>
          <w:rFonts w:hint="eastAsia" w:ascii="Times New Roman" w:hAnsi="Times New Roman" w:eastAsia="仿宋_GB2312"/>
          <w:sz w:val="32"/>
          <w:szCs w:val="32"/>
        </w:rPr>
        <w:t>2</w:t>
      </w:r>
      <w:r>
        <w:rPr>
          <w:rFonts w:hint="eastAsia" w:ascii="Times New Roman" w:hAnsi="Times New Roman" w:eastAsia="仿宋_GB2312"/>
          <w:sz w:val="32"/>
          <w:szCs w:val="32"/>
          <w:lang w:val="en-US" w:eastAsia="zh-CN"/>
        </w:rPr>
        <w:t>3</w:t>
      </w:r>
      <w:r>
        <w:rPr>
          <w:rFonts w:ascii="Times New Roman" w:hAnsi="Times New Roman" w:eastAsia="仿宋_GB2312"/>
          <w:sz w:val="32"/>
          <w:szCs w:val="32"/>
        </w:rPr>
        <w:t>年底，</w:t>
      </w:r>
      <w:r>
        <w:rPr>
          <w:rFonts w:hint="eastAsia" w:ascii="Times New Roman" w:hAnsi="Times New Roman" w:eastAsia="仿宋_GB2312"/>
          <w:sz w:val="32"/>
          <w:szCs w:val="32"/>
        </w:rPr>
        <w:t>我单位</w:t>
      </w:r>
      <w:r>
        <w:rPr>
          <w:rFonts w:ascii="Times New Roman" w:hAnsi="Times New Roman" w:eastAsia="仿宋_GB2312"/>
          <w:sz w:val="32"/>
          <w:szCs w:val="32"/>
        </w:rPr>
        <w:t>所属各预算单位共有车辆</w:t>
      </w:r>
      <w:r>
        <w:rPr>
          <w:rFonts w:hint="eastAsia" w:ascii="Times New Roman" w:hAnsi="Times New Roman" w:eastAsia="仿宋_GB2312"/>
          <w:sz w:val="32"/>
          <w:szCs w:val="32"/>
        </w:rPr>
        <w:t>0</w:t>
      </w:r>
      <w:r>
        <w:rPr>
          <w:rFonts w:ascii="Times New Roman" w:hAnsi="Times New Roman" w:eastAsia="仿宋_GB2312"/>
          <w:sz w:val="32"/>
          <w:szCs w:val="32"/>
        </w:rPr>
        <w:t>辆。单位价值200万元以上大型设备0台（套）。</w:t>
      </w:r>
    </w:p>
    <w:p w14:paraId="619EC2EB">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w:t>
      </w:r>
      <w:r>
        <w:rPr>
          <w:rFonts w:hint="eastAsia" w:ascii="Times New Roman" w:hAnsi="Times New Roman" w:eastAsia="仿宋_GB2312"/>
          <w:sz w:val="32"/>
          <w:szCs w:val="32"/>
        </w:rPr>
        <w:t>单位</w:t>
      </w:r>
      <w:r>
        <w:rPr>
          <w:rFonts w:ascii="Times New Roman" w:hAnsi="Times New Roman" w:eastAsia="仿宋_GB2312"/>
          <w:sz w:val="32"/>
          <w:szCs w:val="32"/>
        </w:rPr>
        <w:t>预算未安排购置单位价值200万元以上大型设备。</w:t>
      </w:r>
    </w:p>
    <w:p w14:paraId="56C4D20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rPr>
      </w:pPr>
      <w:bookmarkStart w:id="23" w:name="_Toc19079"/>
      <w:r>
        <w:rPr>
          <w:rFonts w:hint="eastAsia" w:ascii="仿宋" w:hAnsi="仿宋" w:eastAsia="仿宋" w:cs="仿宋"/>
          <w:sz w:val="32"/>
          <w:szCs w:val="32"/>
          <w:lang w:val="en-US" w:eastAsia="zh-CN"/>
        </w:rPr>
        <w:t>（四）绩效目标设置情况</w:t>
      </w:r>
      <w:bookmarkEnd w:id="23"/>
    </w:p>
    <w:p w14:paraId="3E94E3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2024年红岩小学开展绩效目标管理的项目4个，涉及预算31.6万元。其中：人员类项目0个，涉及预算0万元；运转类项目4个，涉及预算31.6万元；特定目标类项目0个，涉及预算0万元。因部分项目内容涉密，不予公开。</w:t>
      </w:r>
    </w:p>
    <w:p w14:paraId="33AB5909">
      <w:pPr>
        <w:spacing w:line="600" w:lineRule="exact"/>
        <w:ind w:firstLine="643" w:firstLineChars="200"/>
        <w:outlineLvl w:val="0"/>
        <w:rPr>
          <w:rFonts w:hint="eastAsia" w:ascii="Times New Roman" w:hAnsi="Times New Roman" w:eastAsia="仿宋_GB2312"/>
          <w:b/>
          <w:bCs/>
          <w:sz w:val="32"/>
          <w:szCs w:val="32"/>
        </w:rPr>
      </w:pPr>
      <w:bookmarkStart w:id="24" w:name="_Toc20421"/>
      <w:r>
        <w:rPr>
          <w:rFonts w:hint="eastAsia" w:ascii="仿宋" w:hAnsi="仿宋" w:eastAsia="仿宋" w:cs="仿宋"/>
          <w:b/>
          <w:bCs/>
          <w:sz w:val="32"/>
          <w:szCs w:val="32"/>
          <w:lang w:val="en-US" w:eastAsia="zh-CN"/>
        </w:rPr>
        <w:t>十</w:t>
      </w:r>
      <w:r>
        <w:rPr>
          <w:rFonts w:hint="eastAsia" w:ascii="Times New Roman" w:hAnsi="Times New Roman" w:eastAsia="仿宋_GB2312"/>
          <w:b/>
          <w:bCs/>
          <w:sz w:val="32"/>
          <w:szCs w:val="32"/>
          <w:lang w:val="en-US" w:eastAsia="zh-CN"/>
        </w:rPr>
        <w:t>一、名词解释</w:t>
      </w:r>
      <w:bookmarkEnd w:id="24"/>
    </w:p>
    <w:p w14:paraId="67A12D99">
      <w:pPr>
        <w:spacing w:line="600" w:lineRule="exact"/>
        <w:ind w:left="0" w:leftChars="0" w:firstLine="640" w:firstLineChars="200"/>
        <w:rPr>
          <w:rFonts w:ascii="Times New Roman" w:hAnsi="Times New Roman" w:eastAsia="仿宋_GB2312"/>
          <w:sz w:val="32"/>
          <w:szCs w:val="32"/>
        </w:rPr>
      </w:pPr>
      <w:r>
        <w:rPr>
          <w:rFonts w:ascii="Times New Roman" w:hAnsi="Times New Roman" w:eastAsia="仿宋_GB2312"/>
          <w:sz w:val="32"/>
          <w:szCs w:val="32"/>
        </w:rPr>
        <w:t>（一）财政拨款收入:指财政当年安排的财政预算收入。按现行管理制度,部门预算中反映的财政拨款包括一般公共预算拨款和政府性基金预算拨款。</w:t>
      </w:r>
    </w:p>
    <w:p w14:paraId="55B99E64">
      <w:pPr>
        <w:spacing w:line="600" w:lineRule="exact"/>
        <w:ind w:left="0" w:leftChars="0" w:firstLine="640" w:firstLineChars="200"/>
        <w:rPr>
          <w:rFonts w:ascii="Times New Roman" w:hAnsi="Times New Roman" w:eastAsia="仿宋_GB2312"/>
          <w:sz w:val="32"/>
          <w:szCs w:val="32"/>
        </w:rPr>
      </w:pPr>
      <w:r>
        <w:rPr>
          <w:rFonts w:ascii="Times New Roman" w:hAnsi="Times New Roman" w:eastAsia="仿宋_GB2312"/>
          <w:sz w:val="32"/>
          <w:szCs w:val="32"/>
        </w:rPr>
        <w:t>（二）事业收入：指事业单位开展专业业务活动及辅助活动所取得的收入。主要为学校根据国家有关部门批准的项目和标准收取的学费、住宿费等。</w:t>
      </w:r>
    </w:p>
    <w:p w14:paraId="15AA62AE">
      <w:pPr>
        <w:spacing w:line="600" w:lineRule="exact"/>
        <w:ind w:left="0" w:leftChars="0"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（三）其他收入：指除上述“一般公共预算拨款收入” “事业收入”等以外的收入。如银行存款利息收入、社会考试服务收入、课时收入等</w:t>
      </w:r>
      <w:r>
        <w:rPr>
          <w:rFonts w:hint="eastAsia" w:ascii="Times New Roman" w:hAnsi="Times New Roman" w:eastAsia="仿宋_GB2312"/>
          <w:sz w:val="32"/>
          <w:szCs w:val="32"/>
          <w:lang w:eastAsia="zh-CN"/>
        </w:rPr>
        <w:t>。</w:t>
      </w:r>
    </w:p>
    <w:p w14:paraId="52CFE630">
      <w:pPr>
        <w:spacing w:line="600" w:lineRule="exact"/>
        <w:ind w:left="0" w:leftChars="0"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val="en-US" w:eastAsia="zh-CN"/>
        </w:rPr>
        <w:t>四</w:t>
      </w:r>
      <w:r>
        <w:rPr>
          <w:rFonts w:ascii="Times New Roman" w:hAnsi="Times New Roman" w:eastAsia="仿宋_GB2312"/>
          <w:sz w:val="32"/>
          <w:szCs w:val="32"/>
        </w:rPr>
        <w:t>）教育支出（类）普通教育（款）学前教育（项）：指</w:t>
      </w:r>
      <w:r>
        <w:rPr>
          <w:rFonts w:hint="eastAsia" w:ascii="Times New Roman" w:hAnsi="Times New Roman" w:eastAsia="仿宋_GB2312"/>
          <w:sz w:val="32"/>
          <w:szCs w:val="32"/>
          <w:lang w:val="en-US" w:eastAsia="zh-CN"/>
        </w:rPr>
        <w:t>本单位</w:t>
      </w:r>
      <w:r>
        <w:rPr>
          <w:rFonts w:ascii="Times New Roman" w:hAnsi="Times New Roman" w:eastAsia="仿宋_GB2312"/>
          <w:sz w:val="32"/>
          <w:szCs w:val="32"/>
        </w:rPr>
        <w:t>学前教育发展的基本支出，包括基本工资、津贴补贴等人员经费以及办公费、印刷费、水电费等日常公用经费。</w:t>
      </w:r>
    </w:p>
    <w:p w14:paraId="67DBC6EA">
      <w:pPr>
        <w:spacing w:line="600" w:lineRule="exact"/>
        <w:ind w:left="0" w:leftChars="0"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val="en-US" w:eastAsia="zh-CN"/>
        </w:rPr>
        <w:t>五</w:t>
      </w:r>
      <w:r>
        <w:rPr>
          <w:rFonts w:ascii="Times New Roman" w:hAnsi="Times New Roman" w:eastAsia="仿宋_GB2312"/>
          <w:sz w:val="32"/>
          <w:szCs w:val="32"/>
        </w:rPr>
        <w:t>）教育支出（类）普通教育（款）小学教育（项）：指</w:t>
      </w:r>
      <w:r>
        <w:rPr>
          <w:rFonts w:hint="eastAsia" w:ascii="Times New Roman" w:hAnsi="Times New Roman" w:eastAsia="仿宋_GB2312"/>
          <w:sz w:val="32"/>
          <w:szCs w:val="32"/>
          <w:lang w:val="en-US" w:eastAsia="zh-CN"/>
        </w:rPr>
        <w:t>本单位</w:t>
      </w:r>
      <w:r>
        <w:rPr>
          <w:rFonts w:ascii="Times New Roman" w:hAnsi="Times New Roman" w:eastAsia="仿宋_GB2312"/>
          <w:sz w:val="32"/>
          <w:szCs w:val="32"/>
        </w:rPr>
        <w:t>小学教育发展的基本支出，包括基本工资、津贴补贴等人员经费以及办公费、印刷费、水电费等日常公用经费。</w:t>
      </w:r>
    </w:p>
    <w:p w14:paraId="3509F7BC">
      <w:pPr>
        <w:spacing w:line="600" w:lineRule="exact"/>
        <w:ind w:left="0" w:leftChars="0"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val="en-US" w:eastAsia="zh-CN"/>
        </w:rPr>
        <w:t>六</w:t>
      </w:r>
      <w:r>
        <w:rPr>
          <w:rFonts w:ascii="Times New Roman" w:hAnsi="Times New Roman" w:eastAsia="仿宋_GB2312"/>
          <w:sz w:val="32"/>
          <w:szCs w:val="32"/>
        </w:rPr>
        <w:t>）住房保障（类）住房改革支出（款）住房公积金（项）：指按照《住房公积金管理条例》的规定，由单位及其在职职工缴存的长期住房储金。</w:t>
      </w:r>
    </w:p>
    <w:p w14:paraId="49484B25">
      <w:pPr>
        <w:spacing w:line="600" w:lineRule="exact"/>
        <w:ind w:left="0" w:leftChars="0"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val="en-US" w:eastAsia="zh-CN"/>
        </w:rPr>
        <w:t>七</w:t>
      </w:r>
      <w:r>
        <w:rPr>
          <w:rFonts w:ascii="Times New Roman" w:hAnsi="Times New Roman" w:eastAsia="仿宋_GB2312"/>
          <w:sz w:val="32"/>
          <w:szCs w:val="32"/>
        </w:rPr>
        <w:t>）基本支出：指为保证机构正常运转，完成日常工作任务而发生的人员支出和公用支出。</w:t>
      </w:r>
    </w:p>
    <w:p w14:paraId="57998331">
      <w:pPr>
        <w:spacing w:line="600" w:lineRule="exact"/>
        <w:ind w:left="0" w:leftChars="0" w:firstLine="640" w:firstLineChars="200"/>
        <w:rPr>
          <w:rFonts w:hint="eastAsia" w:ascii="Times New Roman" w:hAnsi="Times New Roman" w:eastAsia="仿宋_GB2312"/>
          <w:sz w:val="32"/>
          <w:szCs w:val="32"/>
          <w:lang w:val="en-US" w:eastAsia="zh-CN"/>
        </w:rPr>
      </w:pPr>
      <w:r>
        <w:rPr>
          <w:rFonts w:ascii="Times New Roman" w:hAnsi="Times New Roman" w:eastAsia="仿宋_GB2312"/>
          <w:sz w:val="32"/>
          <w:szCs w:val="32"/>
        </w:rPr>
        <w:t>（</w:t>
      </w:r>
      <w:r>
        <w:rPr>
          <w:rFonts w:hint="eastAsia" w:ascii="Times New Roman" w:hAnsi="Times New Roman" w:eastAsia="仿宋_GB2312"/>
          <w:sz w:val="32"/>
          <w:szCs w:val="32"/>
          <w:lang w:val="en-US" w:eastAsia="zh-CN"/>
        </w:rPr>
        <w:t>八</w:t>
      </w:r>
      <w:r>
        <w:rPr>
          <w:rFonts w:ascii="Times New Roman" w:hAnsi="Times New Roman" w:eastAsia="仿宋_GB2312"/>
          <w:sz w:val="32"/>
          <w:szCs w:val="32"/>
        </w:rPr>
        <w:t>）项目支出：指在基本支出之外为完成特定行政任务和事业发展目标所发生的支出。</w:t>
      </w:r>
      <w:r>
        <w:rPr>
          <w:rFonts w:ascii="Times New Roman" w:hAnsi="Times New Roman" w:eastAsia="仿宋_GB2312"/>
          <w:sz w:val="32"/>
          <w:szCs w:val="32"/>
        </w:rPr>
        <w:br w:type="textWrapping"/>
      </w:r>
    </w:p>
    <w:p w14:paraId="01CDB0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附件：1.部门预算公开报表</w:t>
      </w:r>
    </w:p>
    <w:p w14:paraId="2DBA1A1F">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1600" w:leftChars="0"/>
        <w:textAlignment w:val="auto"/>
        <w:outlineLvl w:val="1"/>
        <w:rPr>
          <w:rFonts w:hint="eastAsia" w:ascii="仿宋" w:hAnsi="仿宋" w:eastAsia="仿宋" w:cs="仿宋"/>
          <w:sz w:val="32"/>
          <w:szCs w:val="32"/>
          <w:lang w:val="en-US" w:eastAsia="zh-CN"/>
        </w:rPr>
      </w:pPr>
      <w:bookmarkStart w:id="25" w:name="_Toc3707"/>
      <w:r>
        <w:rPr>
          <w:rFonts w:hint="eastAsia" w:ascii="仿宋" w:hAnsi="仿宋" w:eastAsia="仿宋" w:cs="仿宋"/>
          <w:sz w:val="32"/>
          <w:szCs w:val="32"/>
          <w:lang w:val="en-US" w:eastAsia="zh-CN"/>
        </w:rPr>
        <w:t>2.项目支出绩效目标表</w:t>
      </w:r>
      <w:bookmarkEnd w:id="25"/>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embedRegular r:id="rId1" w:fontKey="{5E4917D8-EDBE-41F0-ADBE-DB24FCA71E64}"/>
  </w:font>
  <w:font w:name="方正仿宋_GB2312">
    <w:panose1 w:val="02000000000000000000"/>
    <w:charset w:val="86"/>
    <w:family w:val="auto"/>
    <w:pitch w:val="default"/>
    <w:sig w:usb0="A00002BF" w:usb1="184F6CFA" w:usb2="00000012" w:usb3="00000000" w:csb0="00040001" w:csb1="00000000"/>
    <w:embedRegular r:id="rId2" w:fontKey="{B174BD46-9D52-47BF-BF37-E02746A346D1}"/>
  </w:font>
  <w:font w:name="仿宋_GB2312">
    <w:altName w:val="仿宋"/>
    <w:panose1 w:val="02010609030101010101"/>
    <w:charset w:val="86"/>
    <w:family w:val="auto"/>
    <w:pitch w:val="default"/>
    <w:sig w:usb0="00000000" w:usb1="00000000" w:usb2="00000000" w:usb3="00000000" w:csb0="00040000" w:csb1="00000000"/>
    <w:embedRegular r:id="rId3" w:fontKey="{FB76DE88-AB43-4ECB-AC0B-2EDBEF95EFB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47BB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92453D">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592453D">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5BC803"/>
    <w:multiLevelType w:val="singleLevel"/>
    <w:tmpl w:val="605BC80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42E11F1"/>
    <w:rsid w:val="05C23944"/>
    <w:rsid w:val="153A05A2"/>
    <w:rsid w:val="1DDB56F1"/>
    <w:rsid w:val="1F7BF06F"/>
    <w:rsid w:val="1FEE4B73"/>
    <w:rsid w:val="23CE9849"/>
    <w:rsid w:val="2FAE0D9F"/>
    <w:rsid w:val="32C957F3"/>
    <w:rsid w:val="34DC7F51"/>
    <w:rsid w:val="39F304DD"/>
    <w:rsid w:val="50B839CD"/>
    <w:rsid w:val="54244390"/>
    <w:rsid w:val="54662A63"/>
    <w:rsid w:val="58064E12"/>
    <w:rsid w:val="5BFEE015"/>
    <w:rsid w:val="63EDCF55"/>
    <w:rsid w:val="63FBFBCF"/>
    <w:rsid w:val="669360FD"/>
    <w:rsid w:val="67AA2424"/>
    <w:rsid w:val="68E33322"/>
    <w:rsid w:val="68FF6A83"/>
    <w:rsid w:val="6FBBC9CF"/>
    <w:rsid w:val="72BDE561"/>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autoRedefine/>
    <w:qFormat/>
    <w:uiPriority w:val="0"/>
  </w:style>
  <w:style w:type="paragraph" w:customStyle="1" w:styleId="12">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autoRedefine/>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3"/>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3138</Words>
  <Characters>3346</Characters>
  <TotalTime>8</TotalTime>
  <ScaleCrop>false</ScaleCrop>
  <LinksUpToDate>false</LinksUpToDate>
  <CharactersWithSpaces>3413</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昭化融媒体</cp:lastModifiedBy>
  <dcterms:modified xsi:type="dcterms:W3CDTF">2025-01-09T01:11:24Z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9A5FC127624B46F98247AA9836DEA3C6_13</vt:lpwstr>
  </property>
  <property fmtid="{D5CDD505-2E9C-101B-9397-08002B2CF9AE}" pid="4" name="KSOTemplateDocerSaveRecord">
    <vt:lpwstr>eyJoZGlkIjoiMGVhYTg4NGNkZWJkODFjNzcyZDRjM2M4Y2UzNjI5ZmUiLCJ1c2VySWQiOiI2MTE2MzEwMDYifQ==</vt:lpwstr>
  </property>
</Properties>
</file>