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74B1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spacing w:val="0"/>
          <w:sz w:val="44"/>
          <w:szCs w:val="44"/>
          <w:highlight w:val="none"/>
          <w:lang w:val="en-US"/>
        </w:rPr>
      </w:pPr>
      <w:bookmarkStart w:id="0" w:name="_Toc13133"/>
      <w:bookmarkStart w:id="1" w:name="_Toc176"/>
      <w:bookmarkStart w:id="2" w:name="_Toc20753"/>
      <w:bookmarkStart w:id="3" w:name="_Toc30873"/>
      <w:r>
        <w:rPr>
          <w:rFonts w:hint="eastAsia" w:ascii="方正小标宋简体" w:hAnsi="方正小标宋简体" w:eastAsia="方正小标宋简体" w:cs="方正小标宋简体"/>
          <w:b w:val="0"/>
          <w:bCs w:val="0"/>
          <w:i w:val="0"/>
          <w:caps w:val="0"/>
          <w:color w:val="000000"/>
          <w:spacing w:val="0"/>
          <w:kern w:val="0"/>
          <w:sz w:val="44"/>
          <w:szCs w:val="44"/>
          <w:highlight w:val="none"/>
          <w:shd w:val="clear" w:color="auto" w:fill="FFFFFF"/>
          <w:lang w:val="en-US" w:eastAsia="zh-CN"/>
        </w:rPr>
        <w:t>广元市昭化区射箭镇小学</w:t>
      </w:r>
      <w:bookmarkEnd w:id="0"/>
      <w:bookmarkEnd w:id="1"/>
      <w:bookmarkEnd w:id="2"/>
      <w:bookmarkEnd w:id="3"/>
    </w:p>
    <w:p w14:paraId="2E788BC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spacing w:val="0"/>
          <w:kern w:val="0"/>
          <w:sz w:val="44"/>
          <w:szCs w:val="44"/>
          <w:highlight w:val="none"/>
          <w:shd w:val="clear" w:color="auto" w:fill="FFFFFF"/>
          <w:lang w:val="en-US" w:eastAsia="zh-CN"/>
        </w:rPr>
      </w:pPr>
      <w:r>
        <w:rPr>
          <w:rFonts w:hint="eastAsia" w:ascii="方正小标宋简体" w:hAnsi="方正小标宋简体" w:eastAsia="方正小标宋简体" w:cs="方正小标宋简体"/>
          <w:b w:val="0"/>
          <w:bCs w:val="0"/>
          <w:i w:val="0"/>
          <w:caps w:val="0"/>
          <w:color w:val="000000"/>
          <w:spacing w:val="0"/>
          <w:kern w:val="0"/>
          <w:sz w:val="44"/>
          <w:szCs w:val="44"/>
          <w:highlight w:val="none"/>
          <w:shd w:val="clear" w:color="auto" w:fill="FFFFFF"/>
          <w:lang w:val="en-US" w:eastAsia="zh-CN"/>
        </w:rPr>
        <w:t>2024年单位预算编制说明</w:t>
      </w:r>
    </w:p>
    <w:p w14:paraId="6C873EF6">
      <w:pPr>
        <w:jc w:val="center"/>
        <w:rPr>
          <w:rFonts w:hint="eastAsia" w:ascii="黑体" w:hAnsi="黑体" w:eastAsia="黑体" w:cs="黑体"/>
          <w:b/>
          <w:bCs/>
          <w:i w:val="0"/>
          <w:caps w:val="0"/>
          <w:color w:val="000000"/>
          <w:spacing w:val="0"/>
          <w:kern w:val="0"/>
          <w:sz w:val="32"/>
          <w:szCs w:val="32"/>
          <w:highlight w:val="none"/>
          <w:shd w:val="clear" w:color="auto" w:fill="FFFFFF"/>
          <w:lang w:val="en-US" w:eastAsia="zh-CN"/>
        </w:rPr>
      </w:pPr>
      <w:r>
        <w:rPr>
          <w:rFonts w:hint="eastAsia" w:ascii="黑体" w:hAnsi="黑体" w:eastAsia="黑体" w:cs="黑体"/>
          <w:b w:val="0"/>
          <w:bCs w:val="0"/>
          <w:i w:val="0"/>
          <w:caps w:val="0"/>
          <w:color w:val="000000"/>
          <w:spacing w:val="0"/>
          <w:kern w:val="0"/>
          <w:sz w:val="32"/>
          <w:szCs w:val="32"/>
          <w:highlight w:val="none"/>
          <w:shd w:val="clear" w:color="auto" w:fill="FFFFFF"/>
          <w:lang w:val="en-US" w:eastAsia="zh-CN"/>
        </w:rPr>
        <w:t>目   录</w:t>
      </w:r>
    </w:p>
    <w:p w14:paraId="1BA163A6">
      <w:pPr>
        <w:spacing w:before="0" w:after="0" w:line="240" w:lineRule="auto"/>
        <w:ind w:left="0" w:leftChars="0" w:right="0" w:rightChars="0" w:firstLine="0" w:firstLineChars="0"/>
        <w:jc w:val="center"/>
        <w:rPr>
          <w:rFonts w:hint="eastAsia" w:ascii="仿宋" w:hAnsi="仿宋" w:eastAsia="仿宋" w:cs="仿宋"/>
          <w:sz w:val="32"/>
          <w:szCs w:val="32"/>
        </w:rPr>
      </w:pPr>
    </w:p>
    <w:p w14:paraId="5330C475">
      <w:pPr>
        <w:pStyle w:val="16"/>
        <w:tabs>
          <w:tab w:val="right" w:leader="dot" w:pos="8845"/>
        </w:tabs>
        <w:rPr>
          <w:rFonts w:hint="eastAsia" w:ascii="仿宋" w:hAnsi="仿宋" w:eastAsia="仿宋" w:cs="仿宋"/>
          <w:b/>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_Toc17930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_Toc17930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114658E">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_Toc16936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_Toc16936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9D4BE2A">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_Toc23867 </w:instrText>
      </w:r>
      <w:r>
        <w:rPr>
          <w:rFonts w:hint="eastAsia" w:ascii="仿宋" w:hAnsi="仿宋" w:eastAsia="仿宋" w:cs="仿宋"/>
          <w:sz w:val="32"/>
          <w:szCs w:val="32"/>
        </w:rPr>
        <w:fldChar w:fldCharType="separate"/>
      </w:r>
      <w:r>
        <w:rPr>
          <w:rFonts w:hint="eastAsia" w:ascii="仿宋" w:hAnsi="仿宋" w:eastAsia="仿宋" w:cs="仿宋"/>
          <w:sz w:val="32"/>
          <w:szCs w:val="32"/>
        </w:rPr>
        <w:t>（二）</w:t>
      </w:r>
      <w:r>
        <w:rPr>
          <w:rFonts w:hint="eastAsia" w:ascii="仿宋" w:hAnsi="仿宋" w:eastAsia="仿宋" w:cs="仿宋"/>
          <w:sz w:val="32"/>
          <w:szCs w:val="32"/>
          <w:lang w:val="en-US" w:eastAsia="zh-CN"/>
        </w:rPr>
        <w:t>单位</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_Toc23867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AD9F5AF">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_Toc10246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_Toc10246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4551482C">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_Toc11287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_Toc11287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8752484">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_Toc7242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_Toc7242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8EE11BF">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_Toc2222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_Toc2222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EF8B949">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_Toc13822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_Toc13822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11</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7A8BDE60">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_Toc6726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_Toc6726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11</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1B1EBC5E">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_Toc7606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_Toc7606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AF6BA67">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_Toc25537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_Toc25537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8607BF1">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_Toc15610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_Toc15610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1A3B420">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_Toc6639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_Toc6639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12</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4A4B26E1">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_Toc18723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_Toc18723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12</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55C318B">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_Toc10625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（一）公务接待费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_Toc10625 \h </w:instrText>
      </w:r>
      <w:r>
        <w:rPr>
          <w:rFonts w:hint="eastAsia" w:ascii="仿宋" w:hAnsi="仿宋" w:eastAsia="仿宋" w:cs="仿宋"/>
          <w:sz w:val="32"/>
          <w:szCs w:val="32"/>
        </w:rPr>
        <w:fldChar w:fldCharType="separate"/>
      </w:r>
      <w:r>
        <w:rPr>
          <w:rFonts w:hint="eastAsia" w:ascii="仿宋" w:hAnsi="仿宋" w:eastAsia="仿宋" w:cs="仿宋"/>
          <w:sz w:val="32"/>
          <w:szCs w:val="32"/>
        </w:rPr>
        <w:t>12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E640A1E">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_Toc15850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 公务用车购置及运行维护费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_Toc15850 \h </w:instrText>
      </w:r>
      <w:r>
        <w:rPr>
          <w:rFonts w:hint="eastAsia" w:ascii="仿宋" w:hAnsi="仿宋" w:eastAsia="仿宋" w:cs="仿宋"/>
          <w:sz w:val="32"/>
          <w:szCs w:val="32"/>
        </w:rPr>
        <w:fldChar w:fldCharType="separate"/>
      </w:r>
      <w:r>
        <w:rPr>
          <w:rFonts w:hint="eastAsia" w:ascii="仿宋" w:hAnsi="仿宋" w:eastAsia="仿宋" w:cs="仿宋"/>
          <w:sz w:val="32"/>
          <w:szCs w:val="32"/>
        </w:rPr>
        <w:t>12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D3A0AA7">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_Toc8656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（三）因公出国（境）经费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_Toc8656 \h </w:instrText>
      </w:r>
      <w:r>
        <w:rPr>
          <w:rFonts w:hint="eastAsia" w:ascii="仿宋" w:hAnsi="仿宋" w:eastAsia="仿宋" w:cs="仿宋"/>
          <w:sz w:val="32"/>
          <w:szCs w:val="32"/>
        </w:rPr>
        <w:fldChar w:fldCharType="separate"/>
      </w:r>
      <w:r>
        <w:rPr>
          <w:rFonts w:hint="eastAsia" w:ascii="仿宋" w:hAnsi="仿宋" w:eastAsia="仿宋" w:cs="仿宋"/>
          <w:sz w:val="32"/>
          <w:szCs w:val="32"/>
        </w:rPr>
        <w:t>12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60B1E31">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_Toc3498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_Toc3498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12</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11282D83">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_Toc21166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_Toc21166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155E0B0A">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_Toc15452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_Toc15452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0E75B2C0">
      <w:pPr>
        <w:pStyle w:val="16"/>
        <w:tabs>
          <w:tab w:val="right" w:leader="dot" w:pos="8845"/>
        </w:tabs>
        <w:rPr>
          <w:rFonts w:hint="eastAsia" w:ascii="仿宋" w:hAnsi="仿宋" w:eastAsia="仿宋" w:cs="仿宋"/>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_Toc16774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_Toc16774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73909BBB">
      <w:r>
        <w:rPr>
          <w:rFonts w:hint="eastAsia" w:ascii="仿宋" w:hAnsi="仿宋" w:eastAsia="仿宋" w:cs="仿宋"/>
          <w:b/>
          <w:sz w:val="32"/>
          <w:szCs w:val="32"/>
        </w:rPr>
        <w:fldChar w:fldCharType="end"/>
      </w:r>
    </w:p>
    <w:p w14:paraId="68F880D6">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outlineLvl w:val="9"/>
        <w:rPr>
          <w:rFonts w:hint="eastAsia" w:ascii="宋体" w:hAnsi="宋体" w:cs="宋体"/>
          <w:b/>
          <w:i w:val="0"/>
          <w:caps w:val="0"/>
          <w:color w:val="000000"/>
          <w:spacing w:val="0"/>
          <w:sz w:val="28"/>
          <w:szCs w:val="28"/>
          <w:highlight w:val="none"/>
          <w:shd w:val="clear" w:color="auto" w:fill="FFFFFF"/>
          <w:lang w:val="en-US" w:eastAsia="zh-CN"/>
        </w:rPr>
      </w:pPr>
      <w:r>
        <w:rPr>
          <w:rFonts w:hint="eastAsia" w:ascii="宋体" w:hAnsi="宋体" w:cs="宋体"/>
          <w:b/>
          <w:i w:val="0"/>
          <w:caps w:val="0"/>
          <w:color w:val="000000"/>
          <w:spacing w:val="0"/>
          <w:sz w:val="28"/>
          <w:szCs w:val="28"/>
          <w:highlight w:val="none"/>
          <w:shd w:val="clear" w:color="auto" w:fill="FFFFFF"/>
          <w:lang w:val="en-US" w:eastAsia="zh-CN"/>
        </w:rPr>
        <w:t xml:space="preserve">   </w:t>
      </w:r>
    </w:p>
    <w:p w14:paraId="2DF2C1F1">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outlineLvl w:val="9"/>
        <w:rPr>
          <w:rFonts w:hint="eastAsia" w:ascii="宋体" w:hAnsi="宋体" w:cs="宋体"/>
          <w:b/>
          <w:i w:val="0"/>
          <w:caps w:val="0"/>
          <w:color w:val="000000"/>
          <w:spacing w:val="0"/>
          <w:sz w:val="28"/>
          <w:szCs w:val="28"/>
          <w:highlight w:val="none"/>
          <w:shd w:val="clear" w:color="auto" w:fill="FFFFFF"/>
          <w:lang w:val="en-US" w:eastAsia="zh-CN"/>
        </w:rPr>
      </w:pPr>
    </w:p>
    <w:p w14:paraId="37C14618">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outlineLvl w:val="9"/>
        <w:rPr>
          <w:rFonts w:hint="default" w:ascii="宋体" w:hAnsi="宋体" w:eastAsia="宋体" w:cs="宋体"/>
          <w:b/>
          <w:i w:val="0"/>
          <w:caps w:val="0"/>
          <w:color w:val="000000"/>
          <w:spacing w:val="0"/>
          <w:sz w:val="28"/>
          <w:szCs w:val="28"/>
          <w:highlight w:val="none"/>
          <w:shd w:val="clear" w:color="auto" w:fill="FFFFFF"/>
          <w:lang w:val="en-US" w:eastAsia="zh-CN"/>
        </w:rPr>
      </w:pPr>
      <w:r>
        <w:rPr>
          <w:rFonts w:hint="eastAsia" w:ascii="宋体" w:hAnsi="宋体" w:cs="宋体"/>
          <w:b/>
          <w:i w:val="0"/>
          <w:caps w:val="0"/>
          <w:color w:val="000000"/>
          <w:spacing w:val="0"/>
          <w:sz w:val="28"/>
          <w:szCs w:val="28"/>
          <w:highlight w:val="none"/>
          <w:shd w:val="clear" w:color="auto" w:fill="FFFFFF"/>
          <w:lang w:val="en-US" w:eastAsia="zh-CN"/>
        </w:rPr>
        <w:t xml:space="preserve"> </w:t>
      </w:r>
    </w:p>
    <w:p w14:paraId="454307F7">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spacing w:val="0"/>
          <w:kern w:val="0"/>
          <w:sz w:val="28"/>
          <w:szCs w:val="28"/>
          <w:highlight w:val="none"/>
          <w:shd w:val="clear" w:color="auto" w:fill="FFFFFF"/>
          <w:lang w:val="en-US" w:eastAsia="zh-CN"/>
        </w:rPr>
      </w:pPr>
    </w:p>
    <w:p w14:paraId="47641140">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spacing w:val="0"/>
          <w:kern w:val="0"/>
          <w:sz w:val="28"/>
          <w:szCs w:val="28"/>
          <w:highlight w:val="none"/>
          <w:shd w:val="clear" w:color="auto" w:fill="FFFFFF"/>
          <w:lang w:val="en-US" w:eastAsia="zh-CN"/>
        </w:rPr>
      </w:pPr>
    </w:p>
    <w:p w14:paraId="01C857D9">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spacing w:val="0"/>
          <w:kern w:val="0"/>
          <w:sz w:val="28"/>
          <w:szCs w:val="28"/>
          <w:highlight w:val="none"/>
          <w:shd w:val="clear" w:color="auto" w:fill="FFFFFF"/>
          <w:lang w:val="en-US" w:eastAsia="zh-CN"/>
        </w:rPr>
      </w:pPr>
    </w:p>
    <w:p w14:paraId="79BEA33D">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spacing w:val="0"/>
          <w:kern w:val="0"/>
          <w:sz w:val="28"/>
          <w:szCs w:val="28"/>
          <w:highlight w:val="none"/>
          <w:shd w:val="clear" w:color="auto" w:fill="FFFFFF"/>
          <w:lang w:val="en-US" w:eastAsia="zh-CN"/>
        </w:rPr>
      </w:pPr>
    </w:p>
    <w:p w14:paraId="45E211C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spacing w:val="0"/>
          <w:kern w:val="0"/>
          <w:sz w:val="28"/>
          <w:szCs w:val="28"/>
          <w:highlight w:val="none"/>
          <w:shd w:val="clear" w:color="auto" w:fill="FFFFFF"/>
          <w:lang w:val="en-US" w:eastAsia="zh-CN"/>
        </w:rPr>
      </w:pPr>
    </w:p>
    <w:p w14:paraId="1D75683B">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spacing w:val="0"/>
          <w:kern w:val="0"/>
          <w:sz w:val="28"/>
          <w:szCs w:val="28"/>
          <w:highlight w:val="none"/>
          <w:shd w:val="clear" w:color="auto" w:fill="FFFFFF"/>
          <w:lang w:val="en-US" w:eastAsia="zh-CN"/>
        </w:rPr>
      </w:pPr>
    </w:p>
    <w:p w14:paraId="2E0FC2CB">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spacing w:val="0"/>
          <w:kern w:val="0"/>
          <w:sz w:val="28"/>
          <w:szCs w:val="28"/>
          <w:highlight w:val="none"/>
          <w:shd w:val="clear" w:color="auto" w:fill="FFFFFF"/>
          <w:lang w:val="en-US" w:eastAsia="zh-CN"/>
        </w:rPr>
      </w:pPr>
    </w:p>
    <w:p w14:paraId="50709DC8">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spacing w:val="0"/>
          <w:kern w:val="0"/>
          <w:sz w:val="28"/>
          <w:szCs w:val="28"/>
          <w:highlight w:val="none"/>
          <w:shd w:val="clear" w:color="auto" w:fill="FFFFFF"/>
          <w:lang w:val="en-US" w:eastAsia="zh-CN"/>
        </w:rPr>
      </w:pPr>
    </w:p>
    <w:p w14:paraId="0F8C92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7930"/>
      <w:r>
        <w:rPr>
          <w:rFonts w:hint="eastAsia" w:ascii="黑体" w:hAnsi="黑体" w:eastAsia="黑体" w:cs="黑体"/>
          <w:sz w:val="32"/>
          <w:szCs w:val="32"/>
          <w:lang w:val="en-US" w:eastAsia="zh-CN"/>
        </w:rPr>
        <w:t>一、基本职能及主要工作</w:t>
      </w:r>
      <w:bookmarkEnd w:id="4"/>
    </w:p>
    <w:p w14:paraId="3A5FC6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16936"/>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5"/>
    </w:p>
    <w:p w14:paraId="7CFA4371">
      <w:pPr>
        <w:pStyle w:val="4"/>
        <w:shd w:val="clear" w:color="auto" w:fill="auto"/>
        <w:adjustRightInd w:val="0"/>
        <w:spacing w:line="500" w:lineRule="exact"/>
        <w:ind w:firstLine="640" w:firstLineChars="200"/>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1.贯彻党的教育方针，坚持社会主义办学方向，实行教育与生产劳动相结合，对学生进行德育、智育、体育、美育和劳动等方面的教育。</w:t>
      </w:r>
    </w:p>
    <w:p w14:paraId="2D03CE18">
      <w:pPr>
        <w:pStyle w:val="4"/>
        <w:shd w:val="clear" w:color="auto" w:fill="auto"/>
        <w:adjustRightInd w:val="0"/>
        <w:spacing w:line="500" w:lineRule="exact"/>
        <w:ind w:firstLine="640" w:firstLineChars="200"/>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2.用科学的发展观指导教育教学工作。加强教育科研工作，推动校本教育的健康发展。加强教学管理，不断推进新课程改革，全面提高教学质量。</w:t>
      </w:r>
    </w:p>
    <w:p w14:paraId="18D5A9BE">
      <w:pPr>
        <w:pStyle w:val="4"/>
        <w:shd w:val="clear" w:color="auto" w:fill="auto"/>
        <w:adjustRightInd w:val="0"/>
        <w:spacing w:line="500" w:lineRule="exact"/>
        <w:ind w:firstLine="640" w:firstLineChars="200"/>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3.负责配合政府依法动员、组织适龄儿童、少年入学，严格控制学生辍学，依法保证适龄儿童、少年接受九年义务教育。</w:t>
      </w:r>
    </w:p>
    <w:p w14:paraId="0B64CC11">
      <w:pPr>
        <w:pStyle w:val="4"/>
        <w:shd w:val="clear" w:color="auto" w:fill="auto"/>
        <w:adjustRightInd w:val="0"/>
        <w:spacing w:line="500" w:lineRule="exact"/>
        <w:ind w:firstLine="640" w:firstLineChars="200"/>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4.继续深化人事制度改革，完善学校内部管理，做好后勤保障工作。</w:t>
      </w:r>
    </w:p>
    <w:p w14:paraId="3F8100B1">
      <w:pPr>
        <w:pStyle w:val="4"/>
        <w:shd w:val="clear" w:color="auto" w:fill="auto"/>
        <w:adjustRightInd w:val="0"/>
        <w:spacing w:line="500" w:lineRule="exact"/>
        <w:ind w:firstLine="640" w:firstLineChars="200"/>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5.负责维护学校、师生的合法权益，有权拒绝任何组织和个人对教育教学活动进行非法干扰。</w:t>
      </w:r>
    </w:p>
    <w:p w14:paraId="2C0434A7">
      <w:pPr>
        <w:pStyle w:val="4"/>
        <w:shd w:val="clear" w:color="auto" w:fill="auto"/>
        <w:adjustRightInd w:val="0"/>
        <w:spacing w:line="500" w:lineRule="exact"/>
        <w:ind w:firstLine="640" w:firstLineChars="200"/>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6.负责创建绿色校园、文明校园和平安校园。</w:t>
      </w:r>
    </w:p>
    <w:p w14:paraId="267EE777">
      <w:pPr>
        <w:pStyle w:val="4"/>
        <w:shd w:val="clear" w:color="auto" w:fill="auto"/>
        <w:adjustRightInd w:val="0"/>
        <w:spacing w:line="500" w:lineRule="exact"/>
        <w:ind w:firstLine="640" w:firstLineChars="200"/>
        <w:outlineLvl w:val="2"/>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7.负责关心教职工生活，发挥教代会职能作用。</w:t>
      </w:r>
    </w:p>
    <w:p w14:paraId="504619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8.承办上级交办的其他事项。</w:t>
      </w:r>
    </w:p>
    <w:p w14:paraId="34CE9F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6" w:name="_Toc23867"/>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6"/>
    </w:p>
    <w:p w14:paraId="53F280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学期我们要在2023年的基础上，不扩展、不折腾，就是不再开设新的项目，但要在原来的基础上再深入、再细化、再提升，使“让善文化润泽师生的生命成长”这一理念真正落地，今年就是“至善教育”的落地之年。</w:t>
      </w:r>
    </w:p>
    <w:p w14:paraId="66A24A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7" w:name="_Toc16880"/>
      <w:r>
        <w:rPr>
          <w:rFonts w:hint="eastAsia" w:ascii="仿宋_GB2312" w:hAnsi="仿宋_GB2312" w:eastAsia="仿宋_GB2312" w:cs="仿宋_GB2312"/>
          <w:sz w:val="32"/>
          <w:szCs w:val="32"/>
          <w:lang w:val="en-US" w:eastAsia="zh-CN"/>
        </w:rPr>
        <w:t>1.践行“至善教育”的理念</w:t>
      </w:r>
      <w:bookmarkEnd w:id="7"/>
    </w:p>
    <w:p w14:paraId="124A8F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这一理念已经提出大半年的时间，不是否定以前，推倒重来，而是对“明德博学 臻于至善”办学思想和“立德树人、五育并举”的价值立场内涵的发展与延续，是一脉相承的。“至善教育”这一理念在同志们的思考下，得到了完善和发展。善自己、善他人、善教育、善家庭和社会。善自己是基础、是根本，是“至善教育”的“因”，后三个是“至善教育”是“果”。“至善教育”落实的最佳途径是“上施下效”。</w:t>
      </w:r>
    </w:p>
    <w:p w14:paraId="1209A7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8" w:name="_Toc1399"/>
      <w:r>
        <w:rPr>
          <w:rFonts w:hint="eastAsia" w:ascii="仿宋_GB2312" w:hAnsi="仿宋_GB2312" w:eastAsia="仿宋_GB2312" w:cs="仿宋_GB2312"/>
          <w:sz w:val="32"/>
          <w:szCs w:val="32"/>
          <w:lang w:val="en-US" w:eastAsia="zh-CN"/>
        </w:rPr>
        <w:t>2.做一名“有影响美善教师”</w:t>
      </w:r>
      <w:bookmarkEnd w:id="8"/>
    </w:p>
    <w:p w14:paraId="7791F2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怎么能把班级管好？我送大家“2个1”。第一个“1”是一句话：管理学生要恩威并施，先恩后威，“威”不足道；先威后恩，恩重如山。第二个“1”是一种思想：要和学生融为一体。怎么去“融”是非常有研究的。我建议要沉到学生中去，和学生一起玩、一起活动、一起谈心，就是要和学生亦师亦友，能够达到学生想犯错误自己都不好意思，有学生犯错误，别的学生就会帮你教育。假期给大家提供《致教师》和《给教师的一百条建议》两本书，大家如果看明白了，怎么当好老师，做好教育你就能懂，也能做好。我希望我们能够经常探讨这样的问题，做这样有意义的事情。 </w:t>
      </w:r>
    </w:p>
    <w:p w14:paraId="6FFF40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一是心中要有目标。新学期，我们要探索“2345”教师专业成长模式。“2”指的是 2种方式，即经验+反思=成长。美国教育心理学家波斯纳说：“没有反思的经验是狭义的心得，至多只能是平庸的知识”。如果一个教师仅仅满足经验而不对经验进行深入思考，那么即使是20年教学经验，也许只是一年工作的20次重复。反思使教师重新找回失去的自我，相信自己才是处理自己问题的专家，使隐藏在自己心中的教育思想得以激活。“3”指的是3种途径，即自我鞭策，在与自己的对话中成长；同事合作，在与同事的对话中发展；师生相长，在与学生的对话中共进。“4”指经历4个阶段，即初任入行阶段（1-3年），从行为模仿到熟悉教学；能力构建阶段（2-5年）从激情发展到理性成熟；专业成熟阶段（8年以上），从特点突出到风格独特；名师阶段（10年以上），从深度反思到资深专家、大先生。“5”指锤炼5种能力，即课堂教学能力、班级管理能力、学生培养能力、家校沟通能力、综合命题能力。    </w:t>
      </w:r>
    </w:p>
    <w:p w14:paraId="684B6D4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成长要有平台。努力搭建成长平台，鼓励教师走到台的中央。初到射小我就跟老师讲：平台再大，自己不上台，你永远是个观众；平台再好，自己不参与，你永远是个旁观者，人生没有四季，努力就是旺季，不努力就是淡季，不努力，听到的永远是别人的好消息，享受自己的工作成果也是莫大的快乐。本学期继续开展全青年教师论坛、班主任论坛、“三新”大赛、优质课大赛、“射小有我”演讲等，继续坚持“日清、周备、月命”常规动作。为教师创造学习、研究、交流的机会。</w:t>
      </w:r>
    </w:p>
    <w:p w14:paraId="3411EA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参照要有榜样。榜样从优秀做起，从品质做起，向优秀看、跟优秀学，行政班子领导成员要全面提升服务意识，把服务教师当作履职之要，为你们解决问题。树立“你们的事就是我的事，你们的需要就是我存在的价值”的思想，成为你们的友人、亲人。    </w:t>
      </w:r>
    </w:p>
    <w:p w14:paraId="763EC8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工作要有氛围。大力倡导“我工作、我开心，我生活、我快乐”的家文化理念，发挥文化润校功能，用“高看一眼、相互补台”的心态对待同事，凝聚谦虚、包容、自律、向上、大气的学校精神，建设谦虚不低调，包容不懦弱，自律不自缚，向上不冒进，大气不张扬的文化内涵。开展以“射小有我”为主题的师德大讨论活动，一起回顾职业生涯的“点点滴滴”，讲述从教人生的“终身难忘”，把酒桌的回忆变成台前的感慨，营造我是射小的主人，射小以我为傲的氛围。</w:t>
      </w:r>
    </w:p>
    <w:p w14:paraId="6C7A18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9" w:name="_Toc27553"/>
      <w:r>
        <w:rPr>
          <w:rFonts w:hint="eastAsia" w:ascii="仿宋_GB2312" w:hAnsi="仿宋_GB2312" w:eastAsia="仿宋_GB2312" w:cs="仿宋_GB2312"/>
          <w:sz w:val="32"/>
          <w:szCs w:val="32"/>
          <w:lang w:val="en-US" w:eastAsia="zh-CN"/>
        </w:rPr>
        <w:t>3.培育有影响的向善学生</w:t>
      </w:r>
      <w:bookmarkEnd w:id="9"/>
    </w:p>
    <w:p w14:paraId="49DCC2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质量要有新突破。在全区校园长会议上，教育局分析了教育质量情况，我校虽然质量总体还不是很高，个人的名次不是很强，五年级抽考的名次下降，教导处要利用一切可以利用的资源，利用一切可以利用的条件，想一切可以想的办法，就像专家会诊一样“把脉问诊，开放用药”，找到差到哪里？将采取什么办法，在哪还能提高一分……因此，我们要对目标充满信心，要驰而不息、一以贯之的将状态、势头转化成实实在在的教育成绩。</w:t>
      </w:r>
    </w:p>
    <w:p w14:paraId="189A355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要抓实“日清、周备、月命”的提升。日清，即在教学过程中，教师要求学生把每天学过的知识必须落实到位，在老师检查中达到教学的实效性；周备，即大单元备课，小单元授课，是指课时教学前，要在系统分析的基础上组建单元，进行单元整体规划，以及整体规划下的课时设计，确定主题明确目标，逆向设计，评价早于活动设计，结构化任务，递进式活动，课型、课时、作业、测试统筹安排与整体设计。月命，即每月教师以课标为纲，以大纲为本，以教材为据，以资料为辅，按照近几年的命题原则接地气的对学生进行诊断，在深度、广度、梯度上多研究，多思考。</w:t>
      </w:r>
    </w:p>
    <w:p w14:paraId="107E5C3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三是大力开展养成教育。实施“一标、两育、三巡、四特”育人模式 ，“一标”即一个目标：培养出胸怀天下的至善少年，而不是目光短浅的行为低能之辈；“两育”即育才和育人，不能只育才而忽视了育人，坚决贯彻“以立德树人为根本任务，以为党育人为国育才为己任”，绝不能培养出“劣质生”，要让学生有恩于我们的教育。培养学生家国情怀，爱国、爱校、爱家 ；“三巡”即巡校、巡楼、巡舍，保证管理全覆盖无死角；“四特”即一特建设四个“无声场所”，即：即无声食堂、无声自习、无声宿舍、无声走廊；二特实现“四无”现象，即校园内学生无纪律、无乱扔、无陋习、无疯闹；三特营造“四有”场景，即操场上有活力、课堂上有规矩、行走有秩序、交流有礼仪；四特实现“四个”愿景，林荫下琴棋书画、诗歌咏赋；操场上欢歌</w:t>
      </w:r>
      <w:bookmarkStart w:id="36" w:name="_GoBack"/>
      <w:bookmarkEnd w:id="36"/>
      <w:r>
        <w:rPr>
          <w:rFonts w:hint="eastAsia" w:ascii="仿宋_GB2312" w:hAnsi="仿宋_GB2312" w:eastAsia="仿宋_GB2312" w:cs="仿宋_GB2312"/>
          <w:sz w:val="32"/>
          <w:szCs w:val="32"/>
          <w:lang w:val="en-US" w:eastAsia="zh-CN"/>
        </w:rPr>
        <w:t>笑语、球飞扇舞；教室里凝神沉思、书声琅琅；校园内活动井然，生机勃勃。把课后服务开展的丰富多彩。</w:t>
      </w:r>
    </w:p>
    <w:p w14:paraId="6B56BA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0" w:name="_Toc21972"/>
      <w:r>
        <w:rPr>
          <w:rFonts w:hint="eastAsia" w:ascii="仿宋_GB2312" w:hAnsi="仿宋_GB2312" w:eastAsia="仿宋_GB2312" w:cs="仿宋_GB2312"/>
          <w:sz w:val="32"/>
          <w:szCs w:val="32"/>
          <w:lang w:val="en-US" w:eastAsia="zh-CN"/>
        </w:rPr>
        <w:t>4.打造有影响的善美校园</w:t>
      </w:r>
      <w:bookmarkEnd w:id="10"/>
    </w:p>
    <w:p w14:paraId="622318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一是学校要有特色。要把学校建成“三园”，即环境优美的花园、舒适舒心的家园、成长成才的学园。</w:t>
      </w:r>
    </w:p>
    <w:p w14:paraId="6E6FC7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体验“德”课程，让学生感受“至善”之雅。以《守则》《规范》，扎实开展“日行一善”的《善行十一条》、班级善行公约；丰富“善之声”校园广播站；开展清明、端午“善文化”传统节日文化活动；开展“筑梦善行”访学实践活动，拓展视野，丰富知识。</w:t>
      </w:r>
    </w:p>
    <w:p w14:paraId="16E731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开发“智”课程，让学生感受“至善”之本。继续以“以书为梯”开展书香校园活动，营造氛围、设置课程、晨诵、午读确保时间、积极编纂《经典伴我成长》校本教材、开展活动让阅读有快乐。</w:t>
      </w:r>
    </w:p>
    <w:p w14:paraId="7DCF39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视“艺”课程，让学生感受“从善”之美。以艺体开展全校“傩傩舞”、《善行三字歌》、《道德经》诵读、师生“画善”“写善”、“善之声”、“善教之星”、“善行之星”教师、学生评选等活动让师生的身心沐浴着善之光。</w:t>
      </w:r>
    </w:p>
    <w:p w14:paraId="3E78F8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开启“劳”教育，让学生感受“善耕”之乐。积极打造农耕乐园“一园四区”，以二十四节气把主题式劳动融入学校、家庭教育。</w:t>
      </w:r>
    </w:p>
    <w:p w14:paraId="497D8E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二是班级要有特点。向市内外学校看齐，班级有名字、有目标、有口号等；课前书声琅琅、课上聚精会神、课下出入有序等，班团会有主题、有形式、有效果等；逐步形成自己的班风。</w:t>
      </w:r>
    </w:p>
    <w:p w14:paraId="1820A2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三是教师要有特长。我们教师不但能胜任自己的学科教学，更要在专精上下功夫，能指导学生参加各类竞赛，以强基计划为切入点，锻造业务本领，尽快成长为优秀学科竞赛教练。</w:t>
      </w:r>
    </w:p>
    <w:p w14:paraId="3F1CE2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四是探索“147”安全管理模式，织牢师生安全防护网。</w:t>
      </w:r>
    </w:p>
    <w:p w14:paraId="6EC1E8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五是做好正面报道和宣传。</w:t>
      </w:r>
    </w:p>
    <w:p w14:paraId="03421A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1" w:name="_Toc29778"/>
      <w:r>
        <w:rPr>
          <w:rFonts w:hint="eastAsia" w:ascii="仿宋_GB2312" w:hAnsi="仿宋_GB2312" w:eastAsia="仿宋_GB2312" w:cs="仿宋_GB2312"/>
          <w:sz w:val="32"/>
          <w:szCs w:val="32"/>
          <w:lang w:val="en-US" w:eastAsia="zh-CN"/>
        </w:rPr>
        <w:t>5.抓好其他工作，做好后勤服务</w:t>
      </w:r>
      <w:bookmarkEnd w:id="11"/>
    </w:p>
    <w:p w14:paraId="705A58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制定财务预算，坚持计划、合理使用经费。规范物品采购、进出库管理。充分利用学校现有的资源，有限的办公经费，严把“进、出”两关口，规范管理，勤俭节约。积极做好固定资产购入及登记，落实损坏赔偿制度。</w:t>
      </w:r>
    </w:p>
    <w:p w14:paraId="7E8D94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抓好后勤人员的管理，提高服务质量。加强后勤人员管理，明确门卫、保育员、炊事员的职责，统一思想认识，强化职业道德，增强干好本职工作的责任感，凝心聚力，爱岗敬业，乐于奉献，进一步提高员工的业务素质和服务意识。</w:t>
      </w:r>
    </w:p>
    <w:p w14:paraId="444C15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加强食堂质量的管理。努力提高服务质量，积极征求师生意见及时反馈信息意见和要求，责任到人，量化考核。高度重视食品安全卫生工作，建全台帐，严把食品进出口关，严禁过期、变质食品进入校园。食品加工要按规定程序操作，杜绝生人进食堂，确保师生用餐卫生与安全。积极邀请家委员会对学校食堂的民主管理和监督，切实维护师生合法权益，不断提高学校食堂为教育、为师生服务的质量和水平。</w:t>
      </w:r>
    </w:p>
    <w:p w14:paraId="4B2D02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四是发挥工会作用，关心教职工生活，解决教职工工作、生活困难，做好校务、财务、政务公开，接受教职工监督。</w:t>
      </w:r>
    </w:p>
    <w:p w14:paraId="21F19FD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五是加强幼儿园工作。提升幼儿园办园水平，丰富办园内涵，落实幼儿园办学特色和亮点，加强幼儿园常规管理，开展丰富多彩的幼教活动，杜绝小学化，做好幼儿家校沟通，为学校可持续发展奠定坚实的基础。</w:t>
      </w:r>
    </w:p>
    <w:p w14:paraId="1E32E1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六是家校合力。成立学校家委会协助并支持学校工作，发挥学校与家长的协调、沟通作用，在学校和家长之间真正起到桥梁式地沟通的作用，让家长和学校真正地形成合力。</w:t>
      </w:r>
    </w:p>
    <w:p w14:paraId="29BB2E9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七是各处室和办公室要加强痕迹管理和档案管理。我们要把各种活动的开展要有计划、方案，要有活动过程记录，要有活动总结，要形成特色，变成案例，向外推介，这些就要痕迹管理。</w:t>
      </w:r>
    </w:p>
    <w:p w14:paraId="196D27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2" w:name="_Toc10246"/>
      <w:r>
        <w:rPr>
          <w:rFonts w:hint="eastAsia" w:ascii="黑体" w:hAnsi="黑体" w:eastAsia="黑体" w:cs="黑体"/>
          <w:sz w:val="32"/>
          <w:szCs w:val="32"/>
          <w:lang w:val="en-US" w:eastAsia="zh-CN"/>
        </w:rPr>
        <w:t>二、部门预算单位构成</w:t>
      </w:r>
      <w:bookmarkEnd w:id="12"/>
    </w:p>
    <w:p w14:paraId="6696CF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我单位为广元市昭化区教育局的下属二级预算单位，本单位无下属机构，属于公益一类事业单位。</w:t>
      </w:r>
    </w:p>
    <w:p w14:paraId="6EB8C3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1287"/>
      <w:r>
        <w:rPr>
          <w:rFonts w:hint="eastAsia" w:ascii="黑体" w:hAnsi="黑体" w:eastAsia="黑体" w:cs="黑体"/>
          <w:sz w:val="32"/>
          <w:szCs w:val="32"/>
          <w:lang w:val="en-US" w:eastAsia="zh-CN"/>
        </w:rPr>
        <w:t>三、收支预算情况说明</w:t>
      </w:r>
      <w:bookmarkEnd w:id="13"/>
    </w:p>
    <w:p w14:paraId="3FF711C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射箭小学所有收入和支出均纳入部门预算管理。收入包括：一般公共预算拨款收入；支出包括：教育支出、社会保障和就业支出。射箭小学2024年收支预算总数396.06万元,比2023年收支预算总数增加0.41万元，主要原因是</w:t>
      </w:r>
      <w:r>
        <w:rPr>
          <w:rFonts w:hint="eastAsia" w:ascii="仿宋_GB2312" w:hAnsi="仿宋_GB2312" w:eastAsia="仿宋_GB2312" w:cs="仿宋_GB2312"/>
          <w:color w:val="auto"/>
          <w:sz w:val="32"/>
          <w:szCs w:val="32"/>
          <w:lang w:val="en-US" w:eastAsia="zh-CN"/>
        </w:rPr>
        <w:t>基本支出和项目支出增加。</w:t>
      </w:r>
    </w:p>
    <w:p w14:paraId="3743CC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7242"/>
      <w:r>
        <w:rPr>
          <w:rFonts w:hint="eastAsia" w:ascii="楷体_GB2312" w:hAnsi="楷体_GB2312" w:eastAsia="楷体_GB2312" w:cs="楷体_GB2312"/>
          <w:sz w:val="32"/>
          <w:szCs w:val="32"/>
          <w:lang w:val="en-US" w:eastAsia="zh-CN"/>
        </w:rPr>
        <w:t>（一）收入预算情况</w:t>
      </w:r>
      <w:bookmarkEnd w:id="14"/>
    </w:p>
    <w:p w14:paraId="159B3A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射箭小学2024年收入预算396.06万元，其中：一般公共预算拨款收入396.06万元，占100%。</w:t>
      </w:r>
    </w:p>
    <w:p w14:paraId="2B7880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222"/>
      <w:r>
        <w:rPr>
          <w:rFonts w:hint="eastAsia" w:ascii="楷体_GB2312" w:hAnsi="楷体_GB2312" w:eastAsia="楷体_GB2312" w:cs="楷体_GB2312"/>
          <w:sz w:val="32"/>
          <w:szCs w:val="32"/>
          <w:lang w:val="en-US" w:eastAsia="zh-CN"/>
        </w:rPr>
        <w:t>（二）支出预算情况</w:t>
      </w:r>
      <w:bookmarkEnd w:id="15"/>
    </w:p>
    <w:p w14:paraId="2F0EE8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射箭小学2024年支出预算396.06万元，其中：基本支出366.36万元，占92.5%；项目支出29.70万元，占7.5%</w:t>
      </w:r>
      <w:r>
        <w:rPr>
          <w:rFonts w:hint="eastAsia" w:ascii="仿宋_GB2312" w:hAnsi="仿宋_GB2312" w:eastAsia="仿宋_GB2312" w:cs="仿宋_GB2312"/>
          <w:b w:val="0"/>
          <w:bCs w:val="0"/>
          <w:sz w:val="32"/>
          <w:szCs w:val="32"/>
          <w:lang w:val="en-US" w:eastAsia="zh-CN"/>
        </w:rPr>
        <w:t>。</w:t>
      </w:r>
    </w:p>
    <w:p w14:paraId="1FBE22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13822"/>
      <w:r>
        <w:rPr>
          <w:rFonts w:hint="eastAsia" w:ascii="黑体" w:hAnsi="黑体" w:eastAsia="黑体" w:cs="黑体"/>
          <w:sz w:val="32"/>
          <w:szCs w:val="32"/>
          <w:lang w:val="en-US" w:eastAsia="zh-CN"/>
        </w:rPr>
        <w:t>四、财政拨款收支预算情况说明</w:t>
      </w:r>
      <w:bookmarkEnd w:id="16"/>
    </w:p>
    <w:p w14:paraId="5E40557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射箭小学2024年财政拨款收支预算总数396.06万元,比2023年财政拨款收支预算总数增加0.41万元，</w:t>
      </w:r>
      <w:r>
        <w:rPr>
          <w:rFonts w:hint="eastAsia" w:ascii="仿宋_GB2312" w:hAnsi="仿宋_GB2312" w:eastAsia="仿宋_GB2312" w:cs="仿宋_GB2312"/>
          <w:color w:val="auto"/>
          <w:sz w:val="32"/>
          <w:szCs w:val="32"/>
          <w:lang w:val="en-US" w:eastAsia="zh-CN"/>
        </w:rPr>
        <w:t>主要原因是基本支出和项目支出增加。</w:t>
      </w:r>
    </w:p>
    <w:p w14:paraId="6A4D47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收入包括：本年一般公共预算拨款收入396.06万元；支出包括：教育支出334.06万元、社会保障和就业支出62万元。</w:t>
      </w:r>
    </w:p>
    <w:p w14:paraId="4F3989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6726"/>
      <w:r>
        <w:rPr>
          <w:rFonts w:hint="eastAsia" w:ascii="黑体" w:hAnsi="黑体" w:eastAsia="黑体" w:cs="黑体"/>
          <w:sz w:val="32"/>
          <w:szCs w:val="32"/>
          <w:lang w:val="en-US" w:eastAsia="zh-CN"/>
        </w:rPr>
        <w:t>五、一般公共预算当年拨款情况说明</w:t>
      </w:r>
      <w:bookmarkEnd w:id="17"/>
    </w:p>
    <w:p w14:paraId="2365CC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7606"/>
      <w:r>
        <w:rPr>
          <w:rFonts w:hint="eastAsia" w:ascii="楷体_GB2312" w:hAnsi="楷体_GB2312" w:eastAsia="楷体_GB2312" w:cs="楷体_GB2312"/>
          <w:sz w:val="32"/>
          <w:szCs w:val="32"/>
          <w:lang w:val="en-US" w:eastAsia="zh-CN"/>
        </w:rPr>
        <w:t>（一）一般公共预算当年拨款规模变化情况</w:t>
      </w:r>
      <w:bookmarkEnd w:id="18"/>
    </w:p>
    <w:p w14:paraId="44DDE5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射箭小学2024年一般公共预算当年拨款396.06万元，比2023年预算数增加（减少）0.41万元，</w:t>
      </w:r>
      <w:r>
        <w:rPr>
          <w:rFonts w:hint="eastAsia" w:ascii="仿宋_GB2312" w:hAnsi="仿宋_GB2312" w:eastAsia="仿宋_GB2312" w:cs="仿宋_GB2312"/>
          <w:color w:val="auto"/>
          <w:sz w:val="32"/>
          <w:szCs w:val="32"/>
          <w:lang w:val="en-US" w:eastAsia="zh-CN"/>
        </w:rPr>
        <w:t>主要原因是基本支出和项目支出增加。</w:t>
      </w:r>
    </w:p>
    <w:p w14:paraId="276106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25537"/>
      <w:r>
        <w:rPr>
          <w:rFonts w:hint="eastAsia" w:ascii="楷体_GB2312" w:hAnsi="楷体_GB2312" w:eastAsia="楷体_GB2312" w:cs="楷体_GB2312"/>
          <w:sz w:val="32"/>
          <w:szCs w:val="32"/>
          <w:lang w:val="en-US" w:eastAsia="zh-CN"/>
        </w:rPr>
        <w:t>（二）一般公共预算当年拨款结构情况</w:t>
      </w:r>
      <w:bookmarkEnd w:id="19"/>
    </w:p>
    <w:p w14:paraId="7CDF70B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一般公共服务支出396.06万元，占100%；教育支出334.06万元，占84.35%；社会保障和就业支出62万元，占15.65%。</w:t>
      </w:r>
    </w:p>
    <w:p w14:paraId="5F01ECA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15610"/>
      <w:r>
        <w:rPr>
          <w:rFonts w:hint="eastAsia" w:ascii="楷体_GB2312" w:hAnsi="楷体_GB2312" w:eastAsia="楷体_GB2312" w:cs="楷体_GB2312"/>
          <w:sz w:val="32"/>
          <w:szCs w:val="32"/>
          <w:lang w:val="en-US" w:eastAsia="zh-CN"/>
        </w:rPr>
        <w:t>（三）一般公共预算当年拨款具体使用情况</w:t>
      </w:r>
      <w:bookmarkEnd w:id="20"/>
    </w:p>
    <w:p w14:paraId="00E000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支出（类）普通教育（款）小学教育（项）2024年预算数为334.06万元，主要用于：本单位基本支出包括基本工资、津贴补贴、基础绩效奖等人员经费以及机构运行所需的办公费、印刷费、维修（护）费、工会经费等运行补助经费。</w:t>
      </w:r>
    </w:p>
    <w:p w14:paraId="6AA2941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社会保障和就业（类）行政事业单位养老支出（款）事业单位离退休（项）2024年预算数为62万元，主要用于：本单位离退休人员经费支出。</w:t>
      </w:r>
    </w:p>
    <w:p w14:paraId="535297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1" w:name="_Toc6639"/>
      <w:r>
        <w:rPr>
          <w:rFonts w:hint="eastAsia" w:ascii="黑体" w:hAnsi="黑体" w:eastAsia="黑体" w:cs="黑体"/>
          <w:sz w:val="32"/>
          <w:szCs w:val="32"/>
          <w:lang w:val="en-US" w:eastAsia="zh-CN"/>
        </w:rPr>
        <w:t>六、一般公共预算基本支出情况说明</w:t>
      </w:r>
      <w:bookmarkEnd w:id="21"/>
    </w:p>
    <w:p w14:paraId="1821BF3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射箭小学2024年一般公共预算基本支出366.36万元，其中：</w:t>
      </w:r>
    </w:p>
    <w:p w14:paraId="5C90BE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人员经费366.36万元，主要包括：基本工资、津贴补贴、奖金、社会保险缴费、住房公积金等支出。</w:t>
      </w:r>
    </w:p>
    <w:p w14:paraId="12AA9C9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2" w:name="_Toc18723"/>
      <w:r>
        <w:rPr>
          <w:rFonts w:hint="eastAsia" w:ascii="黑体" w:hAnsi="黑体" w:eastAsia="黑体" w:cs="黑体"/>
          <w:sz w:val="32"/>
          <w:szCs w:val="32"/>
          <w:lang w:val="en-US" w:eastAsia="zh-CN"/>
        </w:rPr>
        <w:t>七、“三公”经费财政拨款预算安排情况说明</w:t>
      </w:r>
      <w:bookmarkEnd w:id="22"/>
    </w:p>
    <w:p w14:paraId="52F908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射箭小学2024年“三公”经费财政拨款预算数0.1万元，其中：公务接待费0.1万元。</w:t>
      </w:r>
    </w:p>
    <w:p w14:paraId="5BC7D7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10625"/>
      <w:r>
        <w:rPr>
          <w:rFonts w:hint="eastAsia" w:ascii="楷体_GB2312" w:hAnsi="楷体_GB2312" w:eastAsia="楷体_GB2312" w:cs="楷体_GB2312"/>
          <w:sz w:val="32"/>
          <w:szCs w:val="32"/>
          <w:lang w:val="en-US" w:eastAsia="zh-CN"/>
        </w:rPr>
        <w:t>（一）公务接待费</w:t>
      </w:r>
      <w:bookmarkEnd w:id="23"/>
    </w:p>
    <w:p w14:paraId="367792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14:paraId="1FBFE9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14:paraId="3644A5D8">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15850"/>
      <w:r>
        <w:rPr>
          <w:rFonts w:hint="eastAsia" w:ascii="楷体_GB2312" w:hAnsi="楷体_GB2312" w:eastAsia="楷体_GB2312" w:cs="楷体_GB2312"/>
          <w:sz w:val="32"/>
          <w:szCs w:val="32"/>
          <w:lang w:val="en-US" w:eastAsia="zh-CN"/>
        </w:rPr>
        <w:t>公务用车购置及运行维护费</w:t>
      </w:r>
      <w:bookmarkEnd w:id="24"/>
    </w:p>
    <w:p w14:paraId="1799CA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14:paraId="2B851D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3B4C2C3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14:paraId="0FF000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14:paraId="6CA6EF80">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5" w:name="_Toc8656"/>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5"/>
    </w:p>
    <w:p w14:paraId="29E41B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14:paraId="79DBDB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6" w:name="_Toc3498"/>
      <w:r>
        <w:rPr>
          <w:rFonts w:hint="eastAsia" w:ascii="黑体" w:hAnsi="黑体" w:eastAsia="黑体" w:cs="黑体"/>
          <w:sz w:val="32"/>
          <w:szCs w:val="32"/>
          <w:lang w:val="en-US" w:eastAsia="zh-CN"/>
        </w:rPr>
        <w:t>八、政府性基金预算支出情况说明</w:t>
      </w:r>
      <w:bookmarkEnd w:id="26"/>
    </w:p>
    <w:p w14:paraId="177F6E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射箭小学2024年政府性基金预算拨款安排支出0万元。</w:t>
      </w:r>
    </w:p>
    <w:p w14:paraId="21C8C7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7" w:name="_Toc21166"/>
      <w:r>
        <w:rPr>
          <w:rFonts w:hint="eastAsia" w:ascii="黑体" w:hAnsi="黑体" w:eastAsia="黑体" w:cs="黑体"/>
          <w:sz w:val="32"/>
          <w:szCs w:val="32"/>
          <w:lang w:val="en-US" w:eastAsia="zh-CN"/>
        </w:rPr>
        <w:t>九、国有资本经营预算支出情况说明</w:t>
      </w:r>
      <w:bookmarkEnd w:id="27"/>
    </w:p>
    <w:p w14:paraId="54C276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射箭小学2024年无国有资本经营预算拨款安排的支出。</w:t>
      </w:r>
    </w:p>
    <w:p w14:paraId="534BA3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8" w:name="_Toc15452"/>
      <w:r>
        <w:rPr>
          <w:rFonts w:hint="eastAsia" w:ascii="黑体" w:hAnsi="黑体" w:eastAsia="黑体" w:cs="黑体"/>
          <w:sz w:val="32"/>
          <w:szCs w:val="32"/>
          <w:lang w:val="en-US" w:eastAsia="zh-CN"/>
        </w:rPr>
        <w:t>十、其他重要事项的情况说明</w:t>
      </w:r>
      <w:bookmarkEnd w:id="28"/>
    </w:p>
    <w:p w14:paraId="5B3752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9" w:name="_Toc7635"/>
      <w:r>
        <w:rPr>
          <w:rFonts w:hint="eastAsia" w:ascii="楷体_GB2312" w:hAnsi="楷体_GB2312" w:eastAsia="楷体_GB2312" w:cs="楷体_GB2312"/>
          <w:sz w:val="32"/>
          <w:szCs w:val="32"/>
          <w:lang w:val="en-US" w:eastAsia="zh-CN"/>
        </w:rPr>
        <w:t>（一）机关运行经费</w:t>
      </w:r>
      <w:bookmarkEnd w:id="29"/>
    </w:p>
    <w:p w14:paraId="5145B1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2024年，本单位属于公益一类事业单位无机关运行经费。</w:t>
      </w:r>
    </w:p>
    <w:p w14:paraId="15FA18F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987"/>
      <w:r>
        <w:rPr>
          <w:rFonts w:hint="eastAsia" w:ascii="楷体_GB2312" w:hAnsi="楷体_GB2312" w:eastAsia="楷体_GB2312" w:cs="楷体_GB2312"/>
          <w:sz w:val="32"/>
          <w:szCs w:val="32"/>
          <w:lang w:val="en-US" w:eastAsia="zh-CN"/>
        </w:rPr>
        <w:t>（二）政府采购情况</w:t>
      </w:r>
      <w:bookmarkEnd w:id="30"/>
    </w:p>
    <w:p w14:paraId="32DC4C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2024年，射箭小学未安排政府采购预算。</w:t>
      </w:r>
    </w:p>
    <w:p w14:paraId="16BFB3E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1" w:name="_Toc16554"/>
      <w:r>
        <w:rPr>
          <w:rFonts w:hint="eastAsia" w:ascii="楷体_GB2312" w:hAnsi="楷体_GB2312" w:eastAsia="楷体_GB2312" w:cs="楷体_GB2312"/>
          <w:sz w:val="32"/>
          <w:szCs w:val="32"/>
          <w:lang w:val="en-US" w:eastAsia="zh-CN"/>
        </w:rPr>
        <w:t>（三）国有资产占有使用情况</w:t>
      </w:r>
      <w:bookmarkEnd w:id="31"/>
    </w:p>
    <w:p w14:paraId="3EEF1C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截至2023年底，射箭小学共有车辆0辆。单位无价值200万元以上的大型设备。</w:t>
      </w:r>
    </w:p>
    <w:p w14:paraId="10DD6E4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2024年单位预算未安排购置车辆及单位价值200万元以上大型设备。</w:t>
      </w:r>
    </w:p>
    <w:p w14:paraId="1E2E8F1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2" w:name="_Toc21242"/>
      <w:r>
        <w:rPr>
          <w:rFonts w:hint="eastAsia" w:ascii="楷体_GB2312" w:hAnsi="楷体_GB2312" w:eastAsia="楷体_GB2312" w:cs="楷体_GB2312"/>
          <w:sz w:val="32"/>
          <w:szCs w:val="32"/>
          <w:lang w:val="en-US" w:eastAsia="zh-CN"/>
        </w:rPr>
        <w:t>（四）绩效目标设置情况</w:t>
      </w:r>
      <w:bookmarkEnd w:id="32"/>
    </w:p>
    <w:p w14:paraId="59EDE34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2024年射箭小学开展绩效目标管理的项目4个，涉及预算29.7万元。其中：人员类项目0个，涉及预算 0万元；运转类项目4个，涉及预算29.7万元；特定目标类项目0个，涉及预算0万元。因部分项目内容涉密，不予公开。</w:t>
      </w:r>
    </w:p>
    <w:p w14:paraId="3D15A1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3" w:name="_Toc16774"/>
      <w:r>
        <w:rPr>
          <w:rFonts w:hint="eastAsia" w:ascii="黑体" w:hAnsi="黑体" w:eastAsia="黑体" w:cs="黑体"/>
          <w:sz w:val="32"/>
          <w:szCs w:val="32"/>
          <w:lang w:val="en-US" w:eastAsia="zh-CN"/>
        </w:rPr>
        <w:t>十一、名词解释</w:t>
      </w:r>
      <w:bookmarkEnd w:id="33"/>
    </w:p>
    <w:p w14:paraId="2D64BE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（一）财政拨款收入:指财政当年安排的财政预算收入。按现行管理制度,部门预算中反映的财政拨款包括一般公共预算拨款和政府性基金预算拨款。</w:t>
      </w:r>
    </w:p>
    <w:p w14:paraId="69DDEF3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（二）事业收入：指事业单位开展专业业务活动及辅助活动所取得的收入。主要为学校根据国家有关部门批准的项目和标准收取的学费、住宿费等。 </w:t>
      </w:r>
    </w:p>
    <w:p w14:paraId="414738C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（三）其他收入：指除上述“一般公共预算拨款收入” “事业收入”等以外的收入。如银行存款利息收入、社会考试服务收入、课时收入等。</w:t>
      </w:r>
    </w:p>
    <w:p w14:paraId="6DB21B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（四）教育支出（类）普通教育（款）学前教育（项）：指本单位学前教育发展的基本支出，包括基本工资、津贴补贴等人员经费以及办公费、印刷费、水电费等日常公用经费。</w:t>
      </w:r>
    </w:p>
    <w:p w14:paraId="4AAAC7A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（五）教育支出（类）普通教育（款）小学教育（项）：指本单位小学教育发展的基本支出，包括基本工资、津贴补贴等人员经费以及办公费、印刷费、水电费等日常公用经费。</w:t>
      </w:r>
    </w:p>
    <w:p w14:paraId="01733C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（六）社会保障和就业（类）行政事业单位养老支出（款）事业单位离退休（项）：指事业单位离退休人员的支出。</w:t>
      </w:r>
    </w:p>
    <w:p w14:paraId="759335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（七）住房保障（类）住房改革支出（款）住房公积金（项）：指按照《住房公积金管理条例》的规定，由单位及其在职职工缴存的长期住房储金。</w:t>
      </w:r>
    </w:p>
    <w:p w14:paraId="0734B9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（八）基本支出：指为保证机构正常运转，完成日常工作任务而发生的人员支出和公用支出。</w:t>
      </w:r>
    </w:p>
    <w:p w14:paraId="0C9E46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（九）项目支出：指在基本支出之外为完成特定行政任务和事业发展目标所发生的支出。</w:t>
      </w:r>
    </w:p>
    <w:p w14:paraId="5179371D">
      <w:pPr>
        <w:pStyle w:val="2"/>
        <w:outlineLvl w:val="9"/>
        <w:rPr>
          <w:rFonts w:hint="eastAsia"/>
          <w:lang w:val="en-US" w:eastAsia="zh-CN"/>
        </w:rPr>
      </w:pPr>
    </w:p>
    <w:p w14:paraId="27AD4C4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附件：1.预算公开报表</w:t>
      </w:r>
    </w:p>
    <w:p w14:paraId="49AAC172">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1600" w:leftChars="0"/>
        <w:textAlignment w:val="auto"/>
        <w:outlineLvl w:val="1"/>
        <w:rPr>
          <w:rFonts w:hint="default" w:ascii="仿宋_GB2312" w:hAnsi="仿宋_GB2312" w:eastAsia="仿宋_GB2312" w:cs="仿宋_GB2312"/>
          <w:sz w:val="32"/>
          <w:szCs w:val="32"/>
          <w:lang w:val="en-US" w:eastAsia="zh-CN"/>
        </w:rPr>
      </w:pPr>
      <w:bookmarkStart w:id="34" w:name="_Toc18015"/>
      <w:bookmarkStart w:id="35" w:name="_Toc6742"/>
      <w:r>
        <w:rPr>
          <w:rFonts w:hint="eastAsia" w:ascii="仿宋_GB2312" w:hAnsi="仿宋_GB2312" w:eastAsia="仿宋_GB2312" w:cs="仿宋_GB2312"/>
          <w:sz w:val="32"/>
          <w:szCs w:val="32"/>
          <w:lang w:val="en-US" w:eastAsia="zh-CN"/>
        </w:rPr>
        <w:t>2.项目支出绩效目标表</w:t>
      </w:r>
      <w:bookmarkEnd w:id="34"/>
      <w:bookmarkEnd w:id="35"/>
    </w:p>
    <w:p w14:paraId="4802DC1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3886C5-84CB-4CE9-B9E0-56E29F8FF8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Liberation Sans">
    <w:altName w:val="Segoe Print"/>
    <w:panose1 w:val="020B06040200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00000" w:usb2="00000000" w:usb3="00000000" w:csb0="00040000" w:csb1="00000000"/>
    <w:embedRegular r:id="rId2" w:fontKey="{50F030F1-0F8B-4BFE-80FF-15256E7EA08A}"/>
  </w:font>
  <w:font w:name="仿宋">
    <w:panose1 w:val="02010609060101010101"/>
    <w:charset w:val="86"/>
    <w:family w:val="auto"/>
    <w:pitch w:val="default"/>
    <w:sig w:usb0="800002BF" w:usb1="38CF7CFA" w:usb2="00000016" w:usb3="00000000" w:csb0="00040001" w:csb1="00000000"/>
    <w:embedRegular r:id="rId3" w:fontKey="{A03687B0-6375-4F42-A3E6-417DCE17045F}"/>
  </w:font>
  <w:font w:name="楷体_GB2312">
    <w:panose1 w:val="02010609030101010101"/>
    <w:charset w:val="86"/>
    <w:family w:val="auto"/>
    <w:pitch w:val="default"/>
    <w:sig w:usb0="00000001" w:usb1="080E0000" w:usb2="00000000" w:usb3="00000000" w:csb0="00040000" w:csb1="00000000"/>
    <w:embedRegular r:id="rId4" w:fontKey="{24A7A504-AE01-4F2F-8534-FA36541C0CC1}"/>
  </w:font>
  <w:font w:name="仿宋_GB2312">
    <w:altName w:val="仿宋"/>
    <w:panose1 w:val="02010609030001010101"/>
    <w:charset w:val="86"/>
    <w:family w:val="auto"/>
    <w:pitch w:val="default"/>
    <w:sig w:usb0="00000000" w:usb1="00000000" w:usb2="00000000" w:usb3="00000000" w:csb0="00040000" w:csb1="00000000"/>
    <w:embedRegular r:id="rId5" w:fontKey="{DF0154F8-0AAC-42B5-B37F-FA8DA298A818}"/>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91274">
    <w:pPr>
      <w:pStyle w:val="5"/>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B6031AC">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2B6031AC">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hYTg4NGNkZWJkODFjNzcyZDRjM2M4Y2UzNjI5ZmUifQ=="/>
  </w:docVars>
  <w:rsids>
    <w:rsidRoot w:val="00000000"/>
    <w:rsid w:val="1C270315"/>
    <w:rsid w:val="59CC30AA"/>
    <w:rsid w:val="61336D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autoRedefine/>
    <w:qFormat/>
    <w:uiPriority w:val="0"/>
    <w:pPr>
      <w:keepNext/>
      <w:keepLines/>
      <w:spacing w:before="260" w:after="260" w:line="416" w:lineRule="auto"/>
      <w:outlineLvl w:val="1"/>
    </w:pPr>
    <w:rPr>
      <w:rFonts w:ascii="Cambria" w:hAnsi="Cambria" w:cs="Cambria"/>
      <w:b/>
      <w:bCs/>
      <w:sz w:val="32"/>
      <w:szCs w:val="32"/>
    </w:rPr>
  </w:style>
  <w:style w:type="character" w:default="1" w:styleId="12">
    <w:name w:val="Default Paragraph Font"/>
    <w:autoRedefine/>
    <w:qFormat/>
    <w:uiPriority w:val="0"/>
  </w:style>
  <w:style w:type="table" w:default="1" w:styleId="11">
    <w:name w:val="Normal Table"/>
    <w:autoRedefine/>
    <w:qFormat/>
    <w:uiPriority w:val="0"/>
    <w:tblPr>
      <w:tblCellMar>
        <w:top w:w="0" w:type="dxa"/>
        <w:left w:w="108" w:type="dxa"/>
        <w:bottom w:w="0" w:type="dxa"/>
        <w:right w:w="108" w:type="dxa"/>
      </w:tblCellMar>
    </w:tblPr>
  </w:style>
  <w:style w:type="paragraph" w:styleId="3">
    <w:name w:val="caption"/>
    <w:basedOn w:val="1"/>
    <w:next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autoRedefine/>
    <w:qFormat/>
    <w:uiPriority w:val="0"/>
  </w:style>
  <w:style w:type="paragraph" w:styleId="8">
    <w:name w:val="List"/>
    <w:basedOn w:val="4"/>
    <w:autoRedefine/>
    <w:qFormat/>
    <w:uiPriority w:val="0"/>
  </w:style>
  <w:style w:type="paragraph" w:styleId="9">
    <w:name w:val="toc 2"/>
    <w:basedOn w:val="1"/>
    <w:next w:val="1"/>
    <w:autoRedefine/>
    <w:qFormat/>
    <w:uiPriority w:val="0"/>
    <w:pPr>
      <w:ind w:left="420" w:leftChars="200"/>
    </w:pPr>
  </w:style>
  <w:style w:type="paragraph" w:styleId="10">
    <w:name w:val="Normal (Web)"/>
    <w:basedOn w:val="1"/>
    <w:autoRedefine/>
    <w:qFormat/>
    <w:uiPriority w:val="0"/>
    <w:rPr>
      <w:sz w:val="24"/>
    </w:rPr>
  </w:style>
  <w:style w:type="character" w:customStyle="1" w:styleId="13">
    <w:name w:val="默认段落字体1"/>
    <w:autoRedefine/>
    <w:qFormat/>
    <w:uiPriority w:val="0"/>
  </w:style>
  <w:style w:type="paragraph" w:customStyle="1" w:styleId="14">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autoRedefine/>
    <w:qFormat/>
    <w:uiPriority w:val="0"/>
    <w:pPr>
      <w:ind w:leftChars="0"/>
    </w:pPr>
    <w:rPr>
      <w:rFonts w:ascii="Times New Roman" w:hAnsi="Times New Roman" w:eastAsia="宋体" w:cs="Times New Roman"/>
      <w:sz w:val="20"/>
      <w:szCs w:val="20"/>
    </w:rPr>
  </w:style>
  <w:style w:type="paragraph" w:customStyle="1" w:styleId="17">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6232</Words>
  <Characters>6489</Characters>
  <Paragraphs>149</Paragraphs>
  <TotalTime>0</TotalTime>
  <ScaleCrop>false</ScaleCrop>
  <LinksUpToDate>false</LinksUpToDate>
  <CharactersWithSpaces>6538</CharactersWithSpaces>
  <Application>WPS Office_12.1.0.17133_F1E327BC-269C-435d-A152-05C5408002CA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昭化融媒体</cp:lastModifiedBy>
  <dcterms:modified xsi:type="dcterms:W3CDTF">2024-06-19T01:00:25Z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4cb3efa925d84d89aa870259fe113a82_23</vt:lpwstr>
  </property>
</Properties>
</file>