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9944A9">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default"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bookmarkStart w:id="0" w:name="_Toc10802"/>
      <w:bookmarkStart w:id="1" w:name="_Toc18587"/>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广元市昭化区</w:t>
      </w:r>
      <w:bookmarkEnd w:id="0"/>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虎跳镇丁家小学</w:t>
      </w:r>
      <w:bookmarkEnd w:id="1"/>
    </w:p>
    <w:p w14:paraId="0C1CEF07">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2024年单位预算编制说明</w:t>
      </w:r>
    </w:p>
    <w:sdt>
      <w:sdtPr>
        <w:rPr>
          <w:rFonts w:hint="eastAsia" w:ascii="仿宋" w:hAnsi="仿宋" w:eastAsia="仿宋" w:cs="仿宋"/>
          <w:color w:val="auto"/>
          <w:kern w:val="2"/>
          <w:sz w:val="32"/>
          <w:szCs w:val="32"/>
          <w:lang w:val="en-US" w:eastAsia="zh-CN" w:bidi="ar-SA"/>
        </w:rPr>
        <w:id w:val="147467297"/>
        <w15:color w:val="DBDBDB"/>
        <w:docPartObj>
          <w:docPartGallery w:val="Table of Contents"/>
          <w:docPartUnique/>
        </w:docPartObj>
      </w:sdtPr>
      <w:sdtEndPr>
        <w:rPr>
          <w:rFonts w:hint="eastAsia" w:ascii="仿宋" w:hAnsi="仿宋" w:eastAsia="仿宋" w:cs="仿宋"/>
          <w:b/>
          <w:color w:val="auto"/>
          <w:kern w:val="2"/>
          <w:sz w:val="32"/>
          <w:szCs w:val="32"/>
          <w:lang w:val="en-US" w:eastAsia="zh-CN" w:bidi="ar-SA"/>
        </w:rPr>
      </w:sdtEndPr>
      <w:sdtContent>
        <w:p w14:paraId="64759F1F">
          <w:pPr>
            <w:spacing w:before="0" w:beforeLines="0" w:after="0" w:afterLines="0" w:line="240" w:lineRule="auto"/>
            <w:ind w:left="0" w:leftChars="0" w:right="0" w:rightChars="0" w:firstLine="0" w:firstLineChars="0"/>
            <w:jc w:val="center"/>
            <w:rPr>
              <w:rFonts w:hint="eastAsia" w:ascii="仿宋" w:hAnsi="仿宋" w:eastAsia="仿宋" w:cs="仿宋"/>
              <w:sz w:val="32"/>
              <w:szCs w:val="32"/>
            </w:rPr>
          </w:pPr>
          <w:r>
            <w:rPr>
              <w:rFonts w:hint="eastAsia" w:ascii="仿宋" w:hAnsi="仿宋" w:eastAsia="仿宋" w:cs="仿宋"/>
              <w:sz w:val="32"/>
              <w:szCs w:val="32"/>
            </w:rPr>
            <w:t>目录</w:t>
          </w:r>
        </w:p>
        <w:p w14:paraId="547C2A7B">
          <w:pPr>
            <w:pStyle w:val="15"/>
            <w:tabs>
              <w:tab w:val="right" w:leader="dot" w:pos="8845"/>
            </w:tabs>
            <w:rPr>
              <w:rFonts w:hint="eastAsia" w:ascii="仿宋" w:hAnsi="仿宋" w:eastAsia="仿宋" w:cs="仿宋"/>
              <w:b/>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TOC \o "1-2" \h \u </w:instrText>
          </w:r>
          <w:r>
            <w:rPr>
              <w:rFonts w:hint="eastAsia" w:ascii="仿宋" w:hAnsi="仿宋" w:eastAsia="仿宋" w:cs="仿宋"/>
              <w:sz w:val="32"/>
              <w:szCs w:val="32"/>
            </w:rPr>
            <w:fldChar w:fldCharType="separate"/>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_Toc20939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一、基本职能及主要工作</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_Toc20939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2</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64B88C6E">
          <w:pPr>
            <w:pStyle w:val="16"/>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_Toc1732 </w:instrText>
          </w:r>
          <w:r>
            <w:rPr>
              <w:rFonts w:hint="eastAsia" w:ascii="仿宋" w:hAnsi="仿宋" w:eastAsia="仿宋" w:cs="仿宋"/>
              <w:sz w:val="32"/>
              <w:szCs w:val="32"/>
            </w:rPr>
            <w:fldChar w:fldCharType="separate"/>
          </w:r>
          <w:r>
            <w:rPr>
              <w:rFonts w:hint="eastAsia" w:ascii="仿宋" w:hAnsi="仿宋" w:eastAsia="仿宋" w:cs="仿宋"/>
              <w:i w:val="0"/>
              <w:caps w:val="0"/>
              <w:spacing w:val="0"/>
              <w:sz w:val="32"/>
              <w:szCs w:val="32"/>
              <w:shd w:val="clear" w:color="auto" w:fill="FFFFFF"/>
            </w:rPr>
            <w:t>（一）</w:t>
          </w:r>
          <w:r>
            <w:rPr>
              <w:rFonts w:hint="eastAsia" w:ascii="仿宋" w:hAnsi="仿宋" w:eastAsia="仿宋" w:cs="仿宋"/>
              <w:i w:val="0"/>
              <w:caps w:val="0"/>
              <w:spacing w:val="0"/>
              <w:sz w:val="32"/>
              <w:szCs w:val="32"/>
              <w:shd w:val="clear" w:color="auto" w:fill="FFFFFF"/>
              <w:lang w:val="en-US" w:eastAsia="zh-CN"/>
            </w:rPr>
            <w:t>单位</w:t>
          </w:r>
          <w:r>
            <w:rPr>
              <w:rFonts w:hint="eastAsia" w:ascii="仿宋" w:hAnsi="仿宋" w:eastAsia="仿宋" w:cs="仿宋"/>
              <w:i w:val="0"/>
              <w:caps w:val="0"/>
              <w:spacing w:val="0"/>
              <w:sz w:val="32"/>
              <w:szCs w:val="32"/>
              <w:shd w:val="clear" w:color="auto" w:fill="FFFFFF"/>
            </w:rPr>
            <w:t>职能简介</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_Toc1732 \h </w:instrText>
          </w:r>
          <w:r>
            <w:rPr>
              <w:rFonts w:hint="eastAsia" w:ascii="仿宋" w:hAnsi="仿宋" w:eastAsia="仿宋" w:cs="仿宋"/>
              <w:sz w:val="32"/>
              <w:szCs w:val="32"/>
            </w:rPr>
            <w:fldChar w:fldCharType="separate"/>
          </w:r>
          <w:r>
            <w:rPr>
              <w:rFonts w:hint="eastAsia" w:ascii="仿宋" w:hAnsi="仿宋" w:eastAsia="仿宋" w:cs="仿宋"/>
              <w:sz w:val="32"/>
              <w:szCs w:val="32"/>
            </w:rPr>
            <w:t>3</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06291A7C">
          <w:pPr>
            <w:pStyle w:val="16"/>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_Toc8368 </w:instrText>
          </w:r>
          <w:r>
            <w:rPr>
              <w:rFonts w:hint="eastAsia" w:ascii="仿宋" w:hAnsi="仿宋" w:eastAsia="仿宋" w:cs="仿宋"/>
              <w:sz w:val="32"/>
              <w:szCs w:val="32"/>
            </w:rPr>
            <w:fldChar w:fldCharType="separate"/>
          </w:r>
          <w:r>
            <w:rPr>
              <w:rFonts w:hint="eastAsia" w:ascii="仿宋" w:hAnsi="仿宋" w:eastAsia="仿宋" w:cs="仿宋"/>
              <w:i w:val="0"/>
              <w:caps w:val="0"/>
              <w:spacing w:val="0"/>
              <w:sz w:val="32"/>
              <w:szCs w:val="32"/>
              <w:shd w:val="clear" w:fill="FFFFFF"/>
            </w:rPr>
            <w:t xml:space="preserve">（二） </w:t>
          </w:r>
          <w:r>
            <w:rPr>
              <w:rFonts w:hint="eastAsia" w:ascii="仿宋" w:hAnsi="仿宋" w:eastAsia="仿宋" w:cs="仿宋"/>
              <w:i w:val="0"/>
              <w:caps w:val="0"/>
              <w:spacing w:val="0"/>
              <w:sz w:val="32"/>
              <w:szCs w:val="32"/>
              <w:shd w:val="clear" w:color="auto" w:fill="FFFFFF"/>
            </w:rPr>
            <w:t>202</w:t>
          </w:r>
          <w:r>
            <w:rPr>
              <w:rFonts w:hint="eastAsia" w:ascii="仿宋" w:hAnsi="仿宋" w:eastAsia="仿宋" w:cs="仿宋"/>
              <w:i w:val="0"/>
              <w:caps w:val="0"/>
              <w:spacing w:val="0"/>
              <w:sz w:val="32"/>
              <w:szCs w:val="32"/>
              <w:shd w:val="clear" w:color="auto" w:fill="FFFFFF"/>
              <w:lang w:val="en-US" w:eastAsia="zh-CN"/>
            </w:rPr>
            <w:t>4</w:t>
          </w:r>
          <w:r>
            <w:rPr>
              <w:rFonts w:hint="eastAsia" w:ascii="仿宋" w:hAnsi="仿宋" w:eastAsia="仿宋" w:cs="仿宋"/>
              <w:i w:val="0"/>
              <w:caps w:val="0"/>
              <w:spacing w:val="0"/>
              <w:sz w:val="32"/>
              <w:szCs w:val="32"/>
              <w:shd w:val="clear" w:color="auto" w:fill="FFFFFF"/>
            </w:rPr>
            <w:t>年重点工作</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_Toc8368 \h </w:instrText>
          </w:r>
          <w:r>
            <w:rPr>
              <w:rFonts w:hint="eastAsia" w:ascii="仿宋" w:hAnsi="仿宋" w:eastAsia="仿宋" w:cs="仿宋"/>
              <w:sz w:val="32"/>
              <w:szCs w:val="32"/>
            </w:rPr>
            <w:fldChar w:fldCharType="separate"/>
          </w:r>
          <w:r>
            <w:rPr>
              <w:rFonts w:hint="eastAsia" w:ascii="仿宋" w:hAnsi="仿宋" w:eastAsia="仿宋" w:cs="仿宋"/>
              <w:sz w:val="32"/>
              <w:szCs w:val="32"/>
            </w:rPr>
            <w:t>3</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35DD82E1">
          <w:pPr>
            <w:pStyle w:val="15"/>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_Toc26900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二、部门预算单位构成</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_Toc26900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4</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734B7F4F">
          <w:pPr>
            <w:pStyle w:val="15"/>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_Toc19299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三、 收支预算情况说明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_Toc19299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4</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2EF0DFF2">
          <w:pPr>
            <w:pStyle w:val="16"/>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_Toc14386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（一） 收入预算情况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_Toc14386 \h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41B134D2">
          <w:pPr>
            <w:pStyle w:val="16"/>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_Toc9215 </w:instrText>
          </w:r>
          <w:r>
            <w:rPr>
              <w:rFonts w:hint="eastAsia" w:ascii="仿宋" w:hAnsi="仿宋" w:eastAsia="仿宋" w:cs="仿宋"/>
              <w:sz w:val="32"/>
              <w:szCs w:val="32"/>
            </w:rPr>
            <w:fldChar w:fldCharType="separate"/>
          </w:r>
          <w:r>
            <w:rPr>
              <w:rFonts w:hint="eastAsia" w:ascii="仿宋" w:hAnsi="仿宋" w:eastAsia="仿宋" w:cs="仿宋"/>
              <w:bCs w:val="0"/>
              <w:sz w:val="32"/>
              <w:szCs w:val="32"/>
              <w:lang w:val="en-US" w:eastAsia="zh-CN"/>
            </w:rPr>
            <w:t xml:space="preserve">（三） </w:t>
          </w:r>
          <w:r>
            <w:rPr>
              <w:rFonts w:hint="eastAsia" w:ascii="仿宋" w:hAnsi="仿宋" w:eastAsia="仿宋" w:cs="仿宋"/>
              <w:sz w:val="32"/>
              <w:szCs w:val="32"/>
              <w:lang w:val="en-US" w:eastAsia="zh-CN"/>
            </w:rPr>
            <w:t>支出预算情况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_Toc9215 \h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5254F654">
          <w:pPr>
            <w:pStyle w:val="15"/>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_Toc16794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四、 财政拨款收支预算情况说明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_Toc16794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5</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6BD17552">
          <w:pPr>
            <w:pStyle w:val="15"/>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_Toc7862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五、 一般公共预算当年拨款情况说明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_Toc7862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5</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2923B283">
          <w:pPr>
            <w:pStyle w:val="16"/>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_Toc6863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（一） 一般公共预算当年拨款规模变化情况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_Toc6863 \h </w:instrText>
          </w:r>
          <w:r>
            <w:rPr>
              <w:rFonts w:hint="eastAsia" w:ascii="仿宋" w:hAnsi="仿宋" w:eastAsia="仿宋" w:cs="仿宋"/>
              <w:sz w:val="32"/>
              <w:szCs w:val="32"/>
            </w:rPr>
            <w:fldChar w:fldCharType="separate"/>
          </w:r>
          <w:r>
            <w:rPr>
              <w:rFonts w:hint="eastAsia" w:ascii="仿宋" w:hAnsi="仿宋" w:eastAsia="仿宋" w:cs="仿宋"/>
              <w:sz w:val="32"/>
              <w:szCs w:val="32"/>
            </w:rPr>
            <w:t>5</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1BA533CC">
          <w:pPr>
            <w:pStyle w:val="16"/>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_Toc3242 </w:instrText>
          </w:r>
          <w:r>
            <w:rPr>
              <w:rFonts w:hint="eastAsia" w:ascii="仿宋" w:hAnsi="仿宋" w:eastAsia="仿宋" w:cs="仿宋"/>
              <w:sz w:val="32"/>
              <w:szCs w:val="32"/>
            </w:rPr>
            <w:fldChar w:fldCharType="separate"/>
          </w:r>
          <w:r>
            <w:rPr>
              <w:rFonts w:hint="eastAsia" w:ascii="仿宋" w:hAnsi="仿宋" w:eastAsia="仿宋" w:cs="仿宋"/>
              <w:bCs/>
              <w:sz w:val="32"/>
              <w:szCs w:val="32"/>
              <w:lang w:val="en-US" w:eastAsia="zh-CN"/>
            </w:rPr>
            <w:t xml:space="preserve">（二） </w:t>
          </w:r>
          <w:r>
            <w:rPr>
              <w:rFonts w:hint="eastAsia" w:ascii="仿宋" w:hAnsi="仿宋" w:eastAsia="仿宋" w:cs="仿宋"/>
              <w:sz w:val="32"/>
              <w:szCs w:val="32"/>
              <w:lang w:val="en-US" w:eastAsia="zh-CN"/>
            </w:rPr>
            <w:t>一般公共预算当年拨款结构情况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_Toc3242 \h </w:instrText>
          </w:r>
          <w:r>
            <w:rPr>
              <w:rFonts w:hint="eastAsia" w:ascii="仿宋" w:hAnsi="仿宋" w:eastAsia="仿宋" w:cs="仿宋"/>
              <w:sz w:val="32"/>
              <w:szCs w:val="32"/>
            </w:rPr>
            <w:fldChar w:fldCharType="separate"/>
          </w:r>
          <w:r>
            <w:rPr>
              <w:rFonts w:hint="eastAsia" w:ascii="仿宋" w:hAnsi="仿宋" w:eastAsia="仿宋" w:cs="仿宋"/>
              <w:sz w:val="32"/>
              <w:szCs w:val="32"/>
            </w:rPr>
            <w:t>5</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3E2D98D1">
          <w:pPr>
            <w:pStyle w:val="16"/>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_Toc25426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（三）一般公共预算当年拨款具体使用情况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_Toc25426 \h </w:instrText>
          </w:r>
          <w:r>
            <w:rPr>
              <w:rFonts w:hint="eastAsia" w:ascii="仿宋" w:hAnsi="仿宋" w:eastAsia="仿宋" w:cs="仿宋"/>
              <w:sz w:val="32"/>
              <w:szCs w:val="32"/>
            </w:rPr>
            <w:fldChar w:fldCharType="separate"/>
          </w:r>
          <w:r>
            <w:rPr>
              <w:rFonts w:hint="eastAsia" w:ascii="仿宋" w:hAnsi="仿宋" w:eastAsia="仿宋" w:cs="仿宋"/>
              <w:sz w:val="32"/>
              <w:szCs w:val="32"/>
            </w:rPr>
            <w:t>5</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1335E329">
          <w:pPr>
            <w:pStyle w:val="15"/>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_Toc32418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六、一般公共预算基本支出情况说明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_Toc32418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6</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128C219D">
          <w:pPr>
            <w:pStyle w:val="15"/>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_Toc8971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七、“三公”经费财政拨款预算安排情况说明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_Toc8971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6</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2CE232B7">
          <w:pPr>
            <w:pStyle w:val="15"/>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_Toc12435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八、政府性基金预算支出情况说明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_Toc12435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7</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6A93881F">
          <w:pPr>
            <w:pStyle w:val="15"/>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_Toc31583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九、国有资本经营预算支出情况说明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_Toc31583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7</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2E168D53">
          <w:pPr>
            <w:pStyle w:val="15"/>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_Toc19894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十、其他重要事项的情况说明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_Toc19894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7</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4E804306">
          <w:pPr>
            <w:pStyle w:val="15"/>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_Toc2350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十一、名词解释</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_Toc2350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8</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0824778F">
          <w:r>
            <w:rPr>
              <w:rFonts w:hint="eastAsia" w:ascii="仿宋" w:hAnsi="仿宋" w:eastAsia="仿宋" w:cs="仿宋"/>
              <w:b/>
              <w:sz w:val="32"/>
              <w:szCs w:val="32"/>
            </w:rPr>
            <w:fldChar w:fldCharType="end"/>
          </w:r>
        </w:p>
      </w:sdtContent>
    </w:sdt>
    <w:p w14:paraId="6D538E7B">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3" w:firstLineChars="200"/>
        <w:jc w:val="both"/>
        <w:rPr>
          <w:rFonts w:hint="eastAsia" w:ascii="宋体" w:hAnsi="宋体" w:eastAsia="宋体" w:cs="宋体"/>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宋体" w:hAnsi="宋体" w:cs="宋体"/>
          <w:b/>
          <w:i w:val="0"/>
          <w:caps w:val="0"/>
          <w:color w:val="000000" w:themeColor="text1"/>
          <w:spacing w:val="0"/>
          <w:sz w:val="32"/>
          <w:szCs w:val="32"/>
          <w:highlight w:val="none"/>
          <w:shd w:val="clear" w:color="auto" w:fill="FFFFFF"/>
          <w:lang w:val="en-US" w:eastAsia="zh-CN"/>
          <w14:textFill>
            <w14:solidFill>
              <w14:schemeClr w14:val="tx1"/>
            </w14:solidFill>
          </w14:textFill>
        </w:rPr>
        <w:t xml:space="preserve">    </w:t>
      </w:r>
    </w:p>
    <w:p w14:paraId="1BBB0000">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14:paraId="0C0CB31A">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14:paraId="40C9211F">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14:paraId="2005EC6D">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14:paraId="59113988">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14:paraId="2FDE7FE2">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14:paraId="11093359">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14:paraId="59BB5AF1">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14:paraId="62E53467">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14:paraId="24DF0E2E">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14:paraId="2FFF10E1">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14:paraId="6B1AAAD4">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14:paraId="7EF54346">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14:paraId="3F18BE6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 w:name="_Toc20939"/>
      <w:r>
        <w:rPr>
          <w:rFonts w:hint="eastAsia" w:ascii="黑体" w:hAnsi="黑体" w:eastAsia="黑体" w:cs="黑体"/>
          <w:sz w:val="32"/>
          <w:szCs w:val="32"/>
          <w:lang w:val="en-US" w:eastAsia="zh-CN"/>
        </w:rPr>
        <w:t>一、基本职能及主要工作</w:t>
      </w:r>
      <w:bookmarkEnd w:id="2"/>
    </w:p>
    <w:p w14:paraId="765765B6">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74"/>
        <w:jc w:val="both"/>
        <w:outlineLvl w:val="1"/>
        <w:rPr>
          <w:rFonts w:hint="eastAsia" w:ascii="楷体_GB2312" w:eastAsia="楷体_GB2312" w:cs="楷体_GB2312"/>
          <w:b/>
          <w:i w:val="0"/>
          <w:caps w:val="0"/>
          <w:color w:val="333333"/>
          <w:spacing w:val="0"/>
          <w:sz w:val="32"/>
          <w:szCs w:val="32"/>
          <w:shd w:val="clear" w:color="auto" w:fill="FFFFFF"/>
        </w:rPr>
      </w:pPr>
      <w:bookmarkStart w:id="3" w:name="_Toc1732"/>
      <w:r>
        <w:rPr>
          <w:rFonts w:ascii="楷体_GB2312" w:eastAsia="楷体_GB2312" w:cs="楷体_GB2312"/>
          <w:b/>
          <w:i w:val="0"/>
          <w:caps w:val="0"/>
          <w:color w:val="333333"/>
          <w:spacing w:val="0"/>
          <w:sz w:val="32"/>
          <w:szCs w:val="32"/>
          <w:shd w:val="clear" w:color="auto" w:fill="FFFFFF"/>
        </w:rPr>
        <w:t>（一）</w:t>
      </w:r>
      <w:r>
        <w:rPr>
          <w:rFonts w:hint="eastAsia" w:ascii="楷体_GB2312" w:eastAsia="楷体_GB2312" w:cs="楷体_GB2312"/>
          <w:b/>
          <w:i w:val="0"/>
          <w:caps w:val="0"/>
          <w:color w:val="333333"/>
          <w:spacing w:val="0"/>
          <w:sz w:val="32"/>
          <w:szCs w:val="32"/>
          <w:shd w:val="clear" w:color="auto" w:fill="FFFFFF"/>
          <w:lang w:val="en-US" w:eastAsia="zh-CN"/>
        </w:rPr>
        <w:t>单位</w:t>
      </w:r>
      <w:r>
        <w:rPr>
          <w:rFonts w:hint="eastAsia" w:ascii="楷体_GB2312" w:eastAsia="楷体_GB2312" w:cs="楷体_GB2312"/>
          <w:b/>
          <w:i w:val="0"/>
          <w:caps w:val="0"/>
          <w:color w:val="333333"/>
          <w:spacing w:val="0"/>
          <w:sz w:val="32"/>
          <w:szCs w:val="32"/>
          <w:shd w:val="clear" w:color="auto" w:fill="FFFFFF"/>
        </w:rPr>
        <w:t>职能简介</w:t>
      </w:r>
      <w:bookmarkEnd w:id="3"/>
    </w:p>
    <w:p w14:paraId="230ECEE7">
      <w:pPr>
        <w:pStyle w:val="8"/>
        <w:adjustRightInd w:val="0"/>
        <w:spacing w:before="93" w:beforeLines="30" w:line="500" w:lineRule="exact"/>
        <w:ind w:firstLine="640" w:firstLineChars="200"/>
        <w:jc w:val="both"/>
        <w:outlineLvl w:val="2"/>
        <w:rPr>
          <w:rFonts w:hint="eastAsia" w:ascii="仿宋" w:hAnsi="仿宋" w:eastAsia="仿宋" w:cs="仿宋"/>
          <w:kern w:val="2"/>
          <w:sz w:val="32"/>
          <w:szCs w:val="32"/>
        </w:rPr>
      </w:pPr>
      <w:r>
        <w:rPr>
          <w:rFonts w:hint="eastAsia" w:ascii="仿宋" w:hAnsi="仿宋" w:eastAsia="仿宋" w:cs="仿宋"/>
          <w:kern w:val="2"/>
          <w:sz w:val="32"/>
          <w:szCs w:val="32"/>
          <w:lang w:bidi="ar"/>
        </w:rPr>
        <w:t>1.贯彻党的教育方针，坚持社会主义办学方向，实行教育与生产劳动相结合，对学生进行德育、智育、体育、美育和劳动等方面的教育。</w:t>
      </w:r>
    </w:p>
    <w:p w14:paraId="7AB6C1CE">
      <w:pPr>
        <w:pStyle w:val="8"/>
        <w:adjustRightInd w:val="0"/>
        <w:spacing w:before="93" w:beforeLines="30" w:line="500" w:lineRule="exact"/>
        <w:ind w:firstLine="640" w:firstLineChars="200"/>
        <w:jc w:val="both"/>
        <w:outlineLvl w:val="2"/>
        <w:rPr>
          <w:rFonts w:hint="eastAsia" w:ascii="仿宋" w:hAnsi="仿宋" w:eastAsia="仿宋" w:cs="仿宋"/>
          <w:kern w:val="2"/>
          <w:sz w:val="32"/>
          <w:szCs w:val="32"/>
        </w:rPr>
      </w:pPr>
      <w:r>
        <w:rPr>
          <w:rFonts w:hint="eastAsia" w:ascii="仿宋" w:hAnsi="仿宋" w:eastAsia="仿宋" w:cs="仿宋"/>
          <w:kern w:val="2"/>
          <w:sz w:val="32"/>
          <w:szCs w:val="32"/>
          <w:lang w:bidi="ar"/>
        </w:rPr>
        <w:t>2.负责配合政府依法动员、组织适龄儿童、少年入学，严格控制学生辍学，依法保证适龄儿童、少年接受九年义务教育。</w:t>
      </w:r>
    </w:p>
    <w:p w14:paraId="368815C5">
      <w:pPr>
        <w:pStyle w:val="8"/>
        <w:adjustRightInd w:val="0"/>
        <w:spacing w:before="93" w:beforeLines="30" w:line="500" w:lineRule="exact"/>
        <w:ind w:firstLine="640" w:firstLineChars="200"/>
        <w:jc w:val="both"/>
        <w:outlineLvl w:val="2"/>
        <w:rPr>
          <w:rFonts w:hint="eastAsia" w:ascii="仿宋" w:hAnsi="仿宋" w:eastAsia="仿宋" w:cs="仿宋"/>
          <w:kern w:val="2"/>
          <w:sz w:val="32"/>
          <w:szCs w:val="32"/>
        </w:rPr>
      </w:pPr>
      <w:r>
        <w:rPr>
          <w:rFonts w:hint="eastAsia" w:ascii="仿宋" w:hAnsi="仿宋" w:eastAsia="仿宋" w:cs="仿宋"/>
          <w:kern w:val="2"/>
          <w:sz w:val="32"/>
          <w:szCs w:val="32"/>
          <w:lang w:bidi="ar"/>
        </w:rPr>
        <w:t>3.负责依法制定学校章程，并按照章程自主管理。</w:t>
      </w:r>
    </w:p>
    <w:p w14:paraId="6807208C">
      <w:pPr>
        <w:pStyle w:val="8"/>
        <w:adjustRightInd w:val="0"/>
        <w:spacing w:before="93" w:beforeLines="30" w:line="500" w:lineRule="exact"/>
        <w:ind w:firstLine="640" w:firstLineChars="200"/>
        <w:jc w:val="both"/>
        <w:outlineLvl w:val="2"/>
        <w:rPr>
          <w:rFonts w:hint="eastAsia" w:ascii="仿宋" w:hAnsi="仿宋" w:eastAsia="仿宋" w:cs="仿宋"/>
          <w:kern w:val="2"/>
          <w:sz w:val="32"/>
          <w:szCs w:val="32"/>
        </w:rPr>
      </w:pPr>
      <w:r>
        <w:rPr>
          <w:rFonts w:hint="eastAsia" w:ascii="仿宋" w:hAnsi="仿宋" w:eastAsia="仿宋" w:cs="仿宋"/>
          <w:kern w:val="2"/>
          <w:sz w:val="32"/>
          <w:szCs w:val="32"/>
          <w:lang w:bidi="ar"/>
        </w:rPr>
        <w:t>4.负责制定学校教育发展规划， 并抓好组织实施和落实工作。</w:t>
      </w:r>
    </w:p>
    <w:p w14:paraId="1A6ADD7E">
      <w:pPr>
        <w:pStyle w:val="8"/>
        <w:adjustRightInd w:val="0"/>
        <w:spacing w:before="93" w:beforeLines="30" w:line="500" w:lineRule="exact"/>
        <w:ind w:firstLine="640" w:firstLineChars="200"/>
        <w:jc w:val="both"/>
        <w:outlineLvl w:val="2"/>
        <w:rPr>
          <w:rFonts w:hint="eastAsia" w:ascii="仿宋" w:hAnsi="仿宋" w:eastAsia="仿宋" w:cs="仿宋"/>
          <w:kern w:val="2"/>
          <w:sz w:val="32"/>
          <w:szCs w:val="32"/>
        </w:rPr>
      </w:pPr>
      <w:r>
        <w:rPr>
          <w:rFonts w:hint="eastAsia" w:ascii="仿宋" w:hAnsi="仿宋" w:eastAsia="仿宋" w:cs="仿宋"/>
          <w:kern w:val="2"/>
          <w:sz w:val="32"/>
          <w:szCs w:val="32"/>
          <w:lang w:bidi="ar"/>
        </w:rPr>
        <w:t>5.负责按照教育主管部门发布的指导性教学计划、 教学大纲，组织实施教育教学活动。</w:t>
      </w:r>
    </w:p>
    <w:p w14:paraId="5990DD53">
      <w:pPr>
        <w:pStyle w:val="8"/>
        <w:adjustRightInd w:val="0"/>
        <w:spacing w:before="93" w:beforeLines="30" w:line="500" w:lineRule="exact"/>
        <w:ind w:firstLine="640" w:firstLineChars="200"/>
        <w:jc w:val="both"/>
        <w:outlineLvl w:val="2"/>
        <w:rPr>
          <w:rFonts w:hint="eastAsia" w:ascii="仿宋" w:hAnsi="仿宋" w:eastAsia="仿宋" w:cs="仿宋"/>
          <w:kern w:val="2"/>
          <w:sz w:val="32"/>
          <w:szCs w:val="32"/>
        </w:rPr>
      </w:pPr>
      <w:r>
        <w:rPr>
          <w:rFonts w:hint="eastAsia" w:ascii="仿宋" w:hAnsi="仿宋" w:eastAsia="仿宋" w:cs="仿宋"/>
          <w:kern w:val="2"/>
          <w:sz w:val="32"/>
          <w:szCs w:val="32"/>
          <w:lang w:bidi="ar"/>
        </w:rPr>
        <w:t>6.</w:t>
      </w:r>
      <w:r>
        <w:rPr>
          <w:rFonts w:hint="eastAsia" w:ascii="仿宋_GB2312" w:hAnsi="Times New Roman" w:eastAsia="仿宋_GB2312"/>
          <w:sz w:val="32"/>
          <w:szCs w:val="32"/>
          <w:lang w:bidi="ar"/>
        </w:rPr>
        <w:t xml:space="preserve"> </w:t>
      </w:r>
      <w:r>
        <w:rPr>
          <w:rFonts w:hint="eastAsia" w:ascii="仿宋" w:hAnsi="仿宋" w:eastAsia="仿宋" w:cs="仿宋"/>
          <w:kern w:val="2"/>
          <w:sz w:val="32"/>
          <w:szCs w:val="32"/>
          <w:lang w:bidi="ar"/>
        </w:rPr>
        <w:t>负责学籍管理并对学生实施奖励或处分。</w:t>
      </w:r>
    </w:p>
    <w:p w14:paraId="37755A61">
      <w:pPr>
        <w:pStyle w:val="8"/>
        <w:adjustRightInd w:val="0"/>
        <w:spacing w:before="93" w:beforeLines="30" w:line="500" w:lineRule="exact"/>
        <w:ind w:firstLine="640" w:firstLineChars="200"/>
        <w:jc w:val="both"/>
        <w:outlineLvl w:val="2"/>
        <w:rPr>
          <w:rFonts w:hint="eastAsia" w:ascii="仿宋" w:hAnsi="仿宋" w:eastAsia="仿宋" w:cs="仿宋"/>
          <w:kern w:val="2"/>
          <w:sz w:val="32"/>
          <w:szCs w:val="32"/>
          <w:lang w:val="en-US" w:eastAsia="zh-CN"/>
        </w:rPr>
      </w:pPr>
      <w:r>
        <w:rPr>
          <w:rFonts w:hint="eastAsia" w:ascii="仿宋" w:hAnsi="仿宋" w:eastAsia="仿宋" w:cs="仿宋"/>
          <w:kern w:val="2"/>
          <w:sz w:val="32"/>
          <w:szCs w:val="32"/>
          <w:lang w:bidi="ar"/>
        </w:rPr>
        <w:t>7.</w:t>
      </w:r>
      <w:r>
        <w:rPr>
          <w:rFonts w:hint="eastAsia" w:ascii="仿宋_GB2312" w:hAnsi="Times New Roman" w:eastAsia="仿宋_GB2312"/>
          <w:sz w:val="32"/>
          <w:szCs w:val="32"/>
          <w:lang w:bidi="ar"/>
        </w:rPr>
        <w:t xml:space="preserve"> </w:t>
      </w:r>
      <w:r>
        <w:rPr>
          <w:rFonts w:hint="eastAsia" w:ascii="仿宋" w:hAnsi="仿宋" w:eastAsia="仿宋" w:cs="仿宋"/>
          <w:kern w:val="2"/>
          <w:sz w:val="32"/>
          <w:szCs w:val="32"/>
          <w:lang w:bidi="ar"/>
        </w:rPr>
        <w:t>负责依法制定本校教师及其他职工聘任办法并对教师及其他员工实施包括奖励、处分在内的</w:t>
      </w:r>
      <w:r>
        <w:rPr>
          <w:rFonts w:hint="eastAsia" w:ascii="仿宋" w:hAnsi="仿宋" w:eastAsia="仿宋" w:cs="仿宋"/>
          <w:kern w:val="2"/>
          <w:sz w:val="32"/>
          <w:szCs w:val="32"/>
          <w:lang w:val="en-US" w:eastAsia="zh-CN" w:bidi="ar"/>
        </w:rPr>
        <w:t>制度。</w:t>
      </w:r>
    </w:p>
    <w:p w14:paraId="76F915C5">
      <w:pPr>
        <w:pStyle w:val="8"/>
        <w:adjustRightInd w:val="0"/>
        <w:spacing w:before="93" w:beforeLines="30" w:line="500" w:lineRule="exact"/>
        <w:ind w:firstLine="640" w:firstLineChars="200"/>
        <w:jc w:val="both"/>
        <w:outlineLvl w:val="2"/>
        <w:rPr>
          <w:rFonts w:hint="eastAsia" w:ascii="仿宋" w:hAnsi="仿宋" w:eastAsia="仿宋" w:cs="仿宋"/>
          <w:kern w:val="2"/>
          <w:sz w:val="32"/>
          <w:szCs w:val="32"/>
        </w:rPr>
      </w:pPr>
      <w:r>
        <w:rPr>
          <w:rFonts w:hint="eastAsia" w:ascii="仿宋" w:hAnsi="仿宋" w:eastAsia="仿宋" w:cs="仿宋"/>
          <w:kern w:val="2"/>
          <w:sz w:val="32"/>
          <w:szCs w:val="32"/>
          <w:lang w:bidi="ar"/>
        </w:rPr>
        <w:t>8. 负责科学管理、合理使用学校的设施和经费，并积极筹措资金，改善办学条件。</w:t>
      </w:r>
    </w:p>
    <w:p w14:paraId="24179773">
      <w:pPr>
        <w:pStyle w:val="8"/>
        <w:adjustRightInd w:val="0"/>
        <w:spacing w:before="93" w:beforeLines="30" w:line="500" w:lineRule="exact"/>
        <w:ind w:firstLine="640" w:firstLineChars="200"/>
        <w:jc w:val="both"/>
        <w:outlineLvl w:val="2"/>
        <w:rPr>
          <w:rFonts w:hint="eastAsia" w:ascii="仿宋" w:hAnsi="仿宋" w:eastAsia="仿宋" w:cs="仿宋"/>
          <w:kern w:val="2"/>
          <w:sz w:val="32"/>
          <w:szCs w:val="32"/>
        </w:rPr>
      </w:pPr>
      <w:r>
        <w:rPr>
          <w:rFonts w:hint="eastAsia" w:ascii="仿宋" w:hAnsi="仿宋" w:eastAsia="仿宋" w:cs="仿宋"/>
          <w:kern w:val="2"/>
          <w:sz w:val="32"/>
          <w:szCs w:val="32"/>
          <w:lang w:bidi="ar"/>
        </w:rPr>
        <w:t>9. 负责维护学校、师生的合法权益，有权拒绝任何组织和个人对教育教学活动进行非法干扰。</w:t>
      </w:r>
    </w:p>
    <w:p w14:paraId="4EDDF5FC">
      <w:pPr>
        <w:pStyle w:val="8"/>
        <w:adjustRightInd w:val="0"/>
        <w:spacing w:before="93" w:beforeLines="30" w:line="500" w:lineRule="exact"/>
        <w:ind w:firstLine="640" w:firstLineChars="200"/>
        <w:jc w:val="both"/>
        <w:outlineLvl w:val="2"/>
        <w:rPr>
          <w:rFonts w:hint="eastAsia" w:ascii="仿宋" w:hAnsi="仿宋" w:eastAsia="仿宋" w:cs="仿宋"/>
          <w:kern w:val="2"/>
          <w:sz w:val="32"/>
          <w:szCs w:val="32"/>
        </w:rPr>
      </w:pPr>
      <w:r>
        <w:rPr>
          <w:rFonts w:hint="eastAsia" w:ascii="仿宋" w:hAnsi="仿宋" w:eastAsia="仿宋" w:cs="仿宋"/>
          <w:kern w:val="2"/>
          <w:sz w:val="32"/>
          <w:szCs w:val="32"/>
          <w:lang w:bidi="ar"/>
        </w:rPr>
        <w:t>10.</w:t>
      </w:r>
      <w:r>
        <w:rPr>
          <w:rFonts w:hint="eastAsia" w:ascii="仿宋_GB2312" w:hAnsi="Times New Roman" w:eastAsia="仿宋_GB2312"/>
          <w:sz w:val="32"/>
          <w:szCs w:val="32"/>
          <w:lang w:bidi="ar"/>
        </w:rPr>
        <w:t xml:space="preserve"> </w:t>
      </w:r>
      <w:r>
        <w:rPr>
          <w:rFonts w:hint="eastAsia" w:ascii="仿宋" w:hAnsi="仿宋" w:eastAsia="仿宋" w:cs="仿宋"/>
          <w:kern w:val="2"/>
          <w:sz w:val="32"/>
          <w:szCs w:val="32"/>
          <w:lang w:bidi="ar"/>
        </w:rPr>
        <w:t>依法接受各级教育行政部门的检查指导和人民群众的监督。</w:t>
      </w:r>
    </w:p>
    <w:p w14:paraId="362AB9AF">
      <w:pPr>
        <w:pStyle w:val="14"/>
        <w:spacing w:line="576" w:lineRule="exact"/>
        <w:ind w:firstLine="640" w:firstLineChars="200"/>
        <w:rPr>
          <w:rFonts w:eastAsia="仿宋_GB2312"/>
          <w:sz w:val="32"/>
          <w:szCs w:val="32"/>
        </w:rPr>
      </w:pPr>
      <w:r>
        <w:rPr>
          <w:rFonts w:hint="eastAsia" w:ascii="仿宋" w:hAnsi="仿宋" w:cs="仿宋"/>
          <w:sz w:val="32"/>
          <w:szCs w:val="32"/>
          <w:lang w:bidi="ar"/>
        </w:rPr>
        <w:t>11.承办上级交办的其他事项。</w:t>
      </w:r>
    </w:p>
    <w:p w14:paraId="67FEA5C1">
      <w:pPr>
        <w:pStyle w:val="8"/>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74"/>
        <w:jc w:val="both"/>
        <w:outlineLvl w:val="1"/>
        <w:rPr>
          <w:rFonts w:hint="eastAsia" w:ascii="楷体_GB2312" w:eastAsia="楷体_GB2312" w:cs="楷体_GB2312"/>
          <w:b/>
          <w:i w:val="0"/>
          <w:caps w:val="0"/>
          <w:color w:val="333333"/>
          <w:spacing w:val="0"/>
          <w:sz w:val="32"/>
          <w:szCs w:val="32"/>
          <w:shd w:val="clear" w:color="auto" w:fill="FFFFFF"/>
        </w:rPr>
      </w:pPr>
      <w:bookmarkStart w:id="4" w:name="_Toc8368"/>
      <w:r>
        <w:rPr>
          <w:rFonts w:hint="eastAsia" w:ascii="楷体_GB2312" w:eastAsia="楷体_GB2312" w:cs="楷体_GB2312"/>
          <w:b/>
          <w:i w:val="0"/>
          <w:caps w:val="0"/>
          <w:color w:val="333333"/>
          <w:spacing w:val="0"/>
          <w:sz w:val="32"/>
          <w:szCs w:val="32"/>
          <w:shd w:val="clear" w:color="auto" w:fill="FFFFFF"/>
        </w:rPr>
        <w:t>202</w:t>
      </w:r>
      <w:r>
        <w:rPr>
          <w:rFonts w:hint="eastAsia" w:ascii="楷体_GB2312" w:eastAsia="楷体_GB2312" w:cs="楷体_GB2312"/>
          <w:b/>
          <w:i w:val="0"/>
          <w:caps w:val="0"/>
          <w:color w:val="333333"/>
          <w:spacing w:val="0"/>
          <w:sz w:val="32"/>
          <w:szCs w:val="32"/>
          <w:shd w:val="clear" w:color="auto" w:fill="FFFFFF"/>
          <w:lang w:val="en-US" w:eastAsia="zh-CN"/>
        </w:rPr>
        <w:t>4</w:t>
      </w:r>
      <w:r>
        <w:rPr>
          <w:rFonts w:hint="eastAsia" w:ascii="楷体_GB2312" w:eastAsia="楷体_GB2312" w:cs="楷体_GB2312"/>
          <w:b/>
          <w:i w:val="0"/>
          <w:caps w:val="0"/>
          <w:color w:val="333333"/>
          <w:spacing w:val="0"/>
          <w:sz w:val="32"/>
          <w:szCs w:val="32"/>
          <w:shd w:val="clear" w:color="auto" w:fill="FFFFFF"/>
        </w:rPr>
        <w:t>年重点工作</w:t>
      </w:r>
      <w:bookmarkEnd w:id="4"/>
    </w:p>
    <w:p w14:paraId="421899AB">
      <w:pPr>
        <w:ind w:firstLine="640" w:firstLineChars="200"/>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(1)认真落实免费义务教育政策,确保家庭经济困难学生享受到资助。</w:t>
      </w:r>
    </w:p>
    <w:p w14:paraId="29E678D8">
      <w:pPr>
        <w:ind w:firstLine="640" w:firstLineChars="200"/>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(2)深入开展打造高效课堂活动,不断提高我校教育教学质量，组织参加高效课堂达标活动,通过活动提高教师教学水平。</w:t>
      </w:r>
    </w:p>
    <w:p w14:paraId="666FBCEA">
      <w:pPr>
        <w:ind w:firstLine="640" w:firstLineChars="200"/>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(3)规范办学行为,开齐开足课程,深入推进素质教育。</w:t>
      </w:r>
    </w:p>
    <w:p w14:paraId="42D3FD8B">
      <w:pPr>
        <w:ind w:firstLine="640" w:firstLineChars="200"/>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(4)加强教师队伍建设,让教师积极参加各级各类培训。</w:t>
      </w:r>
    </w:p>
    <w:p w14:paraId="76E2531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5" w:name="_Toc26900"/>
      <w:r>
        <w:rPr>
          <w:rFonts w:hint="eastAsia" w:ascii="黑体" w:hAnsi="黑体" w:eastAsia="黑体" w:cs="黑体"/>
          <w:sz w:val="32"/>
          <w:szCs w:val="32"/>
          <w:lang w:val="en-US" w:eastAsia="zh-CN"/>
        </w:rPr>
        <w:t>二、部门预算单位构成</w:t>
      </w:r>
      <w:bookmarkEnd w:id="5"/>
    </w:p>
    <w:p w14:paraId="349A3F75">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 w:hAnsi="仿宋" w:eastAsia="仿宋"/>
          <w:sz w:val="32"/>
          <w:szCs w:val="32"/>
        </w:rPr>
      </w:pPr>
      <w:r>
        <w:rPr>
          <w:rFonts w:hint="eastAsia" w:ascii="仿宋" w:hAnsi="仿宋" w:eastAsia="仿宋"/>
          <w:sz w:val="32"/>
          <w:szCs w:val="32"/>
          <w:lang w:val="en-US" w:eastAsia="zh-CN"/>
        </w:rPr>
        <w:t>丁家小学</w:t>
      </w:r>
      <w:r>
        <w:rPr>
          <w:rFonts w:hint="eastAsia" w:ascii="仿宋" w:hAnsi="仿宋" w:eastAsia="仿宋"/>
          <w:sz w:val="32"/>
          <w:szCs w:val="32"/>
        </w:rPr>
        <w:t>为广元市昭化区教育局所属的二级预算单位，</w:t>
      </w:r>
      <w:r>
        <w:rPr>
          <w:rFonts w:hint="eastAsia" w:ascii="仿宋" w:hAnsi="仿宋" w:eastAsia="仿宋"/>
          <w:sz w:val="32"/>
          <w:szCs w:val="32"/>
          <w:lang w:val="en-US" w:eastAsia="zh-CN"/>
        </w:rPr>
        <w:t>本</w:t>
      </w:r>
      <w:r>
        <w:rPr>
          <w:rFonts w:hint="eastAsia" w:ascii="仿宋" w:hAnsi="仿宋" w:eastAsia="仿宋"/>
          <w:sz w:val="32"/>
          <w:szCs w:val="32"/>
        </w:rPr>
        <w:t>单位</w:t>
      </w:r>
      <w:r>
        <w:rPr>
          <w:rFonts w:hint="eastAsia" w:ascii="仿宋" w:hAnsi="仿宋" w:eastAsia="仿宋"/>
          <w:sz w:val="32"/>
          <w:szCs w:val="32"/>
          <w:lang w:val="en-US" w:eastAsia="zh-CN"/>
        </w:rPr>
        <w:t>无下属机构，属于公益一类事业单位</w:t>
      </w:r>
      <w:r>
        <w:rPr>
          <w:rFonts w:hint="eastAsia" w:ascii="仿宋" w:hAnsi="仿宋" w:eastAsia="仿宋"/>
          <w:sz w:val="32"/>
          <w:szCs w:val="32"/>
        </w:rPr>
        <w:t>。</w:t>
      </w:r>
    </w:p>
    <w:p w14:paraId="66EC18D0">
      <w:pPr>
        <w:keepNext w:val="0"/>
        <w:keepLines w:val="0"/>
        <w:widowControl/>
        <w:numPr>
          <w:ilvl w:val="0"/>
          <w:numId w:val="2"/>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outlineLvl w:val="0"/>
        <w:rPr>
          <w:rFonts w:hint="eastAsia" w:ascii="黑体" w:hAnsi="黑体" w:eastAsia="黑体" w:cs="黑体"/>
          <w:sz w:val="32"/>
          <w:szCs w:val="32"/>
          <w:lang w:val="en-US" w:eastAsia="zh-CN"/>
        </w:rPr>
      </w:pPr>
      <w:bookmarkStart w:id="6" w:name="_Toc19299"/>
      <w:r>
        <w:rPr>
          <w:rFonts w:hint="eastAsia" w:ascii="黑体" w:hAnsi="黑体" w:eastAsia="黑体" w:cs="黑体"/>
          <w:sz w:val="32"/>
          <w:szCs w:val="32"/>
          <w:lang w:val="en-US" w:eastAsia="zh-CN"/>
        </w:rPr>
        <w:t>收支预算情况说明</w:t>
      </w:r>
      <w:bookmarkEnd w:id="6"/>
    </w:p>
    <w:p w14:paraId="51D60777">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按照综合预算的原则，本单位所有收入和支出均纳入部门预算管理。收入包括：一般公共预算拨款收入；支出包括：教育支出、社会保障和就业支出。丁家小学2024年收支预算总数297.85万元,比2023年收支预算总数</w:t>
      </w:r>
      <w:r>
        <w:rPr>
          <w:rFonts w:hint="eastAsia" w:ascii="仿宋" w:hAnsi="仿宋" w:eastAsia="仿宋" w:cs="Times New Roman"/>
          <w:sz w:val="32"/>
          <w:szCs w:val="32"/>
          <w:lang w:val="en-US" w:eastAsia="zh-CN"/>
        </w:rPr>
        <w:t>316.15</w:t>
      </w:r>
      <w:r>
        <w:rPr>
          <w:rFonts w:hint="eastAsia" w:ascii="仿宋_GB2312" w:hAnsi="仿宋_GB2312" w:eastAsia="仿宋_GB2312" w:cs="仿宋_GB2312"/>
          <w:sz w:val="32"/>
          <w:szCs w:val="32"/>
          <w:lang w:val="en-US" w:eastAsia="zh-CN"/>
        </w:rPr>
        <w:t>万元减少18.3万元，主要原因是基本支出减少。</w:t>
      </w:r>
    </w:p>
    <w:p w14:paraId="0946DD4D">
      <w:pPr>
        <w:keepNext w:val="0"/>
        <w:keepLines w:val="0"/>
        <w:widowControl/>
        <w:numPr>
          <w:ilvl w:val="0"/>
          <w:numId w:val="3"/>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outlineLvl w:val="1"/>
        <w:rPr>
          <w:rFonts w:hint="eastAsia" w:ascii="楷体_GB2312" w:hAnsi="楷体_GB2312" w:eastAsia="楷体_GB2312" w:cs="楷体_GB2312"/>
          <w:sz w:val="32"/>
          <w:szCs w:val="32"/>
          <w:lang w:val="en-US" w:eastAsia="zh-CN"/>
        </w:rPr>
      </w:pPr>
      <w:bookmarkStart w:id="7" w:name="_Toc14386"/>
      <w:r>
        <w:rPr>
          <w:rFonts w:hint="eastAsia" w:ascii="楷体_GB2312" w:hAnsi="楷体_GB2312" w:eastAsia="楷体_GB2312" w:cs="楷体_GB2312"/>
          <w:sz w:val="32"/>
          <w:szCs w:val="32"/>
          <w:lang w:val="en-US" w:eastAsia="zh-CN"/>
        </w:rPr>
        <w:t>收入预算情况</w:t>
      </w:r>
      <w:bookmarkEnd w:id="7"/>
    </w:p>
    <w:p w14:paraId="4C49570F">
      <w:pPr>
        <w:keepNext w:val="0"/>
        <w:keepLines w:val="0"/>
        <w:widowControl/>
        <w:numPr>
          <w:ilvl w:val="0"/>
          <w:numId w:val="3"/>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楷体_GB2312" w:hAnsi="楷体_GB2312" w:eastAsia="楷体_GB2312" w:cs="楷体_GB2312"/>
          <w:sz w:val="32"/>
          <w:szCs w:val="32"/>
          <w:lang w:val="en-US" w:eastAsia="zh-CN"/>
        </w:rPr>
      </w:pPr>
      <w:r>
        <w:rPr>
          <w:rFonts w:hint="eastAsia" w:ascii="仿宋_GB2312" w:hAnsi="仿宋_GB2312" w:eastAsia="仿宋_GB2312" w:cs="仿宋_GB2312"/>
          <w:sz w:val="32"/>
          <w:szCs w:val="32"/>
          <w:lang w:val="en-US" w:eastAsia="zh-CN"/>
        </w:rPr>
        <w:t>丁家小学2024年收入预算297.85万元，其中：一般公共预算拨款收入297.85万元，占100%。</w:t>
      </w:r>
    </w:p>
    <w:p w14:paraId="4826D998">
      <w:pPr>
        <w:keepNext w:val="0"/>
        <w:keepLines w:val="0"/>
        <w:widowControl/>
        <w:numPr>
          <w:ilvl w:val="0"/>
          <w:numId w:val="3"/>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outlineLvl w:val="1"/>
        <w:rPr>
          <w:rFonts w:hint="eastAsia" w:ascii="仿宋_GB2312" w:hAnsi="仿宋_GB2312" w:eastAsia="仿宋_GB2312" w:cs="仿宋_GB2312"/>
          <w:b w:val="0"/>
          <w:bCs w:val="0"/>
          <w:sz w:val="32"/>
          <w:szCs w:val="32"/>
          <w:lang w:val="en-US" w:eastAsia="zh-CN"/>
        </w:rPr>
      </w:pPr>
      <w:bookmarkStart w:id="8" w:name="_Toc9215"/>
      <w:r>
        <w:rPr>
          <w:rFonts w:hint="eastAsia" w:ascii="楷体_GB2312" w:hAnsi="楷体_GB2312" w:eastAsia="楷体_GB2312" w:cs="楷体_GB2312"/>
          <w:sz w:val="32"/>
          <w:szCs w:val="32"/>
          <w:lang w:val="en-US" w:eastAsia="zh-CN"/>
        </w:rPr>
        <w:t>支出预算情况</w:t>
      </w:r>
      <w:bookmarkEnd w:id="8"/>
    </w:p>
    <w:p w14:paraId="443A128C">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丁家小学2024年支出预算297.85万元，其中：基本支出269.77万元，占90.57%；项目支出28.08万元，占9.43%</w:t>
      </w:r>
      <w:r>
        <w:rPr>
          <w:rFonts w:hint="eastAsia" w:ascii="仿宋_GB2312" w:hAnsi="仿宋_GB2312" w:eastAsia="仿宋_GB2312" w:cs="仿宋_GB2312"/>
          <w:b w:val="0"/>
          <w:bCs w:val="0"/>
          <w:sz w:val="32"/>
          <w:szCs w:val="32"/>
          <w:lang w:val="en-US" w:eastAsia="zh-CN"/>
        </w:rPr>
        <w:t>。</w:t>
      </w:r>
    </w:p>
    <w:p w14:paraId="618D5736">
      <w:pPr>
        <w:keepNext w:val="0"/>
        <w:keepLines w:val="0"/>
        <w:widowControl/>
        <w:numPr>
          <w:ilvl w:val="0"/>
          <w:numId w:val="2"/>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leftChars="0" w:right="0" w:rightChars="0" w:firstLine="668" w:firstLineChars="0"/>
        <w:jc w:val="both"/>
        <w:outlineLvl w:val="0"/>
        <w:rPr>
          <w:rFonts w:hint="eastAsia" w:ascii="黑体" w:hAnsi="黑体" w:eastAsia="黑体" w:cs="黑体"/>
          <w:sz w:val="32"/>
          <w:szCs w:val="32"/>
          <w:lang w:val="en-US" w:eastAsia="zh-CN"/>
        </w:rPr>
      </w:pPr>
      <w:bookmarkStart w:id="9" w:name="_Toc16794"/>
      <w:r>
        <w:rPr>
          <w:rFonts w:hint="eastAsia" w:ascii="黑体" w:hAnsi="黑体" w:eastAsia="黑体" w:cs="黑体"/>
          <w:sz w:val="32"/>
          <w:szCs w:val="32"/>
          <w:lang w:val="en-US" w:eastAsia="zh-CN"/>
        </w:rPr>
        <w:t>财政拨款收支预算情况说明</w:t>
      </w:r>
      <w:bookmarkEnd w:id="9"/>
    </w:p>
    <w:p w14:paraId="5C6D8AD1">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丁家小学2024年财政拨款收支预算总数297.85万元,比2023年财政拨款收支预算总数316.15元减少18.3万元，主要原因是基本支出减少。</w:t>
      </w:r>
    </w:p>
    <w:p w14:paraId="15137D6B">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收入包括：本年一般公共预算拨款收入297.85万元；支出包括：教育支出297.85万元。</w:t>
      </w:r>
    </w:p>
    <w:p w14:paraId="39C719AE">
      <w:pPr>
        <w:keepNext w:val="0"/>
        <w:keepLines w:val="0"/>
        <w:widowControl/>
        <w:numPr>
          <w:ilvl w:val="0"/>
          <w:numId w:val="2"/>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leftChars="0" w:right="0" w:rightChars="0" w:firstLine="668" w:firstLineChars="0"/>
        <w:jc w:val="both"/>
        <w:outlineLvl w:val="0"/>
        <w:rPr>
          <w:rFonts w:hint="eastAsia" w:ascii="黑体" w:hAnsi="黑体" w:eastAsia="黑体" w:cs="黑体"/>
          <w:sz w:val="32"/>
          <w:szCs w:val="32"/>
          <w:lang w:val="en-US" w:eastAsia="zh-CN"/>
        </w:rPr>
      </w:pPr>
      <w:bookmarkStart w:id="10" w:name="_Toc7862"/>
      <w:r>
        <w:rPr>
          <w:rFonts w:hint="eastAsia" w:ascii="黑体" w:hAnsi="黑体" w:eastAsia="黑体" w:cs="黑体"/>
          <w:sz w:val="32"/>
          <w:szCs w:val="32"/>
          <w:lang w:val="en-US" w:eastAsia="zh-CN"/>
        </w:rPr>
        <w:t>一般公共预算当年拨款情况说明</w:t>
      </w:r>
      <w:bookmarkEnd w:id="10"/>
    </w:p>
    <w:p w14:paraId="52DC0E3A">
      <w:pPr>
        <w:keepNext w:val="0"/>
        <w:keepLines w:val="0"/>
        <w:widowControl/>
        <w:numPr>
          <w:ilvl w:val="0"/>
          <w:numId w:val="4"/>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outlineLvl w:val="1"/>
        <w:rPr>
          <w:rFonts w:hint="eastAsia" w:ascii="楷体_GB2312" w:hAnsi="楷体_GB2312" w:eastAsia="楷体_GB2312" w:cs="楷体_GB2312"/>
          <w:sz w:val="32"/>
          <w:szCs w:val="32"/>
          <w:lang w:val="en-US" w:eastAsia="zh-CN"/>
        </w:rPr>
      </w:pPr>
      <w:bookmarkStart w:id="11" w:name="_Toc6863"/>
      <w:r>
        <w:rPr>
          <w:rFonts w:hint="eastAsia" w:ascii="楷体_GB2312" w:hAnsi="楷体_GB2312" w:eastAsia="楷体_GB2312" w:cs="楷体_GB2312"/>
          <w:sz w:val="32"/>
          <w:szCs w:val="32"/>
          <w:lang w:val="en-US" w:eastAsia="zh-CN"/>
        </w:rPr>
        <w:t>一般公共预算当年拨款规模变化情况</w:t>
      </w:r>
      <w:bookmarkEnd w:id="11"/>
    </w:p>
    <w:p w14:paraId="0FE3BA86">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丁家小学2024年一般公共预算当年拨款297.85万元，比2023年预算数减少18.3万元，主要原因是基本支出减少。</w:t>
      </w:r>
    </w:p>
    <w:p w14:paraId="56EB09A1">
      <w:pPr>
        <w:keepNext w:val="0"/>
        <w:keepLines w:val="0"/>
        <w:widowControl/>
        <w:numPr>
          <w:ilvl w:val="0"/>
          <w:numId w:val="4"/>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leftChars="0" w:right="0" w:rightChars="0" w:firstLine="640" w:firstLineChars="200"/>
        <w:jc w:val="both"/>
        <w:outlineLvl w:val="1"/>
        <w:rPr>
          <w:rFonts w:hint="eastAsia" w:ascii="仿宋_GB2312" w:hAnsi="仿宋_GB2312" w:eastAsia="仿宋_GB2312" w:cs="仿宋_GB2312"/>
          <w:b/>
          <w:bCs/>
          <w:sz w:val="32"/>
          <w:szCs w:val="32"/>
          <w:lang w:val="en-US" w:eastAsia="zh-CN"/>
        </w:rPr>
      </w:pPr>
      <w:bookmarkStart w:id="12" w:name="_Toc3242"/>
      <w:r>
        <w:rPr>
          <w:rFonts w:hint="eastAsia" w:ascii="楷体_GB2312" w:hAnsi="楷体_GB2312" w:eastAsia="楷体_GB2312" w:cs="楷体_GB2312"/>
          <w:sz w:val="32"/>
          <w:szCs w:val="32"/>
          <w:lang w:val="en-US" w:eastAsia="zh-CN"/>
        </w:rPr>
        <w:t>一般公共预算当年拨款结构情况</w:t>
      </w:r>
      <w:bookmarkEnd w:id="12"/>
    </w:p>
    <w:p w14:paraId="697B79F3">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Chars="200" w:right="0" w:righ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一般公共服务支出297.85万元，占100%；教育支出297.85万元，占100%。</w:t>
      </w:r>
    </w:p>
    <w:p w14:paraId="5726E9EE">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Chars="200" w:right="0" w:rightChars="0" w:firstLine="640" w:firstLineChars="200"/>
        <w:jc w:val="both"/>
        <w:outlineLvl w:val="1"/>
        <w:rPr>
          <w:rFonts w:hint="eastAsia" w:ascii="楷体_GB2312" w:hAnsi="楷体_GB2312" w:eastAsia="楷体_GB2312" w:cs="楷体_GB2312"/>
          <w:sz w:val="32"/>
          <w:szCs w:val="32"/>
          <w:lang w:val="en-US" w:eastAsia="zh-CN"/>
        </w:rPr>
      </w:pPr>
      <w:bookmarkStart w:id="13" w:name="_Toc25426"/>
      <w:r>
        <w:rPr>
          <w:rFonts w:hint="eastAsia" w:ascii="楷体_GB2312" w:hAnsi="楷体_GB2312" w:eastAsia="楷体_GB2312" w:cs="楷体_GB2312"/>
          <w:sz w:val="32"/>
          <w:szCs w:val="32"/>
          <w:lang w:val="en-US" w:eastAsia="zh-CN"/>
        </w:rPr>
        <w:t>（三）一般公共预算当年拨款具体使用情况</w:t>
      </w:r>
      <w:bookmarkEnd w:id="13"/>
    </w:p>
    <w:p w14:paraId="64D46D9F">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en-US" w:eastAsia="zh-CN"/>
        </w:rPr>
        <w:t>教育支出（类）普通教育（款）学前教育（项）2024年预算数为2.68万元，主要用于本单位学前教育基本支出，包括基本工资、津贴补贴、基础绩效奖等人员经费以及机构运行所需的办公费、印刷费、维修（护）费、工会经费等运行补助经费。</w:t>
      </w:r>
    </w:p>
    <w:p w14:paraId="1104D3DE">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en-US" w:eastAsia="zh-CN"/>
        </w:rPr>
        <w:t>教育支出（类）普通教育（款）小学教育（项）2024年预算数为295.17万元，主要用于本单位小学教育基本支出，包括基本工资、津贴补贴、基础绩效奖等人员经费以及机构运行所需的办公费、印刷费、维修（护）费、工会经费等运行补助经费。</w:t>
      </w:r>
    </w:p>
    <w:p w14:paraId="0D2C4CF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4" w:name="_Toc32418"/>
      <w:r>
        <w:rPr>
          <w:rFonts w:hint="eastAsia" w:ascii="黑体" w:hAnsi="黑体" w:eastAsia="黑体" w:cs="黑体"/>
          <w:sz w:val="32"/>
          <w:szCs w:val="32"/>
          <w:lang w:val="en-US" w:eastAsia="zh-CN"/>
        </w:rPr>
        <w:t>六、一般公共预算基本支出情况说明</w:t>
      </w:r>
      <w:bookmarkEnd w:id="14"/>
    </w:p>
    <w:p w14:paraId="52C5FA2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丁家小学2024年一般公共预算基本支出269.77万元，其中：</w:t>
      </w:r>
    </w:p>
    <w:p w14:paraId="7478F7A2">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人员经费269.77万元，主要包括：基本工资、津贴补贴、奖金、社会保险缴费、住房公积金等经费。</w:t>
      </w:r>
    </w:p>
    <w:p w14:paraId="627A93F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5" w:name="_Toc8971"/>
      <w:r>
        <w:rPr>
          <w:rFonts w:hint="eastAsia" w:ascii="黑体" w:hAnsi="黑体" w:eastAsia="黑体" w:cs="黑体"/>
          <w:sz w:val="32"/>
          <w:szCs w:val="32"/>
          <w:lang w:val="en-US" w:eastAsia="zh-CN"/>
        </w:rPr>
        <w:t>七、“三公”经费财政拨款预算安排情况说明</w:t>
      </w:r>
      <w:bookmarkEnd w:id="15"/>
    </w:p>
    <w:p w14:paraId="3366A85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丁家小学2024年“三公”经费财政拨款预算数0万元。与2023年预算相比减少0.24万元，主要原因是</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奉行节约，严格执行三公经费压减政策。</w:t>
      </w:r>
    </w:p>
    <w:p w14:paraId="68DE232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6" w:name="_Toc5681"/>
      <w:r>
        <w:rPr>
          <w:rFonts w:hint="eastAsia" w:ascii="楷体_GB2312" w:hAnsi="楷体_GB2312" w:eastAsia="楷体_GB2312" w:cs="楷体_GB2312"/>
          <w:sz w:val="32"/>
          <w:szCs w:val="32"/>
          <w:lang w:val="en-US" w:eastAsia="zh-CN"/>
        </w:rPr>
        <w:t>（一）公务接待费</w:t>
      </w:r>
      <w:bookmarkEnd w:id="16"/>
    </w:p>
    <w:p w14:paraId="6746CED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公务接待费与2023年预算相比减少0.24万元，主要原因</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是奉行节约，严格执行三公经费压减政策。</w:t>
      </w:r>
    </w:p>
    <w:p w14:paraId="59C06228">
      <w:pPr>
        <w:keepNext w:val="0"/>
        <w:keepLines w:val="0"/>
        <w:pageBreakBefore w:val="0"/>
        <w:widowControl w:val="0"/>
        <w:numPr>
          <w:ilvl w:val="0"/>
          <w:numId w:val="5"/>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7" w:name="_Toc4428"/>
      <w:r>
        <w:rPr>
          <w:rFonts w:hint="eastAsia" w:ascii="楷体_GB2312" w:hAnsi="楷体_GB2312" w:eastAsia="楷体_GB2312" w:cs="楷体_GB2312"/>
          <w:sz w:val="32"/>
          <w:szCs w:val="32"/>
          <w:lang w:val="en-US" w:eastAsia="zh-CN"/>
        </w:rPr>
        <w:t>公务用车购置及运行维护费</w:t>
      </w:r>
      <w:bookmarkEnd w:id="17"/>
    </w:p>
    <w:p w14:paraId="698D495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w:t>
      </w:r>
      <w:bookmarkStart w:id="29" w:name="_GoBack"/>
      <w:bookmarkEnd w:id="29"/>
      <w:r>
        <w:rPr>
          <w:rFonts w:hint="eastAsia" w:ascii="仿宋_GB2312" w:hAnsi="仿宋_GB2312" w:eastAsia="仿宋_GB2312" w:cs="仿宋_GB2312"/>
          <w:sz w:val="32"/>
          <w:szCs w:val="32"/>
          <w:lang w:val="en-US" w:eastAsia="zh-CN"/>
        </w:rPr>
        <w:t>费与2023年预算相比持平。</w:t>
      </w:r>
    </w:p>
    <w:p w14:paraId="30BC705A">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单位现有公务用车0辆。</w:t>
      </w:r>
    </w:p>
    <w:p w14:paraId="7E2FF96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p>
    <w:p w14:paraId="45ED691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2024年安排公务用车运行维护费0万元。</w:t>
      </w:r>
    </w:p>
    <w:p w14:paraId="72AA6A98">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18" w:name="_Toc330"/>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18"/>
    </w:p>
    <w:p w14:paraId="38A350D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因公出国（境）经费与2023年预算相比持平。</w:t>
      </w:r>
    </w:p>
    <w:p w14:paraId="0C7429D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9" w:name="_Toc12435"/>
      <w:r>
        <w:rPr>
          <w:rFonts w:hint="eastAsia" w:ascii="黑体" w:hAnsi="黑体" w:eastAsia="黑体" w:cs="黑体"/>
          <w:sz w:val="32"/>
          <w:szCs w:val="32"/>
          <w:lang w:val="en-US" w:eastAsia="zh-CN"/>
        </w:rPr>
        <w:t>八、政府性基金预算支出情况说明</w:t>
      </w:r>
      <w:bookmarkEnd w:id="19"/>
    </w:p>
    <w:p w14:paraId="20E0D5F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丁家小学2024年政府性基金预算拨款安排支出0万元。</w:t>
      </w:r>
    </w:p>
    <w:p w14:paraId="56BF1B3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20" w:name="_Toc31583"/>
      <w:r>
        <w:rPr>
          <w:rFonts w:hint="eastAsia" w:ascii="黑体" w:hAnsi="黑体" w:eastAsia="黑体" w:cs="黑体"/>
          <w:sz w:val="32"/>
          <w:szCs w:val="32"/>
          <w:lang w:val="en-US" w:eastAsia="zh-CN"/>
        </w:rPr>
        <w:t>九、国有资本经营预算支出情况说明</w:t>
      </w:r>
      <w:bookmarkEnd w:id="20"/>
    </w:p>
    <w:p w14:paraId="71250F0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丁家小学2024年无国有资本经营预算拨款安排的支出。</w:t>
      </w:r>
    </w:p>
    <w:p w14:paraId="3BD1911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1" w:name="_Toc19894"/>
      <w:r>
        <w:rPr>
          <w:rFonts w:hint="eastAsia" w:ascii="黑体" w:hAnsi="黑体" w:eastAsia="黑体" w:cs="黑体"/>
          <w:sz w:val="32"/>
          <w:szCs w:val="32"/>
          <w:lang w:val="en-US" w:eastAsia="zh-CN"/>
        </w:rPr>
        <w:t>十、其他重要事项的情况说明</w:t>
      </w:r>
      <w:bookmarkEnd w:id="21"/>
    </w:p>
    <w:p w14:paraId="03C4EA6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2" w:name="_Toc18547"/>
      <w:r>
        <w:rPr>
          <w:rFonts w:hint="eastAsia" w:ascii="楷体_GB2312" w:hAnsi="楷体_GB2312" w:eastAsia="楷体_GB2312" w:cs="楷体_GB2312"/>
          <w:sz w:val="32"/>
          <w:szCs w:val="32"/>
          <w:lang w:val="en-US" w:eastAsia="zh-CN"/>
        </w:rPr>
        <w:t>（一）机关运行经费</w:t>
      </w:r>
      <w:bookmarkEnd w:id="22"/>
    </w:p>
    <w:p w14:paraId="6C9EF9AA">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71"/>
        <w:jc w:val="both"/>
        <w:rPr>
          <w:rFonts w:hint="default" w:ascii="楷体_GB2312" w:hAnsi="Times New Roman" w:eastAsia="楷体_GB2312" w:cs="楷体_GB2312"/>
          <w:b/>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2024年，本单位属于公益一类事业单位，无机关运行经费。</w:t>
      </w:r>
    </w:p>
    <w:p w14:paraId="6A921E9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3" w:name="_Toc9506"/>
      <w:r>
        <w:rPr>
          <w:rFonts w:hint="eastAsia" w:ascii="楷体_GB2312" w:hAnsi="楷体_GB2312" w:eastAsia="楷体_GB2312" w:cs="楷体_GB2312"/>
          <w:sz w:val="32"/>
          <w:szCs w:val="32"/>
          <w:lang w:val="en-US" w:eastAsia="zh-CN"/>
        </w:rPr>
        <w:t>（二）政府采购情况</w:t>
      </w:r>
      <w:bookmarkEnd w:id="23"/>
    </w:p>
    <w:p w14:paraId="7FF52B0E">
      <w:pPr>
        <w:keepNext w:val="0"/>
        <w:keepLines w:val="0"/>
        <w:pageBreakBefore w:val="0"/>
        <w:widowControl w:val="0"/>
        <w:kinsoku/>
        <w:wordWrap/>
        <w:overflowPunct/>
        <w:topLinePunct w:val="0"/>
        <w:autoSpaceDE/>
        <w:autoSpaceDN/>
        <w:bidi w:val="0"/>
        <w:adjustRightInd/>
        <w:snapToGrid/>
        <w:spacing w:line="576" w:lineRule="exact"/>
        <w:ind w:firstLine="960" w:firstLineChars="3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2024年，我位未安排政府采购预算。</w:t>
      </w:r>
    </w:p>
    <w:p w14:paraId="65ABDA4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4" w:name="_Toc462"/>
      <w:r>
        <w:rPr>
          <w:rFonts w:hint="eastAsia" w:ascii="楷体_GB2312" w:hAnsi="楷体_GB2312" w:eastAsia="楷体_GB2312" w:cs="楷体_GB2312"/>
          <w:sz w:val="32"/>
          <w:szCs w:val="32"/>
          <w:lang w:val="en-US" w:eastAsia="zh-CN"/>
        </w:rPr>
        <w:t>（三）国有资产占有使用情况</w:t>
      </w:r>
      <w:bookmarkEnd w:id="24"/>
    </w:p>
    <w:p w14:paraId="7952E78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截至2023年底，丁家小学共有车辆0辆。单位无价值200万元以上大型设备。</w:t>
      </w:r>
    </w:p>
    <w:p w14:paraId="264F3A5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2024年部门预算未安排购置车辆及单位价值200万元以上大型设备。</w:t>
      </w:r>
    </w:p>
    <w:p w14:paraId="718A9C6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5" w:name="_Toc18255"/>
      <w:r>
        <w:rPr>
          <w:rFonts w:hint="eastAsia" w:ascii="楷体_GB2312" w:hAnsi="楷体_GB2312" w:eastAsia="楷体_GB2312" w:cs="楷体_GB2312"/>
          <w:sz w:val="32"/>
          <w:szCs w:val="32"/>
          <w:lang w:val="en-US" w:eastAsia="zh-CN"/>
        </w:rPr>
        <w:t>（四）绩效目标设置情况</w:t>
      </w:r>
      <w:bookmarkEnd w:id="25"/>
    </w:p>
    <w:p w14:paraId="41A9E7D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丁家小学开展绩效目标管理的项目4个，涉及预算28.08万元。其中：人员类项目0个，涉及预算0万元；运转类项目4个，涉及预算28.08万元；特定目标类项目0个，涉及预算0万元。因部分项目内容涉密，不予公开。</w:t>
      </w:r>
    </w:p>
    <w:p w14:paraId="688602A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6" w:name="_Toc2350"/>
      <w:r>
        <w:rPr>
          <w:rFonts w:hint="eastAsia" w:ascii="黑体" w:hAnsi="黑体" w:eastAsia="黑体" w:cs="黑体"/>
          <w:sz w:val="32"/>
          <w:szCs w:val="32"/>
          <w:lang w:val="en-US" w:eastAsia="zh-CN"/>
        </w:rPr>
        <w:t>十一、名词解释</w:t>
      </w:r>
      <w:bookmarkEnd w:id="26"/>
    </w:p>
    <w:p w14:paraId="1D34174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（一）财政拨款收入:指财政当年安排的财政预算收入。按现行管理制度,部门预算中反映的财政拨款包括一般公共预算拨款和政府性基金预算拨款。</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（二)教育支出（类）普通教育（款）学前教育（项）：指全区学前教育发展的基本支出，包括基本工资、津贴补贴等人员经费以及办公费、印刷费、水电费等日常公用经费。</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（三）教育支出（类）普通教育（款）小学教育（项）：指全区小学教育发展的基本支出，包括基本工资、津贴补贴等人员经费以及办公费、印刷费、水电费等日常公用经费。</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（四）社会保障和就业（类）行政事业单位养老支出（款）事业单位离退休（项）：指事业单位离退休人员的支出。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（五）住房保障（类）住房改革支出（款）住房公积金（项）：指按照《住房公积金管理条例》的规定，由单位及其在职职工缴存的长期住房储金。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（六）基本支出：指为保证机构正常运转，完成日常工作任务而发生的人员支出和公用支出。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（七）项目支出：指在基本支出之外为完成特定行政任务和事业发展目标所发生的支出。</w:t>
      </w:r>
    </w:p>
    <w:p w14:paraId="2415018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附件：1.单位预算公开报表</w:t>
      </w:r>
    </w:p>
    <w:p w14:paraId="4A456ECD">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1920" w:firstLineChars="600"/>
        <w:textAlignment w:val="auto"/>
        <w:outlineLvl w:val="1"/>
        <w:rPr>
          <w:rFonts w:hint="eastAsia" w:ascii="仿宋_GB2312" w:hAnsi="仿宋_GB2312" w:eastAsia="仿宋_GB2312" w:cs="仿宋_GB2312"/>
          <w:sz w:val="32"/>
          <w:szCs w:val="32"/>
          <w:lang w:val="en-US" w:eastAsia="zh-CN"/>
        </w:rPr>
      </w:pPr>
      <w:bookmarkStart w:id="27" w:name="_Toc23962"/>
      <w:bookmarkStart w:id="28" w:name="_Toc3950"/>
      <w:r>
        <w:rPr>
          <w:rFonts w:hint="eastAsia" w:ascii="仿宋_GB2312" w:hAnsi="仿宋_GB2312" w:eastAsia="仿宋_GB2312" w:cs="仿宋_GB2312"/>
          <w:sz w:val="32"/>
          <w:szCs w:val="32"/>
          <w:lang w:val="en-US" w:eastAsia="zh-CN"/>
        </w:rPr>
        <w:t>2.项目支出绩效目标表</w:t>
      </w:r>
      <w:bookmarkEnd w:id="27"/>
      <w:bookmarkEnd w:id="28"/>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CB816A9-7271-4CE4-8F5C-125F6D6264F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Liberation Sans">
    <w:altName w:val="Segoe Print"/>
    <w:panose1 w:val="020B0604020202020204"/>
    <w:charset w:val="00"/>
    <w:family w:val="swiss"/>
    <w:pitch w:val="default"/>
    <w:sig w:usb0="00000000" w:usb1="00000000" w:usb2="00000000" w:usb3="00000000" w:csb0="6000009F" w:csb1="DFD70000"/>
  </w:font>
  <w:font w:name="Segoe Print">
    <w:panose1 w:val="02000600000000000000"/>
    <w:charset w:val="00"/>
    <w:family w:val="auto"/>
    <w:pitch w:val="default"/>
    <w:sig w:usb0="0000028F" w:usb1="00000000" w:usb2="00000000" w:usb3="00000000" w:csb0="2000009F" w:csb1="47010000"/>
  </w:font>
  <w:font w:name="Noto Sans CJK SC Regular">
    <w:altName w:val="宋体"/>
    <w:panose1 w:val="020B0500000000000000"/>
    <w:charset w:val="86"/>
    <w:family w:val="auto"/>
    <w:pitch w:val="default"/>
    <w:sig w:usb0="00000000" w:usb1="00000000" w:usb2="00000016" w:usb3="00000000" w:csb0="602E0107" w:csb1="00000000"/>
  </w:font>
  <w:font w:name="仿宋">
    <w:panose1 w:val="02010609060101010101"/>
    <w:charset w:val="86"/>
    <w:family w:val="auto"/>
    <w:pitch w:val="default"/>
    <w:sig w:usb0="800002BF" w:usb1="38CF7CFA" w:usb2="00000016" w:usb3="00000000" w:csb0="00040001" w:csb1="00000000"/>
    <w:embedRegular r:id="rId2" w:fontKey="{9D35EABD-F5AB-4531-96F8-64BD81310C39}"/>
  </w:font>
  <w:font w:name="方正小标宋简体">
    <w:panose1 w:val="02000000000000000000"/>
    <w:charset w:val="86"/>
    <w:family w:val="auto"/>
    <w:pitch w:val="default"/>
    <w:sig w:usb0="00000001" w:usb1="08000000" w:usb2="00000000" w:usb3="00000000" w:csb0="00040000" w:csb1="00000000"/>
    <w:embedRegular r:id="rId3" w:fontKey="{E62AE9EA-605A-400D-A31F-6ECAF757C34B}"/>
  </w:font>
  <w:font w:name="楷体_GB2312">
    <w:panose1 w:val="02010609030101010101"/>
    <w:charset w:val="86"/>
    <w:family w:val="auto"/>
    <w:pitch w:val="default"/>
    <w:sig w:usb0="00000001" w:usb1="080E0000" w:usb2="00000000" w:usb3="00000000" w:csb0="00040000" w:csb1="00000000"/>
    <w:embedRegular r:id="rId4" w:fontKey="{7E4E8EC4-AEA3-4C3C-83E7-29851BBF7043}"/>
  </w:font>
  <w:font w:name="仿宋_GB2312">
    <w:altName w:val="仿宋"/>
    <w:panose1 w:val="02010609030101010101"/>
    <w:charset w:val="86"/>
    <w:family w:val="auto"/>
    <w:pitch w:val="default"/>
    <w:sig w:usb0="00000000" w:usb1="00000000" w:usb2="00000000" w:usb3="00000000" w:csb0="00040000" w:csb1="00000000"/>
    <w:embedRegular r:id="rId5" w:fontKey="{FF770363-019F-4EA3-BF29-48AE8A9E8E2A}"/>
  </w:font>
  <w:font w:name="WPSEMBED1">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64DDC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4D479D1">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74D479D1">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EAED17"/>
    <w:multiLevelType w:val="singleLevel"/>
    <w:tmpl w:val="91EAED17"/>
    <w:lvl w:ilvl="0" w:tentative="0">
      <w:start w:val="1"/>
      <w:numFmt w:val="chineseCounting"/>
      <w:suff w:val="nothing"/>
      <w:lvlText w:val="（%1）"/>
      <w:lvlJc w:val="left"/>
      <w:rPr>
        <w:rFonts w:hint="eastAsia"/>
      </w:rPr>
    </w:lvl>
  </w:abstractNum>
  <w:abstractNum w:abstractNumId="1">
    <w:nsid w:val="C07BEB81"/>
    <w:multiLevelType w:val="singleLevel"/>
    <w:tmpl w:val="C07BEB81"/>
    <w:lvl w:ilvl="0" w:tentative="0">
      <w:start w:val="1"/>
      <w:numFmt w:val="chineseCounting"/>
      <w:suff w:val="nothing"/>
      <w:lvlText w:val="（%1）"/>
      <w:lvlJc w:val="left"/>
      <w:rPr>
        <w:rFonts w:hint="eastAsia"/>
      </w:rPr>
    </w:lvl>
  </w:abstractNum>
  <w:abstractNum w:abstractNumId="2">
    <w:nsid w:val="ED276953"/>
    <w:multiLevelType w:val="singleLevel"/>
    <w:tmpl w:val="ED276953"/>
    <w:lvl w:ilvl="0" w:tentative="0">
      <w:start w:val="3"/>
      <w:numFmt w:val="chineseCounting"/>
      <w:suff w:val="nothing"/>
      <w:lvlText w:val="%1、"/>
      <w:lvlJc w:val="left"/>
      <w:rPr>
        <w:rFonts w:hint="eastAsia"/>
      </w:rPr>
    </w:lvl>
  </w:abstractNum>
  <w:abstractNum w:abstractNumId="3">
    <w:nsid w:val="1E3CE129"/>
    <w:multiLevelType w:val="singleLevel"/>
    <w:tmpl w:val="1E3CE129"/>
    <w:lvl w:ilvl="0" w:tentative="0">
      <w:start w:val="2"/>
      <w:numFmt w:val="chineseCounting"/>
      <w:suff w:val="nothing"/>
      <w:lvlText w:val="（%1）"/>
      <w:lvlJc w:val="left"/>
      <w:rPr>
        <w:rFonts w:hint="eastAsia"/>
      </w:rPr>
    </w:lvl>
  </w:abstractNum>
  <w:abstractNum w:abstractNumId="4">
    <w:nsid w:val="5BFCE1D6"/>
    <w:multiLevelType w:val="singleLevel"/>
    <w:tmpl w:val="5BFCE1D6"/>
    <w:lvl w:ilvl="0" w:tentative="0">
      <w:start w:val="2"/>
      <w:numFmt w:val="chineseCounting"/>
      <w:suff w:val="nothing"/>
      <w:lvlText w:val="（%1）"/>
      <w:lvlJc w:val="left"/>
      <w:rPr>
        <w:rFonts w:hint="eastAsia"/>
      </w:r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NTlmMWMwY2NkZGNhOTM0ZTIzOTMwM2UwMjVlYzgifQ=="/>
  </w:docVars>
  <w:rsids>
    <w:rsidRoot w:val="00000000"/>
    <w:rsid w:val="00B64415"/>
    <w:rsid w:val="012352D1"/>
    <w:rsid w:val="073C1416"/>
    <w:rsid w:val="0D077A2F"/>
    <w:rsid w:val="14A218FD"/>
    <w:rsid w:val="18505876"/>
    <w:rsid w:val="18876269"/>
    <w:rsid w:val="1F7BF06F"/>
    <w:rsid w:val="1FEE4B73"/>
    <w:rsid w:val="21EE4C6A"/>
    <w:rsid w:val="23CE9849"/>
    <w:rsid w:val="31823F2F"/>
    <w:rsid w:val="32586288"/>
    <w:rsid w:val="33861536"/>
    <w:rsid w:val="346C6C5F"/>
    <w:rsid w:val="35AB75E3"/>
    <w:rsid w:val="391F7B22"/>
    <w:rsid w:val="39F304DD"/>
    <w:rsid w:val="3BBD325C"/>
    <w:rsid w:val="3C701FD5"/>
    <w:rsid w:val="3E756A55"/>
    <w:rsid w:val="40B760CA"/>
    <w:rsid w:val="45BF6CB2"/>
    <w:rsid w:val="4F941AD1"/>
    <w:rsid w:val="54244390"/>
    <w:rsid w:val="54662A63"/>
    <w:rsid w:val="54C45900"/>
    <w:rsid w:val="5734198E"/>
    <w:rsid w:val="573B7058"/>
    <w:rsid w:val="58064E12"/>
    <w:rsid w:val="59F30F75"/>
    <w:rsid w:val="5BFEE015"/>
    <w:rsid w:val="5CE832DE"/>
    <w:rsid w:val="63E222BB"/>
    <w:rsid w:val="63EDCF55"/>
    <w:rsid w:val="63FBFBCF"/>
    <w:rsid w:val="65861555"/>
    <w:rsid w:val="669360FD"/>
    <w:rsid w:val="684E37E7"/>
    <w:rsid w:val="68FF6A83"/>
    <w:rsid w:val="6AFC003E"/>
    <w:rsid w:val="6B667B19"/>
    <w:rsid w:val="6E8A5BD4"/>
    <w:rsid w:val="6F213E96"/>
    <w:rsid w:val="6FBBC9CF"/>
    <w:rsid w:val="70385B59"/>
    <w:rsid w:val="70E0322E"/>
    <w:rsid w:val="716E263E"/>
    <w:rsid w:val="72BDE561"/>
    <w:rsid w:val="76424322"/>
    <w:rsid w:val="78462278"/>
    <w:rsid w:val="7997EA6C"/>
    <w:rsid w:val="7AEAE675"/>
    <w:rsid w:val="7B89704B"/>
    <w:rsid w:val="7BAFCE5D"/>
    <w:rsid w:val="7C523723"/>
    <w:rsid w:val="7D46598C"/>
    <w:rsid w:val="7D8A5CC0"/>
    <w:rsid w:val="7DFB240B"/>
    <w:rsid w:val="7E0935ED"/>
    <w:rsid w:val="7F187F9C"/>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2">
    <w:name w:val="heading 2"/>
    <w:basedOn w:val="1"/>
    <w:next w:val="1"/>
    <w:autoRedefine/>
    <w:qFormat/>
    <w:uiPriority w:val="0"/>
    <w:pPr>
      <w:keepNext/>
      <w:keepLines/>
      <w:spacing w:before="260" w:beforeLines="0" w:after="260" w:afterLines="0" w:line="416" w:lineRule="auto"/>
      <w:outlineLvl w:val="1"/>
    </w:pPr>
    <w:rPr>
      <w:rFonts w:ascii="Cambria" w:hAnsi="Cambria" w:cs="Cambria"/>
      <w:b/>
      <w:bCs/>
      <w:sz w:val="32"/>
      <w:szCs w:val="32"/>
    </w:rPr>
  </w:style>
  <w:style w:type="character" w:default="1" w:styleId="10">
    <w:name w:val="Default Paragraph Font"/>
    <w:autoRedefine/>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3">
    <w:name w:val="caption"/>
    <w:basedOn w:val="1"/>
    <w:autoRedefine/>
    <w:qFormat/>
    <w:uiPriority w:val="0"/>
    <w:pPr>
      <w:widowControl w:val="0"/>
      <w:suppressLineNumbers/>
      <w:suppressAutoHyphens/>
      <w:spacing w:before="120" w:after="120"/>
    </w:pPr>
    <w:rPr>
      <w:i/>
      <w:iCs/>
      <w:sz w:val="24"/>
      <w:szCs w:val="24"/>
    </w:rPr>
  </w:style>
  <w:style w:type="paragraph" w:styleId="4">
    <w:name w:val="Body Text"/>
    <w:basedOn w:val="1"/>
    <w:autoRedefine/>
    <w:qFormat/>
    <w:uiPriority w:val="0"/>
    <w:pPr>
      <w:spacing w:before="0" w:after="140" w:line="276" w:lineRule="auto"/>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w:basedOn w:val="4"/>
    <w:autoRedefine/>
    <w:qFormat/>
    <w:uiPriority w:val="0"/>
  </w:style>
  <w:style w:type="paragraph" w:styleId="8">
    <w:name w:val="Normal (Web)"/>
    <w:basedOn w:val="1"/>
    <w:autoRedefine/>
    <w:qFormat/>
    <w:uiPriority w:val="0"/>
    <w:rPr>
      <w:sz w:val="24"/>
    </w:rPr>
  </w:style>
  <w:style w:type="character" w:customStyle="1" w:styleId="11">
    <w:name w:val="默认段落字体1"/>
    <w:autoRedefine/>
    <w:qFormat/>
    <w:uiPriority w:val="0"/>
  </w:style>
  <w:style w:type="paragraph" w:customStyle="1" w:styleId="12">
    <w:name w:val="Heading"/>
    <w:basedOn w:val="1"/>
    <w:next w:val="4"/>
    <w:autoRedefine/>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3">
    <w:name w:val="Index"/>
    <w:basedOn w:val="1"/>
    <w:autoRedefine/>
    <w:qFormat/>
    <w:uiPriority w:val="0"/>
    <w:pPr>
      <w:widowControl w:val="0"/>
      <w:suppressLineNumbers/>
      <w:suppressAutoHyphens/>
    </w:pPr>
  </w:style>
  <w:style w:type="paragraph" w:styleId="14">
    <w:name w:val="No Spacing"/>
    <w:autoRedefine/>
    <w:qFormat/>
    <w:uiPriority w:val="1"/>
    <w:pPr>
      <w:widowControl w:val="0"/>
      <w:jc w:val="both"/>
    </w:pPr>
    <w:rPr>
      <w:rFonts w:ascii="Times New Roman" w:hAnsi="Times New Roman" w:eastAsia="仿宋" w:cs="Times New Roman"/>
      <w:kern w:val="2"/>
      <w:sz w:val="32"/>
      <w:szCs w:val="24"/>
      <w:lang w:val="en-US" w:eastAsia="zh-CN" w:bidi="ar-SA"/>
    </w:rPr>
  </w:style>
  <w:style w:type="paragraph" w:customStyle="1" w:styleId="15">
    <w:name w:val="WPSOffice手动目录 1"/>
    <w:autoRedefine/>
    <w:qFormat/>
    <w:uiPriority w:val="0"/>
    <w:pPr>
      <w:ind w:leftChars="0"/>
    </w:pPr>
    <w:rPr>
      <w:rFonts w:ascii="Times New Roman" w:hAnsi="Times New Roman" w:eastAsia="宋体" w:cs="Times New Roman"/>
      <w:sz w:val="20"/>
      <w:szCs w:val="20"/>
    </w:rPr>
  </w:style>
  <w:style w:type="paragraph" w:customStyle="1" w:styleId="16">
    <w:name w:val="WPSOffice手动目录 2"/>
    <w:autoRedefine/>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Pages>
  <Words>2612</Words>
  <Characters>2853</Characters>
  <TotalTime>3</TotalTime>
  <ScaleCrop>false</ScaleCrop>
  <LinksUpToDate>false</LinksUpToDate>
  <CharactersWithSpaces>2952</CharactersWithSpaces>
  <Application>WPS Office_12.1.0.23125_F1E327BC-269C-435d-A152-05C5408002CA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昭化融媒体</cp:lastModifiedBy>
  <dcterms:modified xsi:type="dcterms:W3CDTF">2025-11-03T01:16:39Z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75461C7C1C6C4E3D97654458D5BE5A93_13</vt:lpwstr>
  </property>
  <property fmtid="{D5CDD505-2E9C-101B-9397-08002B2CF9AE}" pid="4" name="KSOTemplateDocerSaveRecord">
    <vt:lpwstr>eyJoZGlkIjoiMGVhYTg4NGNkZWJkODFjNzcyZDRjM2M4Y2UzNjI5ZmUiLCJ1c2VySWQiOiI2MTE2MzEwMDYifQ==</vt:lpwstr>
  </property>
</Properties>
</file>