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0"/>
          <w:szCs w:val="40"/>
          <w:highlight w:val="none"/>
          <w:lang w:val="en-US" w:eastAsia="zh-CN"/>
          <w14:textFill>
            <w14:solidFill>
              <w14:schemeClr w14:val="tx1"/>
            </w14:solidFill>
          </w14:textFill>
        </w:rPr>
      </w:pPr>
      <w:r>
        <w:rPr>
          <w:rFonts w:hint="default" w:ascii="方正小标宋简体" w:hAnsi="方正小标宋简体" w:eastAsia="方正小标宋简体" w:cs="方正小标宋简体"/>
          <w:b w:val="0"/>
          <w:bCs w:val="0"/>
          <w:i w:val="0"/>
          <w:caps w:val="0"/>
          <w:color w:val="000000" w:themeColor="text1"/>
          <w:spacing w:val="0"/>
          <w:sz w:val="40"/>
          <w:szCs w:val="40"/>
          <w:highlight w:val="none"/>
          <w:lang w:val="en-US"/>
          <w14:textFill>
            <w14:solidFill>
              <w14:schemeClr w14:val="tx1"/>
            </w14:solidFill>
          </w14:textFill>
        </w:rPr>
        <w:t xml:space="preserve"> </w:t>
      </w:r>
      <w:r>
        <w:rPr>
          <w:rFonts w:hint="eastAsia" w:ascii="方正小标宋简体" w:hAnsi="方正小标宋简体" w:eastAsia="方正小标宋简体" w:cs="方正小标宋简体"/>
          <w:b w:val="0"/>
          <w:bCs w:val="0"/>
          <w:i w:val="0"/>
          <w:caps w:val="0"/>
          <w:color w:val="000000" w:themeColor="text1"/>
          <w:spacing w:val="0"/>
          <w:sz w:val="40"/>
          <w:szCs w:val="40"/>
          <w:highlight w:val="none"/>
          <w:lang w:val="en-US" w:eastAsia="zh-CN"/>
          <w14:textFill>
            <w14:solidFill>
              <w14:schemeClr w14:val="tx1"/>
            </w14:solidFill>
          </w14:textFill>
        </w:rPr>
        <w:t>广元市昭化区太公镇黄龙小学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b/>
          <w:bCs/>
          <w:color w:val="auto"/>
          <w:kern w:val="2"/>
          <w:sz w:val="24"/>
          <w:szCs w:val="32"/>
          <w:lang w:val="en-US" w:eastAsia="zh-CN" w:bidi="ar-SA"/>
        </w:rPr>
        <w:id w:val="147456531"/>
        <w15:color w:val="DBDBDB"/>
        <w:docPartObj>
          <w:docPartGallery w:val="Table of Contents"/>
          <w:docPartUnique/>
        </w:docPartObj>
      </w:sdtPr>
      <w:sdtEndPr>
        <w:rPr>
          <w:rFonts w:ascii="宋体" w:hAnsi="宋体" w:eastAsia="宋体" w:cs="Times New Roman"/>
          <w:b/>
          <w:bCs/>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b/>
              <w:bCs/>
              <w:sz w:val="24"/>
              <w:szCs w:val="32"/>
            </w:rPr>
          </w:pPr>
          <w:r>
            <w:rPr>
              <w:rFonts w:ascii="宋体" w:hAnsi="宋体" w:eastAsia="宋体"/>
              <w:b/>
              <w:bCs/>
              <w:sz w:val="24"/>
              <w:szCs w:val="32"/>
            </w:rPr>
            <w:t>目录</w:t>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TOC \o "1-2" \h \u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_Toc18614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一、基本职能及主要工作</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_Toc18614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_Toc8676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sz w:val="32"/>
              <w:szCs w:val="32"/>
              <w:lang w:val="en-US" w:eastAsia="zh-CN"/>
            </w:rPr>
            <w:t>单位</w:t>
          </w:r>
          <w:r>
            <w:rPr>
              <w:rFonts w:hint="eastAsia" w:ascii="方正仿宋_GB2312" w:hAnsi="方正仿宋_GB2312" w:eastAsia="方正仿宋_GB2312" w:cs="方正仿宋_GB2312"/>
              <w:sz w:val="32"/>
              <w:szCs w:val="32"/>
            </w:rPr>
            <w:t>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_Toc8676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_Toc17756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w:t>
          </w:r>
          <w:r>
            <w:rPr>
              <w:rFonts w:hint="eastAsia" w:ascii="方正仿宋_GB2312" w:hAnsi="方正仿宋_GB2312" w:eastAsia="方正仿宋_GB2312" w:cs="方正仿宋_GB2312"/>
              <w:sz w:val="32"/>
              <w:szCs w:val="32"/>
              <w:lang w:val="en-US"/>
            </w:rPr>
            <w:t>2024</w:t>
          </w:r>
          <w:r>
            <w:rPr>
              <w:rFonts w:hint="eastAsia" w:ascii="方正仿宋_GB2312" w:hAnsi="方正仿宋_GB2312" w:eastAsia="方正仿宋_GB2312" w:cs="方正仿宋_GB2312"/>
              <w:sz w:val="32"/>
              <w:szCs w:val="32"/>
            </w:rPr>
            <w:t>年重点工作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_Toc17756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_Toc30687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二、部门预算单位构成</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_Toc30687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_Toc19396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三、收支预算情况说明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_Toc19396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_Toc1846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 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_Toc1846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_Toc813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 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_Toc813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_Toc18771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四、财政拨款收支预算情况说明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_Toc18771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_Toc14835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五、 一般公共预算当年拨款情况说明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_Toc14835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_Toc2897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_Toc2897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_Toc10280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_Toc10280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_Toc28346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_Toc28346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_Toc5106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六、一般公共预算基本支出情况说明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_Toc5106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_Toc2291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七、 “三公”经费财政拨款预算安排情况说明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_Toc2291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_Toc9745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八、 政府性基金预算支出情况说明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_Toc9745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_Toc10388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九、 国有资本经营预算支出情况说明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_Toc10388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9</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_Toc26508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十、 其他重要事项的情况说明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_Toc26508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9</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_Toc16897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十一、名词解释</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_Toc16897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9</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r>
            <w:rPr>
              <w:rFonts w:hint="eastAsia" w:ascii="方正仿宋_GB2312" w:hAnsi="方正仿宋_GB2312" w:eastAsia="方正仿宋_GB2312" w:cs="方正仿宋_GB2312"/>
              <w:b/>
              <w:sz w:val="32"/>
              <w:szCs w:val="32"/>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sz w:val="32"/>
          <w:szCs w:val="32"/>
        </w:rPr>
      </w:pPr>
      <w:bookmarkStart w:id="0" w:name="_Toc18614"/>
      <w:r>
        <w:rPr>
          <w:rFonts w:hint="eastAsia" w:ascii="仿宋" w:hAnsi="仿宋" w:eastAsia="仿宋" w:cs="仿宋"/>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1"/>
        <w:rPr>
          <w:rFonts w:hint="eastAsia" w:ascii="仿宋" w:hAnsi="仿宋" w:eastAsia="仿宋" w:cs="仿宋"/>
          <w:b/>
          <w:sz w:val="32"/>
          <w:szCs w:val="32"/>
        </w:rPr>
      </w:pPr>
      <w:bookmarkStart w:id="1" w:name="_Toc8676"/>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bookmarkEnd w:id="1"/>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1.认真贯彻党的教育方针，坚持社会主义办学方向，实行教育与生产劳动相结合，对学生进行德育、智育、体育、美育和劳动等方面的教育。</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2.用科学的发展观指导教育教学工作。加强教育科研工作，推动校本教育的健康发展。加强教学管理，不断推进新课程改革，全面提高教学质量。</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3.负责配合各级人民政府依法动员、组织适龄儿童、少年入学，严格控制学生辍学，依法保证适龄儿童、少年接受九年义务教育。</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4.继续深化人事制度改革，完善学校内部管理，做好后勤保障工作。</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5.负责科学管理、合理使用学校的设施和经费，并积极筹措资金，改善办学条件。</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6.负责维护学校、师生的合法权益，有权拒绝任何组织和个人对教育教学活动进行非法干扰。</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7.负责创建绿色校园、文明校园和平安校园。</w:t>
      </w:r>
    </w:p>
    <w:p>
      <w:pPr>
        <w:pStyle w:val="4"/>
        <w:adjustRightInd w:val="0"/>
        <w:spacing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8.负责关心教职工生活，发挥教代会职能作用。依法制定本校教师及其他职工出任办法并对教师及其他员工实施包括奖励、处分在内的具体管理活动。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9.承办上级交办的其他事项。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outlineLvl w:val="1"/>
        <w:rPr>
          <w:rFonts w:hint="eastAsia" w:ascii="仿宋" w:hAnsi="仿宋" w:eastAsia="仿宋" w:cs="仿宋"/>
          <w:sz w:val="32"/>
          <w:szCs w:val="32"/>
        </w:rPr>
      </w:pPr>
      <w:bookmarkStart w:id="2" w:name="_Toc17756"/>
      <w:r>
        <w:rPr>
          <w:rFonts w:hint="eastAsia" w:ascii="仿宋" w:hAnsi="仿宋" w:eastAsia="仿宋" w:cs="仿宋"/>
          <w:sz w:val="32"/>
          <w:szCs w:val="32"/>
          <w:lang w:val="en-US" w:eastAsia="zh-CN"/>
        </w:rPr>
        <w:t>（二）</w:t>
      </w:r>
      <w:r>
        <w:rPr>
          <w:rFonts w:hint="eastAsia" w:ascii="仿宋" w:hAnsi="仿宋" w:eastAsia="仿宋" w:cs="仿宋"/>
          <w:sz w:val="32"/>
          <w:szCs w:val="32"/>
          <w:lang w:val="en-US"/>
        </w:rPr>
        <w:t>2024</w:t>
      </w:r>
      <w:r>
        <w:rPr>
          <w:rFonts w:hint="eastAsia" w:ascii="仿宋" w:hAnsi="仿宋" w:eastAsia="仿宋" w:cs="仿宋"/>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3" w:name="_Toc31103"/>
      <w:bookmarkStart w:id="4" w:name="_Toc26044"/>
      <w:r>
        <w:rPr>
          <w:rFonts w:hint="eastAsia" w:ascii="仿宋" w:hAnsi="仿宋" w:eastAsia="仿宋"/>
          <w:sz w:val="32"/>
          <w:szCs w:val="32"/>
        </w:rPr>
        <w:t>1.认真贯彻党的教育方针，坚持社会主义办学方向，实行教育与生产劳动相结合，对学生进行德育、智育、体育、美育和劳动等方面的教育。</w:t>
      </w:r>
      <w:bookmarkEnd w:id="3"/>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5" w:name="_Toc17970"/>
      <w:r>
        <w:rPr>
          <w:rFonts w:hint="eastAsia" w:ascii="仿宋" w:hAnsi="仿宋" w:eastAsia="仿宋"/>
          <w:sz w:val="32"/>
          <w:szCs w:val="32"/>
        </w:rPr>
        <w:t>2.用科学的发展观指导教育教学工作。加强教育科研工作，推动校本教育的健康发展。加强教学管理，不断推进新课程改革，全面提高教学质量。</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6" w:name="_Toc12818"/>
      <w:bookmarkStart w:id="7" w:name="_Toc8288"/>
      <w:r>
        <w:rPr>
          <w:rFonts w:hint="eastAsia" w:ascii="仿宋" w:hAnsi="仿宋" w:eastAsia="仿宋"/>
          <w:sz w:val="32"/>
          <w:szCs w:val="32"/>
        </w:rPr>
        <w:t>3.负责配合各级人民政府依法动员、组织适龄儿童、少年入学，严格控制学生辍学，依法保证适龄儿童、少年接受九年义务教育。</w:t>
      </w:r>
      <w:bookmarkEnd w:id="6"/>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8" w:name="_Toc4177"/>
      <w:bookmarkStart w:id="9" w:name="_Toc16796"/>
      <w:r>
        <w:rPr>
          <w:rFonts w:hint="eastAsia" w:ascii="仿宋" w:hAnsi="仿宋" w:eastAsia="仿宋"/>
          <w:sz w:val="32"/>
          <w:szCs w:val="32"/>
        </w:rPr>
        <w:t>4.继续深化人事制度改革，完善学校内部管理，做好后勤保障工作。</w:t>
      </w:r>
      <w:bookmarkEnd w:id="8"/>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10" w:name="_Toc18212"/>
      <w:bookmarkStart w:id="11" w:name="_Toc26798"/>
      <w:r>
        <w:rPr>
          <w:rFonts w:hint="eastAsia" w:ascii="仿宋" w:hAnsi="仿宋" w:eastAsia="仿宋"/>
          <w:sz w:val="32"/>
          <w:szCs w:val="32"/>
        </w:rPr>
        <w:t>5.负责科学管理、合理使用学校的设施和经费，并积极筹措资金，改善办学条件。</w:t>
      </w:r>
      <w:bookmarkEnd w:id="10"/>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12" w:name="_Toc17258"/>
      <w:bookmarkStart w:id="13" w:name="_Toc17619"/>
      <w:r>
        <w:rPr>
          <w:rFonts w:hint="eastAsia" w:ascii="仿宋" w:hAnsi="仿宋" w:eastAsia="仿宋"/>
          <w:sz w:val="32"/>
          <w:szCs w:val="32"/>
        </w:rPr>
        <w:t>6.负责维护学校、师生的合法权益，有权拒绝任何组织和个人对教育教学活动进行非法干扰。</w:t>
      </w:r>
      <w:bookmarkEnd w:id="12"/>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14" w:name="_Toc3657"/>
      <w:bookmarkStart w:id="15" w:name="_Toc1285"/>
      <w:r>
        <w:rPr>
          <w:rFonts w:hint="eastAsia" w:ascii="仿宋" w:hAnsi="仿宋" w:eastAsia="仿宋"/>
          <w:sz w:val="32"/>
          <w:szCs w:val="32"/>
        </w:rPr>
        <w:t>7.负责创建绿色校园、文明校园和平安校园。</w:t>
      </w:r>
      <w:bookmarkEnd w:id="14"/>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bookmarkStart w:id="16" w:name="_Toc18632"/>
      <w:bookmarkStart w:id="17" w:name="_Toc11388"/>
      <w:r>
        <w:rPr>
          <w:rFonts w:hint="eastAsia" w:ascii="仿宋" w:hAnsi="仿宋" w:eastAsia="仿宋"/>
          <w:sz w:val="32"/>
          <w:szCs w:val="32"/>
        </w:rPr>
        <w:t>8.负责关心教职工生活，发挥教代会职能作用。依法制定本校教师及其他职工出任办法并对教师及其他员工实施包括奖励、处分在内的具体管理活动。</w:t>
      </w:r>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0"/>
        <w:rPr>
          <w:rFonts w:hint="eastAsia" w:ascii="仿宋" w:hAnsi="仿宋" w:eastAsia="仿宋" w:cs="仿宋"/>
          <w:sz w:val="32"/>
          <w:szCs w:val="32"/>
          <w:lang w:val="en-US" w:eastAsia="zh-CN"/>
        </w:rPr>
      </w:pPr>
      <w:bookmarkStart w:id="18" w:name="_Toc30687"/>
      <w:r>
        <w:rPr>
          <w:rFonts w:hint="eastAsia" w:ascii="仿宋" w:hAnsi="仿宋" w:eastAsia="仿宋" w:cs="仿宋"/>
          <w:sz w:val="32"/>
          <w:szCs w:val="32"/>
          <w:lang w:val="en-US" w:eastAsia="zh-CN"/>
        </w:rPr>
        <w:t>二、部门预算单位构成</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黄龙小学为广元市昭化区教育局的下属二级预算单位，本单位无下属机构，属于公益一类预算单位。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rPr>
      </w:pPr>
      <w:bookmarkStart w:id="19" w:name="_Toc19396"/>
      <w:r>
        <w:rPr>
          <w:rFonts w:hint="eastAsia" w:ascii="仿宋" w:hAnsi="仿宋" w:eastAsia="仿宋" w:cs="仿宋"/>
          <w:sz w:val="32"/>
          <w:szCs w:val="32"/>
          <w:lang w:val="en-US" w:eastAsia="zh-CN"/>
        </w:rPr>
        <w:t>三、收支预算情况说明</w:t>
      </w:r>
      <w:bookmarkEnd w:id="19"/>
    </w:p>
    <w:p>
      <w:pPr>
        <w:widowControl/>
        <w:pBdr>
          <w:bottom w:val="single" w:color="FFFFFF" w:sz="8" w:space="31"/>
        </w:pBdr>
        <w:shd w:val="clear" w:color="auto" w:fill="FFFFFF"/>
        <w:spacing w:line="580" w:lineRule="atLeast"/>
        <w:ind w:firstLine="668"/>
        <w:rPr>
          <w:rFonts w:hint="eastAsia" w:ascii="仿宋_GB2312" w:hAnsi="Times New Roman" w:eastAsia="仿宋_GB2312" w:cs="仿宋_GB2312"/>
          <w:color w:val="333333"/>
          <w:kern w:val="0"/>
          <w:sz w:val="32"/>
          <w:szCs w:val="32"/>
          <w:shd w:val="clear" w:color="auto" w:fill="FFFFFF"/>
          <w:lang w:bidi="ar"/>
        </w:rPr>
      </w:pPr>
      <w:r>
        <w:rPr>
          <w:rFonts w:hint="eastAsia" w:ascii="仿宋" w:hAnsi="仿宋" w:eastAsia="仿宋" w:cs="仿宋"/>
          <w:sz w:val="32"/>
          <w:szCs w:val="32"/>
          <w:lang w:val="en-US" w:eastAsia="zh-CN"/>
        </w:rPr>
        <w:t>按照综合预算的原则，黄龙小学所有收入和支出均纳入部门预算管理。收入包括：一般公共预算拨款收入；支出包括：教育支出、社会保障和就业支出。黄龙小学2024年收支预算总数</w:t>
      </w:r>
      <w:r>
        <w:rPr>
          <w:rFonts w:hint="default" w:ascii="仿宋" w:hAnsi="仿宋" w:eastAsia="仿宋" w:cs="仿宋"/>
          <w:sz w:val="32"/>
          <w:szCs w:val="32"/>
          <w:lang w:val="en-US" w:eastAsia="zh-CN"/>
        </w:rPr>
        <w:t>317.32</w:t>
      </w:r>
      <w:r>
        <w:rPr>
          <w:rFonts w:hint="eastAsia" w:ascii="仿宋" w:hAnsi="仿宋" w:eastAsia="仿宋" w:cs="仿宋"/>
          <w:sz w:val="32"/>
          <w:szCs w:val="32"/>
          <w:lang w:val="en-US" w:eastAsia="zh-CN"/>
        </w:rPr>
        <w:t>万元,比2023年收支预算总数减少</w:t>
      </w:r>
      <w:r>
        <w:rPr>
          <w:rFonts w:hint="default" w:ascii="仿宋" w:hAnsi="仿宋" w:eastAsia="仿宋" w:cs="仿宋"/>
          <w:sz w:val="32"/>
          <w:szCs w:val="32"/>
          <w:lang w:val="en-US" w:eastAsia="zh-CN"/>
        </w:rPr>
        <w:t>13.25</w:t>
      </w:r>
      <w:r>
        <w:rPr>
          <w:rFonts w:hint="eastAsia" w:ascii="仿宋" w:hAnsi="仿宋" w:eastAsia="仿宋" w:cs="仿宋"/>
          <w:sz w:val="32"/>
          <w:szCs w:val="32"/>
          <w:lang w:val="en-US" w:eastAsia="zh-CN"/>
        </w:rPr>
        <w:t>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支出减少。</w:t>
      </w:r>
    </w:p>
    <w:p>
      <w:pPr>
        <w:widowControl/>
        <w:numPr>
          <w:ilvl w:val="0"/>
          <w:numId w:val="1"/>
        </w:numPr>
        <w:pBdr>
          <w:bottom w:val="single" w:color="FFFFFF" w:sz="8" w:space="31"/>
        </w:pBdr>
        <w:shd w:val="clear" w:color="auto" w:fill="FFFFFF"/>
        <w:spacing w:line="580" w:lineRule="atLeast"/>
        <w:ind w:firstLine="668"/>
        <w:outlineLvl w:val="1"/>
        <w:rPr>
          <w:rFonts w:hint="eastAsia" w:ascii="仿宋" w:hAnsi="仿宋" w:eastAsia="仿宋" w:cs="仿宋"/>
          <w:sz w:val="32"/>
          <w:szCs w:val="32"/>
          <w:lang w:val="en-US" w:eastAsia="zh-CN"/>
        </w:rPr>
      </w:pPr>
      <w:bookmarkStart w:id="20" w:name="_Toc1846"/>
      <w:r>
        <w:rPr>
          <w:rFonts w:hint="eastAsia" w:ascii="仿宋" w:hAnsi="仿宋" w:eastAsia="仿宋" w:cs="仿宋"/>
          <w:sz w:val="32"/>
          <w:szCs w:val="32"/>
          <w:lang w:val="en-US" w:eastAsia="zh-CN"/>
        </w:rPr>
        <w:t>收入预算情况</w:t>
      </w:r>
      <w:bookmarkEnd w:id="20"/>
    </w:p>
    <w:p>
      <w:pPr>
        <w:widowControl/>
        <w:numPr>
          <w:ilvl w:val="0"/>
          <w:numId w:val="0"/>
        </w:numPr>
        <w:pBdr>
          <w:bottom w:val="single" w:color="FFFFFF" w:sz="8" w:space="31"/>
        </w:pBdr>
        <w:shd w:val="clear" w:color="auto" w:fill="FFFFFF"/>
        <w:spacing w:line="580" w:lineRule="atLeast"/>
        <w:ind w:firstLine="800" w:firstLineChars="25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黄龙小学2024年收入预算317.32万元，其中：上年结转0万元，占0%；一般公共预算拨款收入317.32万元，占100%。              </w:t>
      </w:r>
    </w:p>
    <w:p>
      <w:pPr>
        <w:widowControl/>
        <w:numPr>
          <w:ilvl w:val="0"/>
          <w:numId w:val="1"/>
        </w:numPr>
        <w:pBdr>
          <w:bottom w:val="single" w:color="FFFFFF" w:sz="8" w:space="31"/>
        </w:pBdr>
        <w:shd w:val="clear" w:color="auto" w:fill="FFFFFF"/>
        <w:spacing w:line="580" w:lineRule="atLeast"/>
        <w:ind w:left="0" w:leftChars="0" w:firstLine="668" w:firstLineChars="0"/>
        <w:jc w:val="left"/>
        <w:outlineLvl w:val="1"/>
        <w:rPr>
          <w:rFonts w:hint="eastAsia" w:ascii="仿宋" w:hAnsi="仿宋" w:eastAsia="仿宋" w:cs="仿宋"/>
          <w:sz w:val="32"/>
          <w:szCs w:val="32"/>
          <w:lang w:val="en-US" w:eastAsia="zh-CN"/>
        </w:rPr>
      </w:pPr>
      <w:bookmarkStart w:id="21" w:name="_Toc813"/>
      <w:r>
        <w:rPr>
          <w:rFonts w:hint="eastAsia" w:ascii="仿宋" w:hAnsi="仿宋" w:eastAsia="仿宋" w:cs="仿宋"/>
          <w:sz w:val="32"/>
          <w:szCs w:val="32"/>
          <w:lang w:val="en-US" w:eastAsia="zh-CN"/>
        </w:rPr>
        <w:t>支出预算情况</w:t>
      </w:r>
      <w:bookmarkEnd w:id="21"/>
    </w:p>
    <w:p>
      <w:pPr>
        <w:widowControl/>
        <w:numPr>
          <w:ilvl w:val="0"/>
          <w:numId w:val="0"/>
        </w:numPr>
        <w:pBdr>
          <w:bottom w:val="single" w:color="FFFFFF" w:sz="8" w:space="31"/>
        </w:pBdr>
        <w:shd w:val="clear" w:color="auto" w:fill="FFFFFF"/>
        <w:spacing w:line="580" w:lineRule="atLeast"/>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黄龙小学2024年支出预算317.12万元，其中：基本支出290.96万元，占91.75%；项目支出26.36万元，占8.25%</w:t>
      </w:r>
      <w:r>
        <w:rPr>
          <w:rFonts w:hint="eastAsia" w:ascii="仿宋" w:hAnsi="仿宋" w:eastAsia="仿宋" w:cs="仿宋"/>
          <w:b w:val="0"/>
          <w:bCs w:val="0"/>
          <w:sz w:val="32"/>
          <w:szCs w:val="32"/>
          <w:lang w:val="en-US" w:eastAsia="zh-CN"/>
        </w:rPr>
        <w:t>。</w:t>
      </w:r>
    </w:p>
    <w:p>
      <w:pPr>
        <w:widowControl/>
        <w:numPr>
          <w:ilvl w:val="0"/>
          <w:numId w:val="0"/>
        </w:numPr>
        <w:pBdr>
          <w:bottom w:val="single" w:color="FFFFFF" w:sz="8" w:space="31"/>
        </w:pBdr>
        <w:shd w:val="clear" w:color="auto" w:fill="FFFFFF"/>
        <w:spacing w:line="580" w:lineRule="atLeast"/>
        <w:ind w:firstLine="800" w:firstLineChars="250"/>
        <w:outlineLvl w:val="0"/>
        <w:rPr>
          <w:rFonts w:hint="eastAsia" w:ascii="仿宋" w:hAnsi="仿宋" w:eastAsia="仿宋" w:cs="仿宋"/>
          <w:sz w:val="32"/>
          <w:szCs w:val="32"/>
        </w:rPr>
      </w:pPr>
      <w:bookmarkStart w:id="22" w:name="_Toc18771"/>
      <w:r>
        <w:rPr>
          <w:rFonts w:hint="eastAsia" w:ascii="仿宋" w:hAnsi="仿宋" w:eastAsia="仿宋" w:cs="仿宋"/>
          <w:sz w:val="32"/>
          <w:szCs w:val="32"/>
          <w:lang w:val="en-US" w:eastAsia="zh-CN"/>
        </w:rPr>
        <w:t>四、财政拨款收支预算情况说明</w:t>
      </w:r>
      <w:bookmarkEnd w:id="22"/>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 w:hAnsi="仿宋" w:eastAsia="仿宋" w:cs="仿宋"/>
          <w:sz w:val="32"/>
          <w:szCs w:val="32"/>
          <w:lang w:val="en-US" w:eastAsia="zh-CN"/>
        </w:rPr>
        <w:t>黄龙小学2024年财政拨款收支预算总数317.12万元,比2023年财政拨款收支预算总数减少</w:t>
      </w:r>
      <w:r>
        <w:rPr>
          <w:rFonts w:hint="default" w:ascii="仿宋" w:hAnsi="仿宋" w:eastAsia="仿宋" w:cs="仿宋"/>
          <w:sz w:val="32"/>
          <w:szCs w:val="32"/>
          <w:lang w:val="en-US" w:eastAsia="zh-CN"/>
        </w:rPr>
        <w:t>13.25</w:t>
      </w:r>
      <w:r>
        <w:rPr>
          <w:rFonts w:hint="eastAsia" w:ascii="仿宋" w:hAnsi="仿宋" w:eastAsia="仿宋" w:cs="仿宋"/>
          <w:sz w:val="32"/>
          <w:szCs w:val="32"/>
          <w:lang w:val="en-US" w:eastAsia="zh-CN"/>
        </w:rPr>
        <w:t>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支出减少。</w:t>
      </w:r>
    </w:p>
    <w:p>
      <w:pPr>
        <w:widowControl/>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收入包括：本年一般公共预算拨款收入317.12万元；支出包括：教育支出247.7万元、社会保障和就业支出50万元、住房保障支出19.62万元。）</w:t>
      </w:r>
    </w:p>
    <w:p>
      <w:pPr>
        <w:widowControl/>
        <w:numPr>
          <w:ilvl w:val="0"/>
          <w:numId w:val="2"/>
        </w:numPr>
        <w:pBdr>
          <w:bottom w:val="single" w:color="FFFFFF" w:sz="8" w:space="31"/>
        </w:pBdr>
        <w:shd w:val="clear" w:color="auto" w:fill="FFFFFF"/>
        <w:spacing w:line="580" w:lineRule="atLeast"/>
        <w:ind w:firstLine="640" w:firstLineChars="200"/>
        <w:outlineLvl w:val="0"/>
        <w:rPr>
          <w:rFonts w:hint="eastAsia" w:ascii="仿宋" w:hAnsi="仿宋" w:eastAsia="仿宋" w:cs="仿宋"/>
          <w:sz w:val="32"/>
          <w:szCs w:val="32"/>
          <w:lang w:val="en-US" w:eastAsia="zh-CN"/>
        </w:rPr>
      </w:pPr>
      <w:bookmarkStart w:id="23" w:name="_Toc14835"/>
      <w:r>
        <w:rPr>
          <w:rFonts w:hint="eastAsia" w:ascii="仿宋" w:hAnsi="仿宋" w:eastAsia="仿宋" w:cs="仿宋"/>
          <w:sz w:val="32"/>
          <w:szCs w:val="32"/>
          <w:lang w:val="en-US" w:eastAsia="zh-CN"/>
        </w:rPr>
        <w:t>一般公共预算当年拨款情况说明</w:t>
      </w:r>
      <w:bookmarkEnd w:id="23"/>
    </w:p>
    <w:p>
      <w:pPr>
        <w:widowControl/>
        <w:numPr>
          <w:ilvl w:val="0"/>
          <w:numId w:val="0"/>
        </w:numPr>
        <w:pBdr>
          <w:bottom w:val="single" w:color="FFFFFF" w:sz="8" w:space="31"/>
        </w:pBdr>
        <w:shd w:val="clear" w:color="auto" w:fill="FFFFFF"/>
        <w:spacing w:line="580" w:lineRule="atLeast"/>
        <w:ind w:firstLine="640" w:firstLineChars="200"/>
        <w:outlineLvl w:val="1"/>
        <w:rPr>
          <w:rFonts w:hint="eastAsia" w:ascii="仿宋" w:hAnsi="仿宋" w:eastAsia="仿宋" w:cs="仿宋"/>
          <w:sz w:val="32"/>
          <w:szCs w:val="32"/>
          <w:lang w:val="en-US" w:eastAsia="zh-CN"/>
        </w:rPr>
      </w:pPr>
      <w:bookmarkStart w:id="24" w:name="_Toc2897"/>
      <w:r>
        <w:rPr>
          <w:rFonts w:hint="eastAsia" w:ascii="仿宋" w:hAnsi="仿宋" w:eastAsia="仿宋" w:cs="仿宋"/>
          <w:sz w:val="32"/>
          <w:szCs w:val="32"/>
          <w:lang w:val="en-US" w:eastAsia="zh-CN"/>
        </w:rPr>
        <w:t>（一）一般公共预算当年拨款规模变化情况</w:t>
      </w:r>
      <w:bookmarkEnd w:id="24"/>
    </w:p>
    <w:p>
      <w:pPr>
        <w:widowControl/>
        <w:pBdr>
          <w:bottom w:val="single" w:color="FFFFFF" w:sz="8" w:space="31"/>
        </w:pBdr>
        <w:shd w:val="clear" w:color="auto" w:fill="FFFFFF"/>
        <w:spacing w:line="580" w:lineRule="atLeast"/>
        <w:ind w:firstLine="668"/>
        <w:rPr>
          <w:rFonts w:hint="eastAsia" w:ascii="仿宋_GB2312" w:hAnsi="Times New Roman" w:eastAsia="仿宋_GB2312" w:cs="仿宋_GB2312"/>
          <w:color w:val="333333"/>
          <w:kern w:val="0"/>
          <w:sz w:val="32"/>
          <w:szCs w:val="32"/>
          <w:shd w:val="clear" w:color="auto" w:fill="FFFFFF"/>
          <w:lang w:bidi="ar"/>
        </w:rPr>
      </w:pPr>
      <w:r>
        <w:rPr>
          <w:rFonts w:hint="eastAsia" w:ascii="仿宋" w:hAnsi="仿宋" w:eastAsia="仿宋" w:cs="仿宋"/>
          <w:sz w:val="32"/>
          <w:szCs w:val="32"/>
          <w:lang w:val="en-US" w:eastAsia="zh-CN"/>
        </w:rPr>
        <w:t>黄龙小学2024年一般公共预算当年拨款317.12万元，比2023年预算数减少</w:t>
      </w:r>
      <w:r>
        <w:rPr>
          <w:rFonts w:hint="default" w:ascii="仿宋" w:hAnsi="仿宋" w:eastAsia="仿宋" w:cs="仿宋"/>
          <w:sz w:val="32"/>
          <w:szCs w:val="32"/>
          <w:lang w:val="en-US" w:eastAsia="zh-CN"/>
        </w:rPr>
        <w:t>13.25</w:t>
      </w:r>
      <w:r>
        <w:rPr>
          <w:rFonts w:hint="eastAsia" w:ascii="仿宋" w:hAnsi="仿宋" w:eastAsia="仿宋" w:cs="仿宋"/>
          <w:sz w:val="32"/>
          <w:szCs w:val="32"/>
          <w:lang w:val="en-US" w:eastAsia="zh-CN"/>
        </w:rPr>
        <w:t>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支出减少。</w:t>
      </w:r>
    </w:p>
    <w:p>
      <w:pPr>
        <w:widowControl/>
        <w:numPr>
          <w:ilvl w:val="0"/>
          <w:numId w:val="0"/>
        </w:numPr>
        <w:pBdr>
          <w:bottom w:val="single" w:color="FFFFFF" w:sz="8" w:space="31"/>
        </w:pBdr>
        <w:shd w:val="clear" w:color="auto" w:fill="FFFFFF"/>
        <w:spacing w:line="580" w:lineRule="atLeast"/>
        <w:ind w:firstLine="640" w:firstLineChars="200"/>
        <w:outlineLvl w:val="1"/>
        <w:rPr>
          <w:rFonts w:hint="eastAsia" w:ascii="仿宋" w:hAnsi="仿宋" w:eastAsia="仿宋" w:cs="仿宋"/>
          <w:sz w:val="32"/>
          <w:szCs w:val="32"/>
          <w:lang w:val="en-US" w:eastAsia="zh-CN"/>
        </w:rPr>
      </w:pPr>
      <w:bookmarkStart w:id="25" w:name="_Toc10280"/>
      <w:r>
        <w:rPr>
          <w:rFonts w:hint="eastAsia" w:ascii="仿宋" w:hAnsi="仿宋" w:eastAsia="仿宋" w:cs="仿宋"/>
          <w:sz w:val="32"/>
          <w:szCs w:val="32"/>
          <w:lang w:val="en-US" w:eastAsia="zh-CN"/>
        </w:rPr>
        <w:t>（二）一般公共预算当年拨款结构情况</w:t>
      </w:r>
      <w:bookmarkEnd w:id="25"/>
      <w:r>
        <w:rPr>
          <w:rFonts w:hint="eastAsia" w:ascii="仿宋" w:hAnsi="仿宋" w:eastAsia="仿宋" w:cs="仿宋"/>
          <w:sz w:val="32"/>
          <w:szCs w:val="32"/>
          <w:lang w:val="en-US" w:eastAsia="zh-CN"/>
        </w:rPr>
        <w:t xml:space="preserve"> </w:t>
      </w:r>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一般公共服务支出317.12万元，占100%；教育支出247.7万元，占78.1%；社会保障和就业支出50万元，占15.7%；住房保障支出19.62万元，占6.2%。</w:t>
      </w:r>
    </w:p>
    <w:p>
      <w:pPr>
        <w:widowControl/>
        <w:numPr>
          <w:ilvl w:val="0"/>
          <w:numId w:val="0"/>
        </w:numPr>
        <w:pBdr>
          <w:bottom w:val="single" w:color="FFFFFF" w:sz="8" w:space="31"/>
        </w:pBdr>
        <w:shd w:val="clear" w:color="auto" w:fill="FFFFFF"/>
        <w:spacing w:line="580" w:lineRule="atLeast"/>
        <w:ind w:firstLine="640" w:firstLineChars="200"/>
        <w:outlineLvl w:val="1"/>
        <w:rPr>
          <w:rFonts w:hint="eastAsia" w:ascii="仿宋" w:hAnsi="仿宋" w:eastAsia="仿宋" w:cs="仿宋"/>
          <w:sz w:val="32"/>
          <w:szCs w:val="32"/>
          <w:lang w:val="en-US" w:eastAsia="zh-CN"/>
        </w:rPr>
      </w:pPr>
      <w:bookmarkStart w:id="26" w:name="_Toc28346"/>
      <w:r>
        <w:rPr>
          <w:rFonts w:hint="eastAsia" w:ascii="仿宋" w:hAnsi="仿宋" w:eastAsia="仿宋" w:cs="仿宋"/>
          <w:sz w:val="32"/>
          <w:szCs w:val="32"/>
          <w:lang w:val="en-US" w:eastAsia="zh-CN"/>
        </w:rPr>
        <w:t>（三）一般公共预算当年拨款具体使用情况</w:t>
      </w:r>
      <w:bookmarkEnd w:id="26"/>
    </w:p>
    <w:p>
      <w:pPr>
        <w:widowControl/>
        <w:numPr>
          <w:ilvl w:val="0"/>
          <w:numId w:val="3"/>
        </w:numPr>
        <w:pBdr>
          <w:bottom w:val="single" w:color="FFFFFF" w:sz="8" w:space="31"/>
        </w:pBdr>
        <w:shd w:val="clear" w:color="auto" w:fill="FFFFFF"/>
        <w:spacing w:line="580" w:lineRule="atLeast"/>
        <w:ind w:firstLine="374" w:firstLineChars="117"/>
        <w:rPr>
          <w:rFonts w:hint="eastAsia" w:ascii="仿宋" w:hAnsi="仿宋" w:eastAsia="仿宋" w:cs="仿宋"/>
          <w:sz w:val="32"/>
          <w:szCs w:val="32"/>
        </w:rPr>
      </w:pP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学前教育</w:t>
      </w:r>
      <w:r>
        <w:rPr>
          <w:rFonts w:ascii="Times New Roman" w:hAnsi="Times New Roman" w:eastAsia="仿宋_GB2312"/>
          <w:sz w:val="32"/>
          <w:szCs w:val="32"/>
        </w:rPr>
        <w:t>（项）</w:t>
      </w:r>
      <w:r>
        <w:rPr>
          <w:rFonts w:hint="eastAsia" w:ascii="Times New Roman" w:hAnsi="Times New Roman" w:eastAsia="仿宋_GB2312"/>
          <w:sz w:val="32"/>
          <w:szCs w:val="32"/>
          <w:lang w:val="en-US" w:eastAsia="zh-CN"/>
        </w:rPr>
        <w:t>2024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0.96</w:t>
      </w:r>
      <w:r>
        <w:rPr>
          <w:rFonts w:ascii="Times New Roman" w:hAnsi="Times New Roman" w:eastAsia="仿宋_GB2312"/>
          <w:sz w:val="32"/>
          <w:szCs w:val="32"/>
        </w:rPr>
        <w:t>万元，主要用于：</w:t>
      </w:r>
      <w:r>
        <w:rPr>
          <w:rFonts w:hint="eastAsia" w:ascii="Times New Roman" w:hAnsi="Times New Roman" w:eastAsia="仿宋_GB2312"/>
          <w:sz w:val="32"/>
          <w:szCs w:val="32"/>
        </w:rPr>
        <w:t>学前教育发展的基本支出，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pPr>
        <w:widowControl/>
        <w:numPr>
          <w:ilvl w:val="0"/>
          <w:numId w:val="3"/>
        </w:numPr>
        <w:pBdr>
          <w:bottom w:val="single" w:color="FFFFFF" w:sz="8" w:space="31"/>
        </w:pBdr>
        <w:shd w:val="clear" w:color="auto" w:fill="FFFFFF"/>
        <w:spacing w:line="580" w:lineRule="atLeast"/>
        <w:ind w:firstLine="374" w:firstLineChars="117"/>
        <w:rPr>
          <w:rFonts w:hint="eastAsia" w:ascii="仿宋" w:hAnsi="仿宋" w:eastAsia="仿宋" w:cs="仿宋"/>
          <w:sz w:val="32"/>
          <w:szCs w:val="32"/>
        </w:rPr>
      </w:pP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246.74</w:t>
      </w:r>
      <w:r>
        <w:rPr>
          <w:rFonts w:ascii="Times New Roman" w:hAnsi="Times New Roman" w:eastAsia="仿宋_GB2312"/>
          <w:sz w:val="32"/>
          <w:szCs w:val="32"/>
        </w:rPr>
        <w:t>万元，主要用于：</w:t>
      </w:r>
      <w:r>
        <w:rPr>
          <w:rFonts w:hint="eastAsia" w:ascii="Times New Roman" w:hAnsi="Times New Roman" w:eastAsia="仿宋_GB2312"/>
          <w:sz w:val="32"/>
          <w:szCs w:val="32"/>
        </w:rPr>
        <w:t>义务教育小学教育发展的基本支出，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pPr>
        <w:widowControl/>
        <w:numPr>
          <w:ilvl w:val="0"/>
          <w:numId w:val="3"/>
        </w:numPr>
        <w:pBdr>
          <w:bottom w:val="single" w:color="FFFFFF" w:sz="8" w:space="31"/>
        </w:pBdr>
        <w:shd w:val="clear" w:color="auto" w:fill="FFFFFF"/>
        <w:spacing w:line="580" w:lineRule="atLeast"/>
        <w:ind w:firstLine="374" w:firstLineChars="117"/>
        <w:rPr>
          <w:rFonts w:hint="eastAsia" w:ascii="仿宋" w:hAnsi="仿宋" w:eastAsia="仿宋" w:cs="仿宋"/>
          <w:sz w:val="32"/>
          <w:szCs w:val="32"/>
        </w:rPr>
      </w:pPr>
      <w:r>
        <w:rPr>
          <w:rFonts w:hint="eastAsia" w:ascii="仿宋" w:hAnsi="仿宋" w:eastAsia="仿宋" w:cs="仿宋"/>
          <w:sz w:val="32"/>
          <w:szCs w:val="32"/>
          <w:lang w:val="en-US" w:eastAsia="zh-CN"/>
        </w:rPr>
        <w:t>社会保障和就业（类）行政事业单位养老支出（款）事业单位离退休（项）2024年预算数为50万元，主要用于：本单位离退休人员经费支出。</w:t>
      </w:r>
    </w:p>
    <w:p>
      <w:pPr>
        <w:widowControl/>
        <w:numPr>
          <w:ilvl w:val="0"/>
          <w:numId w:val="3"/>
        </w:numPr>
        <w:pBdr>
          <w:bottom w:val="single" w:color="FFFFFF" w:sz="8" w:space="31"/>
        </w:pBdr>
        <w:shd w:val="clear" w:color="auto" w:fill="FFFFFF"/>
        <w:spacing w:line="580" w:lineRule="atLeast"/>
        <w:ind w:firstLine="374" w:firstLineChars="117"/>
        <w:rPr>
          <w:rFonts w:hint="eastAsia" w:ascii="仿宋" w:hAnsi="仿宋" w:eastAsia="仿宋" w:cs="仿宋"/>
          <w:sz w:val="32"/>
          <w:szCs w:val="32"/>
        </w:rPr>
      </w:pPr>
      <w:r>
        <w:rPr>
          <w:rFonts w:hint="eastAsia" w:ascii="仿宋" w:hAnsi="仿宋" w:eastAsia="仿宋" w:cs="仿宋"/>
          <w:sz w:val="32"/>
          <w:szCs w:val="32"/>
          <w:lang w:val="en-US" w:eastAsia="zh-CN"/>
        </w:rPr>
        <w:t>住房保障（类）住房改革支出（款）住房公积金（项）2024年预算数为19.62万元，主要用于：部门按规定为职工缴纳的住房公积金支出。</w:t>
      </w:r>
    </w:p>
    <w:p>
      <w:pPr>
        <w:widowControl/>
        <w:numPr>
          <w:ilvl w:val="0"/>
          <w:numId w:val="0"/>
        </w:numPr>
        <w:pBdr>
          <w:bottom w:val="single" w:color="FFFFFF" w:sz="8" w:space="31"/>
        </w:pBdr>
        <w:shd w:val="clear" w:color="auto" w:fill="FFFFFF"/>
        <w:spacing w:line="580" w:lineRule="atLeast"/>
        <w:ind w:firstLine="320" w:firstLineChars="100"/>
        <w:outlineLvl w:val="0"/>
        <w:rPr>
          <w:rFonts w:hint="eastAsia" w:ascii="仿宋" w:hAnsi="仿宋" w:eastAsia="仿宋" w:cs="仿宋"/>
          <w:sz w:val="32"/>
          <w:szCs w:val="32"/>
          <w:lang w:val="en-US" w:eastAsia="zh-CN"/>
        </w:rPr>
      </w:pPr>
      <w:bookmarkStart w:id="27" w:name="_Toc5106"/>
      <w:r>
        <w:rPr>
          <w:rFonts w:hint="eastAsia" w:ascii="仿宋" w:hAnsi="仿宋" w:eastAsia="仿宋" w:cs="仿宋"/>
          <w:sz w:val="32"/>
          <w:szCs w:val="32"/>
          <w:lang w:val="en-US" w:eastAsia="zh-CN"/>
        </w:rPr>
        <w:t>六、一般公共预算基本支出情况说明</w:t>
      </w:r>
      <w:bookmarkEnd w:id="27"/>
    </w:p>
    <w:p>
      <w:pPr>
        <w:widowControl/>
        <w:numPr>
          <w:ilvl w:val="0"/>
          <w:numId w:val="0"/>
        </w:numPr>
        <w:pBdr>
          <w:bottom w:val="single" w:color="FFFFFF" w:sz="8" w:space="31"/>
        </w:pBdr>
        <w:shd w:val="clear" w:color="auto" w:fill="FFFFFF"/>
        <w:spacing w:line="580" w:lineRule="atLeast"/>
        <w:ind w:firstLine="640" w:firstLineChars="200"/>
        <w:rPr>
          <w:rFonts w:hint="eastAsia"/>
          <w:lang w:val="en-US" w:eastAsia="zh-CN"/>
        </w:rPr>
      </w:pPr>
      <w:r>
        <w:rPr>
          <w:rFonts w:hint="eastAsia" w:ascii="仿宋" w:hAnsi="仿宋" w:eastAsia="仿宋" w:cs="仿宋"/>
          <w:sz w:val="32"/>
          <w:szCs w:val="32"/>
          <w:lang w:val="en-US" w:eastAsia="zh-CN"/>
        </w:rPr>
        <w:t>黄龙小学2024年一般公共预算基本支出290.96万元，其中：人员经费290.96万元，主要包括：基本工资、津贴补贴、奖金、社会保险缴费、住房公积金、遗属补贴等支出。</w:t>
      </w:r>
    </w:p>
    <w:p>
      <w:pPr>
        <w:widowControl/>
        <w:numPr>
          <w:ilvl w:val="0"/>
          <w:numId w:val="4"/>
        </w:numPr>
        <w:pBdr>
          <w:bottom w:val="single" w:color="FFFFFF" w:sz="8" w:space="31"/>
        </w:pBdr>
        <w:shd w:val="clear" w:color="auto" w:fill="FFFFFF"/>
        <w:spacing w:line="580" w:lineRule="atLeast"/>
        <w:ind w:firstLine="640" w:firstLineChars="200"/>
        <w:outlineLvl w:val="0"/>
        <w:rPr>
          <w:rFonts w:hint="eastAsia" w:ascii="仿宋" w:hAnsi="仿宋" w:eastAsia="仿宋" w:cs="仿宋"/>
          <w:sz w:val="32"/>
          <w:szCs w:val="32"/>
          <w:lang w:val="en-US" w:eastAsia="zh-CN"/>
        </w:rPr>
      </w:pPr>
      <w:bookmarkStart w:id="28" w:name="_Toc2291"/>
      <w:r>
        <w:rPr>
          <w:rFonts w:hint="eastAsia" w:ascii="仿宋" w:hAnsi="仿宋" w:eastAsia="仿宋" w:cs="仿宋"/>
          <w:sz w:val="32"/>
          <w:szCs w:val="32"/>
          <w:lang w:val="en-US" w:eastAsia="zh-CN"/>
        </w:rPr>
        <w:t>“三公”经费财政拨款预算安排情况说明</w:t>
      </w:r>
      <w:bookmarkEnd w:id="28"/>
    </w:p>
    <w:p>
      <w:pPr>
        <w:widowControl/>
        <w:numPr>
          <w:ilvl w:val="0"/>
          <w:numId w:val="0"/>
        </w:numPr>
        <w:pBdr>
          <w:bottom w:val="single" w:color="FFFFFF" w:sz="8" w:space="31"/>
        </w:pBdr>
        <w:shd w:val="clear" w:color="auto" w:fill="FFFFFF"/>
        <w:spacing w:line="580" w:lineRule="atLeast"/>
        <w:ind w:firstLine="640" w:firstLineChars="200"/>
        <w:outlineLvl w:val="0"/>
        <w:rPr>
          <w:rFonts w:hint="eastAsia" w:ascii="仿宋" w:hAnsi="仿宋" w:eastAsia="仿宋" w:cs="仿宋"/>
          <w:sz w:val="32"/>
          <w:szCs w:val="32"/>
          <w:lang w:val="en-US" w:eastAsia="zh-CN"/>
        </w:rPr>
      </w:pPr>
      <w:bookmarkStart w:id="29" w:name="_Toc19878"/>
      <w:r>
        <w:rPr>
          <w:rFonts w:hint="eastAsia" w:ascii="仿宋" w:hAnsi="仿宋" w:eastAsia="仿宋" w:cs="仿宋"/>
          <w:sz w:val="32"/>
          <w:szCs w:val="32"/>
          <w:lang w:val="en-US" w:eastAsia="zh-CN"/>
        </w:rPr>
        <w:t>黄龙小学2024年“三公”经费财政拨款预算数0万元，其中：公务接待费0万元，公务用车购置及运行维护费0万元，因公出国（境）经费0万元。</w:t>
      </w:r>
      <w:bookmarkEnd w:id="29"/>
    </w:p>
    <w:p>
      <w:pPr>
        <w:widowControl/>
        <w:numPr>
          <w:ilvl w:val="0"/>
          <w:numId w:val="5"/>
        </w:numPr>
        <w:pBdr>
          <w:bottom w:val="single" w:color="FFFFFF" w:sz="8" w:space="31"/>
        </w:pBdr>
        <w:shd w:val="clear" w:color="auto" w:fill="FFFFFF"/>
        <w:spacing w:line="580" w:lineRule="atLeast"/>
        <w:ind w:firstLine="640" w:firstLineChars="200"/>
        <w:outlineLvl w:val="1"/>
        <w:rPr>
          <w:rFonts w:hint="eastAsia" w:ascii="仿宋" w:hAnsi="仿宋" w:eastAsia="仿宋" w:cs="仿宋"/>
          <w:sz w:val="32"/>
          <w:szCs w:val="32"/>
          <w:lang w:val="en-US" w:eastAsia="zh-CN"/>
        </w:rPr>
      </w:pPr>
      <w:bookmarkStart w:id="30" w:name="_Toc24412"/>
      <w:r>
        <w:rPr>
          <w:rFonts w:hint="eastAsia" w:ascii="仿宋" w:hAnsi="仿宋" w:eastAsia="仿宋" w:cs="仿宋"/>
          <w:sz w:val="32"/>
          <w:szCs w:val="32"/>
          <w:lang w:val="en-US" w:eastAsia="zh-CN"/>
        </w:rPr>
        <w:t>公务接待费</w:t>
      </w:r>
      <w:bookmarkEnd w:id="30"/>
    </w:p>
    <w:p>
      <w:pPr>
        <w:widowControl/>
        <w:numPr>
          <w:ilvl w:val="0"/>
          <w:numId w:val="0"/>
        </w:numPr>
        <w:pBdr>
          <w:bottom w:val="single" w:color="FFFFFF" w:sz="8" w:space="31"/>
        </w:pBdr>
        <w:shd w:val="clear" w:color="auto" w:fill="FFFFFF"/>
        <w:spacing w:line="580" w:lineRule="atLeast"/>
        <w:ind w:firstLine="640" w:firstLineChars="200"/>
        <w:outlineLvl w:val="0"/>
        <w:rPr>
          <w:rFonts w:hint="eastAsia" w:ascii="仿宋" w:hAnsi="仿宋" w:eastAsia="仿宋" w:cs="仿宋"/>
          <w:sz w:val="32"/>
          <w:szCs w:val="32"/>
          <w:lang w:val="en-US" w:eastAsia="zh-CN"/>
        </w:rPr>
      </w:pPr>
      <w:bookmarkStart w:id="31" w:name="_Toc27135"/>
      <w:r>
        <w:rPr>
          <w:rFonts w:hint="eastAsia" w:ascii="仿宋" w:hAnsi="仿宋" w:eastAsia="仿宋" w:cs="仿宋"/>
          <w:sz w:val="32"/>
          <w:szCs w:val="32"/>
          <w:lang w:val="en-US" w:eastAsia="zh-CN"/>
        </w:rPr>
        <w:t>公务接待费与2023年预算相比持平。</w:t>
      </w:r>
      <w:bookmarkEnd w:id="31"/>
    </w:p>
    <w:p>
      <w:pPr>
        <w:widowControl/>
        <w:numPr>
          <w:ilvl w:val="0"/>
          <w:numId w:val="0"/>
        </w:numPr>
        <w:pBdr>
          <w:bottom w:val="single" w:color="FFFFFF" w:sz="8" w:space="31"/>
        </w:pBdr>
        <w:shd w:val="clear" w:color="auto" w:fill="FFFFFF"/>
        <w:spacing w:line="580" w:lineRule="atLeast"/>
        <w:ind w:firstLine="640" w:firstLineChars="200"/>
        <w:outlineLvl w:val="0"/>
        <w:rPr>
          <w:rFonts w:hint="eastAsia" w:ascii="仿宋" w:hAnsi="仿宋" w:eastAsia="仿宋" w:cs="仿宋"/>
          <w:sz w:val="32"/>
          <w:szCs w:val="32"/>
          <w:lang w:val="en-US" w:eastAsia="zh-CN"/>
        </w:rPr>
      </w:pPr>
      <w:bookmarkStart w:id="32" w:name="_Toc11571"/>
      <w:r>
        <w:rPr>
          <w:rFonts w:hint="eastAsia" w:ascii="仿宋" w:hAnsi="仿宋" w:eastAsia="仿宋" w:cs="仿宋"/>
          <w:sz w:val="32"/>
          <w:szCs w:val="32"/>
          <w:lang w:val="en-US" w:eastAsia="zh-CN"/>
        </w:rPr>
        <w:t>2024年公务接待费计划用于执行接待考察调研、检查指导等公务活动开支的交通费、住宿费、用餐费等。</w:t>
      </w:r>
      <w:bookmarkEnd w:id="32"/>
      <w:r>
        <w:rPr>
          <w:rFonts w:hint="eastAsia" w:ascii="仿宋" w:hAnsi="仿宋" w:eastAsia="仿宋" w:cs="仿宋"/>
          <w:sz w:val="32"/>
          <w:szCs w:val="32"/>
          <w:lang w:val="en-US" w:eastAsia="zh-CN"/>
        </w:rPr>
        <w:t xml:space="preserve"> </w:t>
      </w:r>
    </w:p>
    <w:p>
      <w:pPr>
        <w:widowControl/>
        <w:numPr>
          <w:ilvl w:val="0"/>
          <w:numId w:val="0"/>
        </w:numPr>
        <w:pBdr>
          <w:bottom w:val="single" w:color="FFFFFF" w:sz="8" w:space="31"/>
        </w:pBdr>
        <w:shd w:val="clear" w:color="auto" w:fill="FFFFFF"/>
        <w:spacing w:line="580" w:lineRule="atLeast"/>
        <w:ind w:firstLine="320" w:firstLineChars="100"/>
        <w:outlineLvl w:val="1"/>
        <w:rPr>
          <w:rFonts w:hint="eastAsia" w:ascii="仿宋" w:hAnsi="仿宋" w:eastAsia="仿宋" w:cs="仿宋"/>
          <w:sz w:val="32"/>
          <w:szCs w:val="32"/>
          <w:lang w:val="en-US" w:eastAsia="zh-CN"/>
        </w:rPr>
      </w:pPr>
      <w:bookmarkStart w:id="33" w:name="_Toc4844"/>
      <w:r>
        <w:rPr>
          <w:rFonts w:hint="eastAsia" w:ascii="仿宋" w:hAnsi="仿宋" w:eastAsia="仿宋" w:cs="仿宋"/>
          <w:sz w:val="32"/>
          <w:szCs w:val="32"/>
          <w:lang w:val="en-US" w:eastAsia="zh-CN"/>
        </w:rPr>
        <w:t>（二）公务用车购置及运行维护费</w:t>
      </w:r>
      <w:bookmarkEnd w:id="33"/>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0"/>
        <w:rPr>
          <w:rFonts w:hint="eastAsia" w:ascii="仿宋" w:hAnsi="仿宋" w:eastAsia="仿宋" w:cs="仿宋"/>
          <w:sz w:val="32"/>
          <w:szCs w:val="32"/>
          <w:lang w:val="en-US" w:eastAsia="zh-CN"/>
        </w:rPr>
      </w:pPr>
      <w:bookmarkStart w:id="34" w:name="_Toc2483"/>
      <w:r>
        <w:rPr>
          <w:rFonts w:hint="eastAsia" w:ascii="仿宋" w:hAnsi="仿宋" w:eastAsia="仿宋" w:cs="仿宋"/>
          <w:sz w:val="32"/>
          <w:szCs w:val="32"/>
          <w:lang w:val="en-US" w:eastAsia="zh-CN"/>
        </w:rPr>
        <w:t>公务用车购置及运行维护费与2023年预算相持平。</w:t>
      </w:r>
      <w:bookmarkEnd w:id="34"/>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0"/>
        <w:rPr>
          <w:rFonts w:hint="eastAsia" w:ascii="仿宋" w:hAnsi="仿宋" w:eastAsia="仿宋" w:cs="仿宋"/>
          <w:sz w:val="32"/>
          <w:szCs w:val="32"/>
          <w:lang w:val="en-US" w:eastAsia="zh-CN"/>
        </w:rPr>
      </w:pPr>
      <w:bookmarkStart w:id="35" w:name="_Toc19384"/>
      <w:r>
        <w:rPr>
          <w:rFonts w:hint="eastAsia" w:ascii="仿宋" w:hAnsi="仿宋" w:eastAsia="仿宋" w:cs="仿宋"/>
          <w:sz w:val="32"/>
          <w:szCs w:val="32"/>
          <w:lang w:val="en-US" w:eastAsia="zh-CN"/>
        </w:rPr>
        <w:t>单位现有公务用车0辆。</w:t>
      </w:r>
      <w:bookmarkEnd w:id="35"/>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0"/>
        <w:rPr>
          <w:rFonts w:hint="eastAsia" w:ascii="仿宋" w:hAnsi="仿宋" w:eastAsia="仿宋" w:cs="仿宋"/>
          <w:sz w:val="32"/>
          <w:szCs w:val="32"/>
          <w:lang w:val="en-US" w:eastAsia="zh-CN"/>
        </w:rPr>
      </w:pPr>
      <w:bookmarkStart w:id="36" w:name="_Toc30730"/>
      <w:r>
        <w:rPr>
          <w:rFonts w:hint="eastAsia" w:ascii="仿宋" w:hAnsi="仿宋" w:eastAsia="仿宋" w:cs="仿宋"/>
          <w:sz w:val="32"/>
          <w:szCs w:val="32"/>
          <w:lang w:val="en-US" w:eastAsia="zh-CN"/>
        </w:rPr>
        <w:t>2024年安排公务用车购置费0万元。</w:t>
      </w:r>
      <w:bookmarkEnd w:id="36"/>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0"/>
        <w:rPr>
          <w:rFonts w:hint="eastAsia" w:ascii="仿宋" w:hAnsi="仿宋" w:eastAsia="仿宋" w:cs="仿宋"/>
          <w:sz w:val="32"/>
          <w:szCs w:val="32"/>
          <w:lang w:val="en-US" w:eastAsia="zh-CN"/>
        </w:rPr>
      </w:pPr>
      <w:bookmarkStart w:id="37" w:name="_Toc11173"/>
      <w:r>
        <w:rPr>
          <w:rFonts w:hint="eastAsia" w:ascii="仿宋" w:hAnsi="仿宋" w:eastAsia="仿宋" w:cs="仿宋"/>
          <w:sz w:val="32"/>
          <w:szCs w:val="32"/>
          <w:lang w:val="en-US" w:eastAsia="zh-CN"/>
        </w:rPr>
        <w:t>2024年安排公务用车运行维护费0万元。</w:t>
      </w:r>
      <w:bookmarkEnd w:id="37"/>
    </w:p>
    <w:p>
      <w:pPr>
        <w:widowControl/>
        <w:numPr>
          <w:ilvl w:val="0"/>
          <w:numId w:val="0"/>
        </w:numPr>
        <w:pBdr>
          <w:bottom w:val="single" w:color="FFFFFF" w:sz="8" w:space="31"/>
        </w:pBdr>
        <w:shd w:val="clear" w:color="auto" w:fill="FFFFFF"/>
        <w:tabs>
          <w:tab w:val="left" w:pos="268"/>
        </w:tabs>
        <w:spacing w:line="580" w:lineRule="atLeast"/>
        <w:ind w:firstLine="320" w:firstLineChars="100"/>
        <w:outlineLvl w:val="1"/>
        <w:rPr>
          <w:rFonts w:hint="eastAsia" w:ascii="仿宋" w:hAnsi="仿宋" w:eastAsia="仿宋" w:cs="仿宋"/>
          <w:sz w:val="32"/>
          <w:szCs w:val="32"/>
          <w:lang w:val="en-US" w:eastAsia="zh-CN"/>
        </w:rPr>
      </w:pPr>
      <w:bookmarkStart w:id="38" w:name="_Toc30741"/>
      <w:r>
        <w:rPr>
          <w:rFonts w:hint="eastAsia" w:ascii="仿宋" w:hAnsi="仿宋" w:eastAsia="仿宋" w:cs="仿宋"/>
          <w:sz w:val="32"/>
          <w:szCs w:val="32"/>
          <w:lang w:val="en-US" w:eastAsia="zh-CN"/>
        </w:rPr>
        <w:t>（三）因公出国（境）经费</w:t>
      </w:r>
      <w:bookmarkEnd w:id="38"/>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0"/>
        <w:rPr>
          <w:rFonts w:hint="eastAsia" w:ascii="仿宋" w:hAnsi="仿宋" w:eastAsia="仿宋" w:cs="仿宋"/>
          <w:sz w:val="32"/>
          <w:szCs w:val="32"/>
          <w:lang w:val="en-US" w:eastAsia="zh-CN"/>
        </w:rPr>
      </w:pPr>
      <w:bookmarkStart w:id="39" w:name="_Toc27182"/>
      <w:r>
        <w:rPr>
          <w:rFonts w:hint="eastAsia" w:ascii="仿宋" w:hAnsi="仿宋" w:eastAsia="仿宋" w:cs="仿宋"/>
          <w:sz w:val="32"/>
          <w:szCs w:val="32"/>
          <w:lang w:val="en-US" w:eastAsia="zh-CN"/>
        </w:rPr>
        <w:t>因公出国（境）经费与2023年预算相比持平。</w:t>
      </w:r>
      <w:bookmarkEnd w:id="39"/>
    </w:p>
    <w:p>
      <w:pPr>
        <w:widowControl/>
        <w:numPr>
          <w:ilvl w:val="0"/>
          <w:numId w:val="4"/>
        </w:numPr>
        <w:pBdr>
          <w:bottom w:val="single" w:color="FFFFFF" w:sz="8" w:space="31"/>
        </w:pBdr>
        <w:shd w:val="clear" w:color="auto" w:fill="FFFFFF"/>
        <w:tabs>
          <w:tab w:val="left" w:pos="268"/>
        </w:tabs>
        <w:spacing w:line="580" w:lineRule="atLeast"/>
        <w:ind w:left="0" w:leftChars="0" w:firstLine="640" w:firstLineChars="200"/>
        <w:outlineLvl w:val="0"/>
        <w:rPr>
          <w:rFonts w:hint="eastAsia" w:ascii="仿宋" w:hAnsi="仿宋" w:eastAsia="仿宋" w:cs="仿宋"/>
          <w:sz w:val="32"/>
          <w:szCs w:val="32"/>
          <w:lang w:val="en-US" w:eastAsia="zh-CN"/>
        </w:rPr>
      </w:pPr>
      <w:bookmarkStart w:id="40" w:name="_Toc9745"/>
      <w:r>
        <w:rPr>
          <w:rFonts w:hint="eastAsia" w:ascii="仿宋" w:hAnsi="仿宋" w:eastAsia="仿宋" w:cs="仿宋"/>
          <w:sz w:val="32"/>
          <w:szCs w:val="32"/>
          <w:lang w:val="en-US" w:eastAsia="zh-CN"/>
        </w:rPr>
        <w:t>政府性基金预算支出情况说明</w:t>
      </w:r>
      <w:bookmarkEnd w:id="40"/>
    </w:p>
    <w:p>
      <w:pPr>
        <w:widowControl/>
        <w:numPr>
          <w:ilvl w:val="0"/>
          <w:numId w:val="0"/>
        </w:numPr>
        <w:pBdr>
          <w:bottom w:val="single" w:color="FFFFFF" w:sz="8" w:space="31"/>
        </w:pBdr>
        <w:shd w:val="clear" w:color="auto" w:fill="FFFFFF"/>
        <w:tabs>
          <w:tab w:val="left" w:pos="268"/>
        </w:tabs>
        <w:spacing w:line="580" w:lineRule="atLeast"/>
        <w:ind w:firstLine="960" w:firstLineChars="300"/>
        <w:outlineLvl w:val="1"/>
        <w:rPr>
          <w:rFonts w:hint="eastAsia" w:ascii="仿宋" w:hAnsi="仿宋" w:eastAsia="仿宋" w:cs="仿宋"/>
          <w:sz w:val="32"/>
          <w:szCs w:val="32"/>
          <w:lang w:val="en-US" w:eastAsia="zh-CN"/>
        </w:rPr>
      </w:pPr>
      <w:bookmarkStart w:id="41" w:name="_Toc12943"/>
      <w:r>
        <w:rPr>
          <w:rFonts w:hint="eastAsia" w:ascii="仿宋" w:hAnsi="仿宋" w:eastAsia="仿宋" w:cs="仿宋"/>
          <w:sz w:val="32"/>
          <w:szCs w:val="32"/>
          <w:lang w:val="en-US" w:eastAsia="zh-CN"/>
        </w:rPr>
        <w:t>黄龙小学2024年无政府性基金预算拨款。</w:t>
      </w:r>
      <w:bookmarkEnd w:id="41"/>
    </w:p>
    <w:p>
      <w:pPr>
        <w:widowControl/>
        <w:numPr>
          <w:ilvl w:val="0"/>
          <w:numId w:val="4"/>
        </w:numPr>
        <w:pBdr>
          <w:bottom w:val="single" w:color="FFFFFF" w:sz="8" w:space="31"/>
        </w:pBdr>
        <w:shd w:val="clear" w:color="auto" w:fill="FFFFFF"/>
        <w:tabs>
          <w:tab w:val="left" w:pos="268"/>
        </w:tabs>
        <w:spacing w:line="580" w:lineRule="atLeast"/>
        <w:ind w:left="0" w:leftChars="0" w:firstLine="640" w:firstLineChars="200"/>
        <w:outlineLvl w:val="0"/>
        <w:rPr>
          <w:rFonts w:hint="eastAsia" w:ascii="仿宋" w:hAnsi="仿宋" w:eastAsia="仿宋" w:cs="仿宋"/>
          <w:sz w:val="32"/>
          <w:szCs w:val="32"/>
          <w:lang w:val="en-US" w:eastAsia="zh-CN"/>
        </w:rPr>
      </w:pPr>
      <w:bookmarkStart w:id="42" w:name="_Toc10388"/>
      <w:r>
        <w:rPr>
          <w:rFonts w:hint="eastAsia" w:ascii="仿宋" w:hAnsi="仿宋" w:eastAsia="仿宋" w:cs="仿宋"/>
          <w:sz w:val="32"/>
          <w:szCs w:val="32"/>
          <w:lang w:val="en-US" w:eastAsia="zh-CN"/>
        </w:rPr>
        <w:t>国有资本经营预算支出情况说明</w:t>
      </w:r>
      <w:bookmarkEnd w:id="42"/>
    </w:p>
    <w:p>
      <w:pPr>
        <w:widowControl/>
        <w:numPr>
          <w:ilvl w:val="0"/>
          <w:numId w:val="0"/>
        </w:numPr>
        <w:pBdr>
          <w:bottom w:val="single" w:color="FFFFFF" w:sz="8" w:space="31"/>
        </w:pBdr>
        <w:shd w:val="clear" w:color="auto" w:fill="FFFFFF"/>
        <w:tabs>
          <w:tab w:val="left" w:pos="268"/>
        </w:tabs>
        <w:spacing w:line="580" w:lineRule="atLeast"/>
        <w:ind w:firstLine="960" w:firstLineChars="300"/>
        <w:outlineLvl w:val="1"/>
        <w:rPr>
          <w:rFonts w:hint="eastAsia" w:ascii="仿宋" w:hAnsi="仿宋" w:eastAsia="仿宋" w:cs="仿宋"/>
          <w:sz w:val="32"/>
          <w:szCs w:val="32"/>
          <w:lang w:val="en-US" w:eastAsia="zh-CN"/>
        </w:rPr>
      </w:pPr>
      <w:bookmarkStart w:id="43" w:name="_Toc8252"/>
      <w:r>
        <w:rPr>
          <w:rFonts w:hint="eastAsia" w:ascii="仿宋" w:hAnsi="仿宋" w:eastAsia="仿宋" w:cs="仿宋"/>
          <w:sz w:val="32"/>
          <w:szCs w:val="32"/>
          <w:lang w:val="en-US" w:eastAsia="zh-CN"/>
        </w:rPr>
        <w:t>黄龙小学2024年无国有资本经营预算拨款安排的支出。</w:t>
      </w:r>
      <w:bookmarkEnd w:id="43"/>
    </w:p>
    <w:p>
      <w:pPr>
        <w:widowControl/>
        <w:numPr>
          <w:ilvl w:val="0"/>
          <w:numId w:val="4"/>
        </w:numPr>
        <w:pBdr>
          <w:bottom w:val="single" w:color="FFFFFF" w:sz="8" w:space="31"/>
        </w:pBdr>
        <w:shd w:val="clear" w:color="auto" w:fill="FFFFFF"/>
        <w:tabs>
          <w:tab w:val="left" w:pos="268"/>
        </w:tabs>
        <w:spacing w:line="580" w:lineRule="atLeast"/>
        <w:ind w:left="0" w:leftChars="0" w:firstLine="640" w:firstLineChars="200"/>
        <w:outlineLvl w:val="0"/>
        <w:rPr>
          <w:rFonts w:hint="eastAsia" w:ascii="仿宋" w:hAnsi="仿宋" w:eastAsia="仿宋" w:cs="仿宋"/>
          <w:sz w:val="32"/>
          <w:szCs w:val="32"/>
          <w:lang w:val="en-US" w:eastAsia="zh-CN"/>
        </w:rPr>
      </w:pPr>
      <w:bookmarkStart w:id="44" w:name="_Toc26508"/>
      <w:r>
        <w:rPr>
          <w:rFonts w:hint="eastAsia" w:ascii="仿宋" w:hAnsi="仿宋" w:eastAsia="仿宋" w:cs="仿宋"/>
          <w:sz w:val="32"/>
          <w:szCs w:val="32"/>
          <w:lang w:val="en-US" w:eastAsia="zh-CN"/>
        </w:rPr>
        <w:t>其他重要事项的情况说明</w:t>
      </w:r>
      <w:bookmarkEnd w:id="44"/>
    </w:p>
    <w:p>
      <w:pPr>
        <w:widowControl/>
        <w:numPr>
          <w:ilvl w:val="0"/>
          <w:numId w:val="6"/>
        </w:numPr>
        <w:pBdr>
          <w:bottom w:val="single" w:color="FFFFFF" w:sz="8" w:space="31"/>
        </w:pBdr>
        <w:shd w:val="clear" w:color="auto" w:fill="FFFFFF"/>
        <w:tabs>
          <w:tab w:val="left" w:pos="268"/>
        </w:tabs>
        <w:spacing w:line="580" w:lineRule="atLeast"/>
        <w:ind w:firstLine="640" w:firstLineChars="200"/>
        <w:outlineLvl w:val="1"/>
        <w:rPr>
          <w:rFonts w:hint="eastAsia" w:ascii="仿宋" w:hAnsi="仿宋" w:eastAsia="仿宋" w:cs="仿宋"/>
          <w:sz w:val="32"/>
          <w:szCs w:val="32"/>
          <w:lang w:val="en-US" w:eastAsia="zh-CN"/>
        </w:rPr>
      </w:pPr>
      <w:bookmarkStart w:id="45" w:name="_Toc5236"/>
      <w:r>
        <w:rPr>
          <w:rFonts w:hint="eastAsia" w:ascii="仿宋" w:hAnsi="仿宋" w:eastAsia="仿宋" w:cs="仿宋"/>
          <w:sz w:val="32"/>
          <w:szCs w:val="32"/>
          <w:lang w:val="en-US" w:eastAsia="zh-CN"/>
        </w:rPr>
        <w:t>机关运行经费</w:t>
      </w:r>
      <w:bookmarkEnd w:id="45"/>
    </w:p>
    <w:p>
      <w:pPr>
        <w:widowControl/>
        <w:numPr>
          <w:ilvl w:val="0"/>
          <w:numId w:val="0"/>
        </w:numPr>
        <w:pBdr>
          <w:bottom w:val="single" w:color="FFFFFF" w:sz="8" w:space="31"/>
        </w:pBdr>
        <w:shd w:val="clear" w:color="auto" w:fill="FFFFFF"/>
        <w:tabs>
          <w:tab w:val="left" w:pos="268"/>
        </w:tabs>
        <w:spacing w:line="580" w:lineRule="atLeast"/>
        <w:ind w:firstLine="1280" w:firstLineChars="400"/>
        <w:outlineLvl w:val="0"/>
        <w:rPr>
          <w:rFonts w:hint="eastAsia" w:ascii="仿宋" w:hAnsi="仿宋" w:eastAsia="仿宋" w:cs="仿宋"/>
          <w:sz w:val="32"/>
          <w:szCs w:val="32"/>
          <w:lang w:val="en-US" w:eastAsia="zh-CN"/>
        </w:rPr>
      </w:pPr>
      <w:bookmarkStart w:id="46" w:name="_Toc7203"/>
      <w:r>
        <w:rPr>
          <w:rFonts w:hint="eastAsia" w:ascii="仿宋" w:hAnsi="仿宋" w:eastAsia="仿宋" w:cs="仿宋"/>
          <w:sz w:val="32"/>
          <w:szCs w:val="32"/>
          <w:lang w:val="en-US" w:eastAsia="zh-CN"/>
        </w:rPr>
        <w:t>2024年，本单位属于公益一类事业单位无机关运行经</w:t>
      </w:r>
      <w:bookmarkEnd w:id="46"/>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1"/>
        <w:rPr>
          <w:rFonts w:hint="eastAsia" w:ascii="仿宋" w:hAnsi="仿宋" w:eastAsia="仿宋" w:cs="仿宋"/>
          <w:sz w:val="32"/>
          <w:szCs w:val="32"/>
          <w:lang w:val="en-US" w:eastAsia="zh-CN"/>
        </w:rPr>
      </w:pPr>
      <w:bookmarkStart w:id="47" w:name="_Toc21783"/>
      <w:r>
        <w:rPr>
          <w:rFonts w:hint="eastAsia" w:ascii="仿宋" w:hAnsi="仿宋" w:eastAsia="仿宋" w:cs="仿宋"/>
          <w:sz w:val="32"/>
          <w:szCs w:val="32"/>
          <w:lang w:val="en-US" w:eastAsia="zh-CN"/>
        </w:rPr>
        <w:t>（二）政府采购情况</w:t>
      </w:r>
      <w:bookmarkEnd w:id="47"/>
    </w:p>
    <w:p>
      <w:pPr>
        <w:widowControl/>
        <w:numPr>
          <w:ilvl w:val="0"/>
          <w:numId w:val="0"/>
        </w:numPr>
        <w:pBdr>
          <w:bottom w:val="single" w:color="FFFFFF" w:sz="8" w:space="31"/>
        </w:pBdr>
        <w:shd w:val="clear" w:color="auto" w:fill="FFFFFF"/>
        <w:tabs>
          <w:tab w:val="left" w:pos="268"/>
        </w:tabs>
        <w:spacing w:line="580" w:lineRule="atLeast"/>
        <w:ind w:firstLine="960" w:firstLineChars="300"/>
        <w:outlineLvl w:val="0"/>
        <w:rPr>
          <w:rFonts w:hint="eastAsia" w:ascii="仿宋" w:hAnsi="仿宋" w:eastAsia="仿宋" w:cs="仿宋"/>
          <w:sz w:val="32"/>
          <w:szCs w:val="32"/>
          <w:lang w:val="en-US" w:eastAsia="zh-CN"/>
        </w:rPr>
      </w:pPr>
      <w:bookmarkStart w:id="48" w:name="_Toc2216"/>
      <w:r>
        <w:rPr>
          <w:rFonts w:hint="eastAsia" w:ascii="仿宋" w:hAnsi="仿宋" w:eastAsia="仿宋" w:cs="仿宋"/>
          <w:sz w:val="32"/>
          <w:szCs w:val="32"/>
          <w:lang w:val="en-US" w:eastAsia="zh-CN"/>
        </w:rPr>
        <w:t>2024年，黄龙小学未安排政府采购预算。</w:t>
      </w:r>
      <w:bookmarkEnd w:id="48"/>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1"/>
        <w:rPr>
          <w:rFonts w:hint="eastAsia" w:ascii="仿宋" w:hAnsi="仿宋" w:eastAsia="仿宋" w:cs="仿宋"/>
          <w:sz w:val="32"/>
          <w:szCs w:val="32"/>
          <w:lang w:val="en-US" w:eastAsia="zh-CN"/>
        </w:rPr>
      </w:pPr>
      <w:bookmarkStart w:id="49" w:name="_Toc10076"/>
      <w:r>
        <w:rPr>
          <w:rFonts w:hint="eastAsia" w:ascii="仿宋" w:hAnsi="仿宋" w:eastAsia="仿宋" w:cs="仿宋"/>
          <w:sz w:val="32"/>
          <w:szCs w:val="32"/>
          <w:lang w:val="en-US" w:eastAsia="zh-CN"/>
        </w:rPr>
        <w:t>（三）国有资产占有使用情况</w:t>
      </w:r>
      <w:bookmarkEnd w:id="49"/>
    </w:p>
    <w:p>
      <w:pPr>
        <w:widowControl/>
        <w:numPr>
          <w:ilvl w:val="0"/>
          <w:numId w:val="0"/>
        </w:numPr>
        <w:pBdr>
          <w:bottom w:val="single" w:color="FFFFFF" w:sz="8" w:space="31"/>
        </w:pBdr>
        <w:shd w:val="clear" w:color="auto" w:fill="FFFFFF"/>
        <w:tabs>
          <w:tab w:val="left" w:pos="268"/>
        </w:tabs>
        <w:spacing w:line="580" w:lineRule="atLeast"/>
        <w:ind w:firstLine="960" w:firstLineChars="300"/>
        <w:outlineLvl w:val="0"/>
        <w:rPr>
          <w:rFonts w:hint="eastAsia" w:ascii="仿宋" w:hAnsi="仿宋" w:eastAsia="仿宋" w:cs="仿宋"/>
          <w:sz w:val="32"/>
          <w:szCs w:val="32"/>
          <w:lang w:val="en-US" w:eastAsia="zh-CN"/>
        </w:rPr>
      </w:pPr>
      <w:bookmarkStart w:id="50" w:name="_Toc24826"/>
      <w:r>
        <w:rPr>
          <w:rFonts w:hint="eastAsia" w:ascii="仿宋" w:hAnsi="仿宋" w:eastAsia="仿宋" w:cs="仿宋"/>
          <w:sz w:val="32"/>
          <w:szCs w:val="32"/>
          <w:lang w:val="en-US" w:eastAsia="zh-CN"/>
        </w:rPr>
        <w:t>截至2023年底，黄龙共有车辆0辆，2024年本单位无价值200万元以上的大型设备。</w:t>
      </w:r>
      <w:bookmarkEnd w:id="50"/>
    </w:p>
    <w:p>
      <w:pPr>
        <w:widowControl/>
        <w:numPr>
          <w:ilvl w:val="0"/>
          <w:numId w:val="0"/>
        </w:numPr>
        <w:pBdr>
          <w:bottom w:val="single" w:color="FFFFFF" w:sz="8" w:space="31"/>
        </w:pBdr>
        <w:shd w:val="clear" w:color="auto" w:fill="FFFFFF"/>
        <w:tabs>
          <w:tab w:val="left" w:pos="268"/>
        </w:tabs>
        <w:spacing w:line="580" w:lineRule="atLeast"/>
        <w:ind w:firstLine="640" w:firstLineChars="200"/>
        <w:outlineLvl w:val="1"/>
        <w:rPr>
          <w:rFonts w:hint="eastAsia" w:ascii="仿宋" w:hAnsi="仿宋" w:eastAsia="仿宋" w:cs="仿宋"/>
          <w:sz w:val="32"/>
          <w:szCs w:val="32"/>
          <w:lang w:val="en-US" w:eastAsia="zh-CN"/>
        </w:rPr>
      </w:pPr>
      <w:bookmarkStart w:id="51" w:name="_Toc27941"/>
      <w:r>
        <w:rPr>
          <w:rFonts w:hint="eastAsia" w:ascii="仿宋" w:hAnsi="仿宋" w:eastAsia="仿宋" w:cs="仿宋"/>
          <w:sz w:val="32"/>
          <w:szCs w:val="32"/>
          <w:lang w:val="en-US" w:eastAsia="zh-CN"/>
        </w:rPr>
        <w:t>（四）绩效目标设置情况</w:t>
      </w:r>
      <w:bookmarkEnd w:id="51"/>
    </w:p>
    <w:p>
      <w:pPr>
        <w:widowControl/>
        <w:numPr>
          <w:ilvl w:val="0"/>
          <w:numId w:val="0"/>
        </w:numPr>
        <w:pBdr>
          <w:bottom w:val="single" w:color="FFFFFF" w:sz="8" w:space="31"/>
        </w:pBdr>
        <w:shd w:val="clear" w:color="auto" w:fill="FFFFFF"/>
        <w:tabs>
          <w:tab w:val="left" w:pos="268"/>
        </w:tabs>
        <w:spacing w:line="580" w:lineRule="atLeast"/>
        <w:ind w:firstLine="960" w:firstLineChars="300"/>
        <w:outlineLvl w:val="0"/>
        <w:rPr>
          <w:rFonts w:hint="eastAsia" w:ascii="仿宋" w:hAnsi="仿宋" w:eastAsia="仿宋" w:cs="仿宋"/>
          <w:sz w:val="32"/>
          <w:szCs w:val="32"/>
          <w:lang w:val="en-US" w:eastAsia="zh-CN"/>
        </w:rPr>
      </w:pPr>
      <w:bookmarkStart w:id="52" w:name="_Toc28417"/>
      <w:r>
        <w:rPr>
          <w:rFonts w:hint="eastAsia" w:ascii="仿宋" w:hAnsi="仿宋" w:eastAsia="仿宋" w:cs="仿宋"/>
          <w:sz w:val="32"/>
          <w:szCs w:val="32"/>
          <w:lang w:val="en-US" w:eastAsia="zh-CN"/>
        </w:rPr>
        <w:t>2024年黄龙小学开展绩效目标管理的项目4个，涉及预算26.36万元。其中：人员类项目0个，涉及预算 0万元；运转类项目4个，涉及预算26.36万元；特定目标类项目0个，涉及预算0万元。因部分项目内容涉密，不予公开。</w:t>
      </w:r>
      <w:bookmarkEnd w:id="5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rPr>
      </w:pPr>
      <w:bookmarkStart w:id="53" w:name="_Toc16897"/>
      <w:r>
        <w:rPr>
          <w:rFonts w:hint="eastAsia" w:ascii="仿宋" w:hAnsi="仿宋" w:eastAsia="仿宋" w:cs="仿宋"/>
          <w:sz w:val="32"/>
          <w:szCs w:val="32"/>
          <w:lang w:val="en-US" w:eastAsia="zh-CN"/>
        </w:rPr>
        <w:t>十一、名词解释</w:t>
      </w:r>
      <w:bookmarkEnd w:id="53"/>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（一）财政拨款收入:指</w:t>
      </w:r>
      <w:bookmarkStart w:id="55" w:name="_GoBack"/>
      <w:bookmarkEnd w:id="55"/>
      <w:r>
        <w:rPr>
          <w:rFonts w:hint="eastAsia" w:ascii="仿宋" w:hAnsi="仿宋" w:eastAsia="仿宋" w:cs="仿宋"/>
          <w:sz w:val="32"/>
          <w:szCs w:val="32"/>
          <w:lang w:val="en-US" w:eastAsia="zh-CN"/>
        </w:rPr>
        <w:t>财政当年安排的财政预算收入。按现行管理制度,单位预算中反映的财政拨款包括一般公共预算拨款和政府性基金预算拨款。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（三）其他收入：指除上述“一般公共预算拨款收入” “事业收入”等以外的收入。如银行存款利息收入、社会考试服务收入、课时收入等。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（四）教育支出（类）普通教育（款）学前教育（项）：指全区学前教育发展的基本支出，包括基本工资、津贴补贴等人员经费以及办公费、印刷费、水电费等日常公用经费。</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（五）教育支出（类）普通教育（款）小学教育（项）：指全区小学教育发展的基本支出，包括基本工资、津贴补贴等人员经费以及办公费、印刷费、水电费等日常公用经费。</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（六）教育支出（类）普通教育（款）其他普通教育（项）：指除上述项目以外其他用于普通教育方面的支出。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（七）社会保障和就业（类）行政事业单位养老支出（款）事业单位离退休（项）：指事业单位离退休人员的支出。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（八）住房保障（类）住房改革支出（款）住房公积金（项）：指按照《住房公积金管理条例》的规定，由单位及其在职职工缴存的长期住房储金。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（九）基本支出：指为保证机构正常运转，完成日常工作任务而发生的人员支出和公用支出。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（十）项目支出：指在基本支出之外为完成特定行政任务和事业发展目标所发生的支出。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十一）“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附件：1.预收公开报表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1280" w:firstLineChars="400"/>
        <w:textAlignment w:val="auto"/>
        <w:outlineLvl w:val="1"/>
        <w:rPr>
          <w:rFonts w:hint="eastAsia" w:ascii="仿宋" w:hAnsi="仿宋" w:eastAsia="仿宋" w:cs="仿宋"/>
          <w:sz w:val="32"/>
          <w:szCs w:val="32"/>
          <w:lang w:val="en-US" w:eastAsia="zh-CN"/>
        </w:rPr>
      </w:pPr>
      <w:bookmarkStart w:id="54" w:name="_Toc7227"/>
      <w:r>
        <w:rPr>
          <w:rFonts w:hint="eastAsia" w:ascii="仿宋" w:hAnsi="仿宋" w:eastAsia="仿宋" w:cs="仿宋"/>
          <w:sz w:val="32"/>
          <w:szCs w:val="32"/>
          <w:lang w:val="en-US" w:eastAsia="zh-CN"/>
        </w:rPr>
        <w:t>2.项目支出绩效目标表</w:t>
      </w:r>
      <w:bookmarkEnd w:id="5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C4D25"/>
    <w:multiLevelType w:val="singleLevel"/>
    <w:tmpl w:val="827C4D25"/>
    <w:lvl w:ilvl="0" w:tentative="0">
      <w:start w:val="1"/>
      <w:numFmt w:val="chineseCounting"/>
      <w:suff w:val="nothing"/>
      <w:lvlText w:val="（%1）"/>
      <w:lvlJc w:val="left"/>
      <w:rPr>
        <w:rFonts w:hint="eastAsia"/>
      </w:rPr>
    </w:lvl>
  </w:abstractNum>
  <w:abstractNum w:abstractNumId="1">
    <w:nsid w:val="01C4F1C7"/>
    <w:multiLevelType w:val="singleLevel"/>
    <w:tmpl w:val="01C4F1C7"/>
    <w:lvl w:ilvl="0" w:tentative="0">
      <w:start w:val="5"/>
      <w:numFmt w:val="chineseCounting"/>
      <w:suff w:val="nothing"/>
      <w:lvlText w:val="%1、"/>
      <w:lvlJc w:val="left"/>
      <w:rPr>
        <w:rFonts w:hint="eastAsia"/>
      </w:rPr>
    </w:lvl>
  </w:abstractNum>
  <w:abstractNum w:abstractNumId="2">
    <w:nsid w:val="1E83E49C"/>
    <w:multiLevelType w:val="singleLevel"/>
    <w:tmpl w:val="1E83E49C"/>
    <w:lvl w:ilvl="0" w:tentative="0">
      <w:start w:val="7"/>
      <w:numFmt w:val="chineseCounting"/>
      <w:suff w:val="nothing"/>
      <w:lvlText w:val="%1、"/>
      <w:lvlJc w:val="left"/>
      <w:rPr>
        <w:rFonts w:hint="eastAsia"/>
      </w:rPr>
    </w:lvl>
  </w:abstractNum>
  <w:abstractNum w:abstractNumId="3">
    <w:nsid w:val="4A05A754"/>
    <w:multiLevelType w:val="singleLevel"/>
    <w:tmpl w:val="4A05A754"/>
    <w:lvl w:ilvl="0" w:tentative="0">
      <w:start w:val="1"/>
      <w:numFmt w:val="chineseCounting"/>
      <w:suff w:val="nothing"/>
      <w:lvlText w:val="（%1）"/>
      <w:lvlJc w:val="left"/>
      <w:rPr>
        <w:rFonts w:hint="eastAsia"/>
      </w:rPr>
    </w:lvl>
  </w:abstractNum>
  <w:abstractNum w:abstractNumId="4">
    <w:nsid w:val="5128AEE4"/>
    <w:multiLevelType w:val="singleLevel"/>
    <w:tmpl w:val="5128AEE4"/>
    <w:lvl w:ilvl="0" w:tentative="0">
      <w:start w:val="1"/>
      <w:numFmt w:val="decimal"/>
      <w:suff w:val="space"/>
      <w:lvlText w:val="%1."/>
      <w:lvlJc w:val="left"/>
    </w:lvl>
  </w:abstractNum>
  <w:abstractNum w:abstractNumId="5">
    <w:nsid w:val="7B62B188"/>
    <w:multiLevelType w:val="singleLevel"/>
    <w:tmpl w:val="7B62B188"/>
    <w:lvl w:ilvl="0" w:tentative="0">
      <w:start w:val="1"/>
      <w:numFmt w:val="chineseCounting"/>
      <w:suff w:val="nothing"/>
      <w:lvlText w:val="（%1）"/>
      <w:lvlJc w:val="left"/>
      <w:rPr>
        <w:rFonts w:hint="eastAsia"/>
      </w:r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1336F6F"/>
    <w:rsid w:val="01B144AA"/>
    <w:rsid w:val="05C453A6"/>
    <w:rsid w:val="068B579C"/>
    <w:rsid w:val="07C22184"/>
    <w:rsid w:val="08393F21"/>
    <w:rsid w:val="08634780"/>
    <w:rsid w:val="08DC7F36"/>
    <w:rsid w:val="0A654C9E"/>
    <w:rsid w:val="0DE72AC0"/>
    <w:rsid w:val="14D53596"/>
    <w:rsid w:val="19756234"/>
    <w:rsid w:val="19F81720"/>
    <w:rsid w:val="1BE75D71"/>
    <w:rsid w:val="1F50313F"/>
    <w:rsid w:val="1F7BF06F"/>
    <w:rsid w:val="1FEE4B73"/>
    <w:rsid w:val="20AB39DD"/>
    <w:rsid w:val="23CE9849"/>
    <w:rsid w:val="24B9051F"/>
    <w:rsid w:val="279E523D"/>
    <w:rsid w:val="28DB0637"/>
    <w:rsid w:val="2A393106"/>
    <w:rsid w:val="2E342143"/>
    <w:rsid w:val="32867B79"/>
    <w:rsid w:val="381E409C"/>
    <w:rsid w:val="39687B8F"/>
    <w:rsid w:val="39F304DD"/>
    <w:rsid w:val="3ADB22D3"/>
    <w:rsid w:val="3DDD0E0F"/>
    <w:rsid w:val="3EDB00C8"/>
    <w:rsid w:val="3F420A4D"/>
    <w:rsid w:val="3F586A59"/>
    <w:rsid w:val="3FC34216"/>
    <w:rsid w:val="41200E85"/>
    <w:rsid w:val="41A2189A"/>
    <w:rsid w:val="4A6A13C3"/>
    <w:rsid w:val="53A831A7"/>
    <w:rsid w:val="54244390"/>
    <w:rsid w:val="54662A63"/>
    <w:rsid w:val="55D53DAD"/>
    <w:rsid w:val="56533339"/>
    <w:rsid w:val="58064E12"/>
    <w:rsid w:val="59C3464B"/>
    <w:rsid w:val="5BFEE015"/>
    <w:rsid w:val="63EDCF55"/>
    <w:rsid w:val="63FBFBCF"/>
    <w:rsid w:val="669360FD"/>
    <w:rsid w:val="676C1919"/>
    <w:rsid w:val="68FF6A83"/>
    <w:rsid w:val="6E3953CF"/>
    <w:rsid w:val="6EF05B35"/>
    <w:rsid w:val="6F0C3AA7"/>
    <w:rsid w:val="6FBBC9CF"/>
    <w:rsid w:val="703173F2"/>
    <w:rsid w:val="72BDE561"/>
    <w:rsid w:val="735D63FE"/>
    <w:rsid w:val="78462278"/>
    <w:rsid w:val="79614AE0"/>
    <w:rsid w:val="79727E4C"/>
    <w:rsid w:val="7997EA6C"/>
    <w:rsid w:val="7AEAE675"/>
    <w:rsid w:val="7BAFCE5D"/>
    <w:rsid w:val="7C523723"/>
    <w:rsid w:val="7D46598C"/>
    <w:rsid w:val="7DFB240B"/>
    <w:rsid w:val="7E0935ED"/>
    <w:rsid w:val="7F2871C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