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0098"/>
      <w:bookmarkStart w:id="1" w:name="_Toc3179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广元市昭化区虎跳镇陈江小学</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4864"/>
        <w15:color w:val="DBDBDB"/>
        <w:docPartObj>
          <w:docPartGallery w:val="Table of Contents"/>
          <w:docPartUnique/>
        </w:docPartObj>
      </w:sdtPr>
      <w:sdtEndP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sdtEndPr>
      <w:sdtConten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20"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_Toc29955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一、基本职能及主要工作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_Toc29955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_Toc14174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highlight w:val="none"/>
            </w:rPr>
            <w:t>（一）</w:t>
          </w:r>
          <w:r>
            <w:rPr>
              <w:rFonts w:hint="eastAsia" w:ascii="仿宋" w:hAnsi="仿宋" w:eastAsia="仿宋" w:cs="仿宋"/>
              <w:sz w:val="32"/>
              <w:szCs w:val="32"/>
              <w:highlight w:val="none"/>
              <w:lang w:val="en-US" w:eastAsia="zh-CN"/>
            </w:rPr>
            <w:t>单位</w:t>
          </w:r>
          <w:r>
            <w:rPr>
              <w:rFonts w:hint="eastAsia" w:ascii="仿宋" w:hAnsi="仿宋" w:eastAsia="仿宋" w:cs="仿宋"/>
              <w:sz w:val="32"/>
              <w:szCs w:val="32"/>
              <w:highlight w:val="none"/>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_Toc14174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_Toc17145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highlight w:val="none"/>
            </w:rPr>
            <w:t>（二）</w:t>
          </w:r>
          <w:r>
            <w:rPr>
              <w:rFonts w:hint="eastAsia" w:ascii="仿宋" w:hAnsi="仿宋" w:eastAsia="仿宋" w:cs="仿宋"/>
              <w:sz w:val="32"/>
              <w:szCs w:val="32"/>
              <w:highlight w:val="none"/>
              <w:lang w:val="en-US" w:eastAsia="zh-CN"/>
            </w:rPr>
            <w:t>单位</w:t>
          </w: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eastAsia="zh-CN"/>
            </w:rPr>
            <w:t>重</w:t>
          </w:r>
          <w:r>
            <w:rPr>
              <w:rFonts w:hint="eastAsia" w:ascii="仿宋" w:hAnsi="仿宋" w:eastAsia="仿宋" w:cs="仿宋"/>
              <w:sz w:val="32"/>
              <w:szCs w:val="32"/>
              <w:highlight w:val="none"/>
            </w:rPr>
            <w:t>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_Toc17145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_Toc23892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二、部门预算单位构成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_Toc23892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_Toc30506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_Toc30506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_Toc19873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_Toc19873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_Toc580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_Toc580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_Toc4214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四、财政拨款收支预算情况说明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_Toc4214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_Toc9473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五、一般公共预算当年拨款情况说明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_Toc9473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_Toc8106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highlight w:val="none"/>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_Toc8106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_Toc26046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highlight w:val="none"/>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_Toc26046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_Toc5255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 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_Toc5255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_Toc23443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六、一般公共预算基本支出情况说明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_Toc23443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_Toc18663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七、“三公”经费财政拨款预算安排情况说明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_Toc18663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_Toc17261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_Toc17261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_Toc11907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_Toc11907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_Toc14011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_Toc14011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_Toc30040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八、政府性基金预算支出情况说明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_Toc30040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_Toc22691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九、国有资本经营预算支出情况说明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_Toc22691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_Toc8844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十、其他重要事项的情况说明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_Toc8844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_Toc7706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十一、名词解释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_Toc7706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leftChars="0" w:right="0" w:rightChars="0" w:firstLine="0" w:firstLineChars="0"/>
            <w:jc w:val="left"/>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sdtContent>
    </w:sd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29955"/>
      <w:r>
        <w:rPr>
          <w:rFonts w:hint="eastAsia" w:ascii="黑体" w:hAnsi="黑体" w:eastAsia="黑体" w:cs="黑体"/>
          <w:sz w:val="32"/>
          <w:szCs w:val="32"/>
          <w:lang w:val="en-US" w:eastAsia="zh-CN"/>
        </w:rPr>
        <w:t>一、基本职能及主要工作</w:t>
      </w:r>
      <w:bookmarkEnd w:id="2"/>
    </w:p>
    <w:p>
      <w:pPr>
        <w:pStyle w:val="10"/>
        <w:widowControl/>
        <w:spacing w:before="120" w:line="600" w:lineRule="exact"/>
        <w:ind w:firstLine="660"/>
        <w:outlineLvl w:val="1"/>
        <w:rPr>
          <w:rFonts w:hint="eastAsia" w:ascii="楷体_GB2312" w:hAnsi="微软雅黑" w:eastAsia="楷体_GB2312" w:cs="楷体_GB2312"/>
          <w:b/>
          <w:sz w:val="32"/>
          <w:szCs w:val="32"/>
          <w:highlight w:val="none"/>
          <w:lang w:eastAsia="zh-CN"/>
        </w:rPr>
      </w:pPr>
      <w:bookmarkStart w:id="3" w:name="_Toc14174"/>
      <w:r>
        <w:rPr>
          <w:rFonts w:hint="eastAsia" w:ascii="楷体_GB2312" w:hAnsi="微软雅黑" w:eastAsia="楷体_GB2312" w:cs="楷体_GB2312"/>
          <w:b/>
          <w:sz w:val="32"/>
          <w:szCs w:val="32"/>
          <w:highlight w:val="none"/>
        </w:rPr>
        <w:t>（</w:t>
      </w:r>
      <w:r>
        <w:rPr>
          <w:rFonts w:ascii="楷体_GB2312" w:hAnsi="微软雅黑" w:eastAsia="楷体_GB2312" w:cs="楷体_GB2312"/>
          <w:b/>
          <w:sz w:val="32"/>
          <w:szCs w:val="32"/>
          <w:highlight w:val="none"/>
        </w:rPr>
        <w:t>一）</w:t>
      </w:r>
      <w:r>
        <w:rPr>
          <w:rFonts w:hint="eastAsia" w:ascii="楷体_GB2312" w:hAnsi="微软雅黑" w:eastAsia="楷体_GB2312" w:cs="楷体_GB2312"/>
          <w:b/>
          <w:sz w:val="32"/>
          <w:szCs w:val="32"/>
          <w:highlight w:val="none"/>
          <w:lang w:val="en-US" w:eastAsia="zh-CN"/>
        </w:rPr>
        <w:t>单位</w:t>
      </w:r>
      <w:r>
        <w:rPr>
          <w:rFonts w:ascii="楷体_GB2312" w:hAnsi="微软雅黑" w:eastAsia="楷体_GB2312" w:cs="楷体_GB2312"/>
          <w:b/>
          <w:sz w:val="32"/>
          <w:szCs w:val="32"/>
          <w:highlight w:val="none"/>
        </w:rPr>
        <w:t>职能简介</w:t>
      </w:r>
      <w:bookmarkEnd w:id="3"/>
    </w:p>
    <w:p>
      <w:pPr>
        <w:pStyle w:val="4"/>
        <w:adjustRightInd w:val="0"/>
        <w:spacing w:beforeLines="0" w:line="500" w:lineRule="exact"/>
        <w:ind w:firstLine="640" w:firstLineChars="200"/>
        <w:outlineLvl w:val="2"/>
        <w:rPr>
          <w:rFonts w:ascii="仿宋" w:hAnsi="仿宋" w:eastAsia="仿宋"/>
          <w:kern w:val="2"/>
          <w:sz w:val="32"/>
          <w:szCs w:val="32"/>
          <w:highlight w:val="none"/>
        </w:rPr>
      </w:pPr>
      <w:r>
        <w:rPr>
          <w:rFonts w:hint="eastAsia" w:ascii="仿宋" w:hAnsi="仿宋" w:eastAsia="仿宋"/>
          <w:kern w:val="2"/>
          <w:sz w:val="32"/>
          <w:szCs w:val="32"/>
          <w:highlight w:val="none"/>
        </w:rPr>
        <w:t>1.</w:t>
      </w:r>
      <w:r>
        <w:rPr>
          <w:rFonts w:ascii="Arial" w:hAnsi="Arial" w:eastAsia="宋体" w:cs="Arial"/>
          <w:kern w:val="2"/>
          <w:sz w:val="18"/>
          <w:szCs w:val="18"/>
          <w:highlight w:val="none"/>
          <w:shd w:val="clear" w:color="auto" w:fill="FFFFFF"/>
        </w:rPr>
        <w:t xml:space="preserve"> </w:t>
      </w:r>
      <w:r>
        <w:rPr>
          <w:rFonts w:ascii="仿宋" w:hAnsi="仿宋" w:eastAsia="仿宋"/>
          <w:kern w:val="2"/>
          <w:sz w:val="32"/>
          <w:szCs w:val="32"/>
          <w:highlight w:val="none"/>
        </w:rPr>
        <w:t>认真贯彻落实党和国家的方针、政策,正确执行上级主管部门的决议和指示,全面实施素质教育,培养德、智、体、美等方面全面发展的社会主义事业的建设者和接班人</w:t>
      </w:r>
      <w:r>
        <w:rPr>
          <w:rFonts w:hint="eastAsia" w:ascii="仿宋" w:hAnsi="仿宋" w:eastAsia="仿宋"/>
          <w:kern w:val="2"/>
          <w:sz w:val="32"/>
          <w:szCs w:val="32"/>
          <w:highlight w:val="none"/>
        </w:rPr>
        <w:t>。</w:t>
      </w:r>
    </w:p>
    <w:p>
      <w:pPr>
        <w:pStyle w:val="4"/>
        <w:adjustRightInd w:val="0"/>
        <w:spacing w:beforeLines="0" w:line="500" w:lineRule="exact"/>
        <w:ind w:firstLine="640" w:firstLineChars="200"/>
        <w:outlineLvl w:val="2"/>
        <w:rPr>
          <w:rFonts w:hint="eastAsia" w:ascii="仿宋" w:hAnsi="仿宋" w:eastAsia="仿宋"/>
          <w:kern w:val="2"/>
          <w:sz w:val="32"/>
          <w:szCs w:val="32"/>
          <w:highlight w:val="none"/>
        </w:rPr>
      </w:pPr>
      <w:r>
        <w:rPr>
          <w:rFonts w:hint="eastAsia" w:ascii="仿宋" w:hAnsi="仿宋" w:eastAsia="仿宋"/>
          <w:kern w:val="2"/>
          <w:sz w:val="32"/>
          <w:szCs w:val="32"/>
          <w:highlight w:val="none"/>
        </w:rPr>
        <w:t>2.用科学的发展观指导教育教学工作。加强教育科研工作，推动校本教育的健康发展。加强教学管理，不断推进新课程改革，全面提高教学质量。</w:t>
      </w:r>
    </w:p>
    <w:p>
      <w:pPr>
        <w:pStyle w:val="4"/>
        <w:adjustRightInd w:val="0"/>
        <w:spacing w:beforeLines="0" w:line="500" w:lineRule="exact"/>
        <w:ind w:firstLine="640" w:firstLineChars="200"/>
        <w:outlineLvl w:val="2"/>
        <w:rPr>
          <w:rFonts w:hint="eastAsia" w:ascii="仿宋" w:hAnsi="仿宋" w:eastAsia="仿宋"/>
          <w:kern w:val="2"/>
          <w:sz w:val="32"/>
          <w:szCs w:val="32"/>
          <w:highlight w:val="none"/>
        </w:rPr>
      </w:pPr>
      <w:r>
        <w:rPr>
          <w:rFonts w:hint="eastAsia" w:ascii="仿宋" w:hAnsi="仿宋" w:eastAsia="仿宋"/>
          <w:kern w:val="2"/>
          <w:sz w:val="32"/>
          <w:szCs w:val="32"/>
          <w:highlight w:val="none"/>
        </w:rPr>
        <w:t>3.</w:t>
      </w:r>
      <w:r>
        <w:rPr>
          <w:rFonts w:ascii="Times New Roman" w:eastAsia="宋体"/>
          <w:kern w:val="2"/>
          <w:sz w:val="21"/>
          <w:szCs w:val="24"/>
          <w:highlight w:val="none"/>
        </w:rPr>
        <w:t xml:space="preserve"> </w:t>
      </w:r>
      <w:r>
        <w:rPr>
          <w:rFonts w:hint="eastAsia" w:ascii="仿宋" w:hAnsi="仿宋" w:eastAsia="仿宋"/>
          <w:kern w:val="2"/>
          <w:sz w:val="32"/>
          <w:szCs w:val="32"/>
          <w:highlight w:val="none"/>
        </w:rPr>
        <w:t>负责</w:t>
      </w:r>
      <w:r>
        <w:rPr>
          <w:rFonts w:ascii="仿宋" w:hAnsi="仿宋" w:eastAsia="仿宋"/>
          <w:kern w:val="2"/>
          <w:sz w:val="32"/>
          <w:szCs w:val="32"/>
          <w:highlight w:val="none"/>
        </w:rPr>
        <w:t>德育工作</w:t>
      </w:r>
      <w:r>
        <w:rPr>
          <w:rFonts w:hint="eastAsia" w:ascii="仿宋" w:hAnsi="仿宋" w:eastAsia="仿宋"/>
          <w:kern w:val="2"/>
          <w:sz w:val="32"/>
          <w:szCs w:val="32"/>
          <w:highlight w:val="none"/>
        </w:rPr>
        <w:t>，</w:t>
      </w:r>
      <w:r>
        <w:rPr>
          <w:rFonts w:ascii="仿宋" w:hAnsi="仿宋" w:eastAsia="仿宋"/>
          <w:kern w:val="2"/>
          <w:sz w:val="32"/>
          <w:szCs w:val="32"/>
          <w:highlight w:val="none"/>
        </w:rPr>
        <w:t>研究思想政治工作的要求、内容、方法和规律,不断加强对学生的思想政治、法制纪律和道德品质教育以及做好管理工作。</w:t>
      </w:r>
    </w:p>
    <w:p>
      <w:pPr>
        <w:pStyle w:val="4"/>
        <w:adjustRightInd w:val="0"/>
        <w:spacing w:beforeLines="0" w:line="500" w:lineRule="exact"/>
        <w:ind w:firstLine="640" w:firstLineChars="200"/>
        <w:outlineLvl w:val="2"/>
        <w:rPr>
          <w:rFonts w:hint="eastAsia" w:ascii="仿宋" w:hAnsi="仿宋" w:eastAsia="仿宋"/>
          <w:color w:val="FF0000"/>
          <w:kern w:val="2"/>
          <w:sz w:val="32"/>
          <w:szCs w:val="32"/>
          <w:highlight w:val="none"/>
        </w:rPr>
      </w:pPr>
      <w:r>
        <w:rPr>
          <w:rFonts w:hint="eastAsia" w:ascii="仿宋" w:hAnsi="仿宋" w:eastAsia="仿宋"/>
          <w:kern w:val="2"/>
          <w:sz w:val="32"/>
          <w:szCs w:val="32"/>
          <w:highlight w:val="none"/>
        </w:rPr>
        <w:t>4.继续深化人事管理制度改革，完善学校内部教育教育管理，安全管理，做好后勤保障工作。</w:t>
      </w:r>
    </w:p>
    <w:p>
      <w:pPr>
        <w:pStyle w:val="4"/>
        <w:adjustRightInd w:val="0"/>
        <w:spacing w:beforeLines="0" w:line="500" w:lineRule="exact"/>
        <w:ind w:firstLine="640" w:firstLineChars="200"/>
        <w:outlineLvl w:val="2"/>
        <w:rPr>
          <w:rFonts w:hint="eastAsia" w:ascii="仿宋" w:hAnsi="仿宋" w:eastAsia="仿宋"/>
          <w:kern w:val="2"/>
          <w:sz w:val="32"/>
          <w:szCs w:val="32"/>
          <w:highlight w:val="none"/>
        </w:rPr>
      </w:pPr>
      <w:r>
        <w:rPr>
          <w:rFonts w:hint="eastAsia" w:ascii="仿宋" w:hAnsi="仿宋" w:eastAsia="仿宋"/>
          <w:kern w:val="2"/>
          <w:sz w:val="32"/>
          <w:szCs w:val="32"/>
          <w:highlight w:val="none"/>
        </w:rPr>
        <w:t>5.负责科学管理、合理使用学校的设施和经费，并积极筹措资金，改善办学条件。</w:t>
      </w:r>
    </w:p>
    <w:p>
      <w:pPr>
        <w:pStyle w:val="4"/>
        <w:adjustRightInd w:val="0"/>
        <w:spacing w:beforeLines="0" w:line="500" w:lineRule="exact"/>
        <w:ind w:firstLine="640" w:firstLineChars="200"/>
        <w:outlineLvl w:val="2"/>
        <w:rPr>
          <w:rFonts w:hint="eastAsia" w:ascii="仿宋" w:hAnsi="仿宋" w:eastAsia="仿宋"/>
          <w:kern w:val="2"/>
          <w:sz w:val="32"/>
          <w:szCs w:val="32"/>
          <w:highlight w:val="none"/>
        </w:rPr>
      </w:pPr>
      <w:r>
        <w:rPr>
          <w:rFonts w:hint="eastAsia" w:ascii="仿宋" w:hAnsi="仿宋" w:eastAsia="仿宋"/>
          <w:kern w:val="2"/>
          <w:sz w:val="32"/>
          <w:szCs w:val="32"/>
          <w:highlight w:val="none"/>
        </w:rPr>
        <w:t>6.负责维护学校、师生的合法权益，有权拒绝任何组织和个人对教育教学活动进行非法干扰。</w:t>
      </w:r>
    </w:p>
    <w:p>
      <w:pPr>
        <w:pStyle w:val="4"/>
        <w:adjustRightInd w:val="0"/>
        <w:spacing w:beforeLines="0" w:line="500" w:lineRule="exact"/>
        <w:ind w:firstLine="640" w:firstLineChars="200"/>
        <w:outlineLvl w:val="2"/>
        <w:rPr>
          <w:rFonts w:hint="eastAsia" w:ascii="仿宋" w:hAnsi="仿宋" w:eastAsia="仿宋"/>
          <w:kern w:val="2"/>
          <w:sz w:val="32"/>
          <w:szCs w:val="32"/>
          <w:highlight w:val="none"/>
        </w:rPr>
      </w:pPr>
      <w:r>
        <w:rPr>
          <w:rFonts w:hint="eastAsia" w:ascii="仿宋" w:hAnsi="仿宋" w:eastAsia="仿宋"/>
          <w:kern w:val="2"/>
          <w:sz w:val="32"/>
          <w:szCs w:val="32"/>
          <w:highlight w:val="none"/>
        </w:rPr>
        <w:t>7.负责创建绿色校园、文明校园和平安校园、和谐校园。</w:t>
      </w:r>
    </w:p>
    <w:p>
      <w:pPr>
        <w:pStyle w:val="4"/>
        <w:adjustRightInd w:val="0"/>
        <w:spacing w:beforeLines="0" w:line="500" w:lineRule="exact"/>
        <w:ind w:firstLine="640" w:firstLineChars="200"/>
        <w:outlineLvl w:val="2"/>
        <w:rPr>
          <w:rFonts w:hint="eastAsia" w:ascii="仿宋" w:hAnsi="仿宋" w:eastAsia="仿宋"/>
          <w:kern w:val="2"/>
          <w:sz w:val="32"/>
          <w:szCs w:val="32"/>
          <w:highlight w:val="none"/>
        </w:rPr>
      </w:pPr>
      <w:r>
        <w:rPr>
          <w:rFonts w:hint="eastAsia" w:ascii="仿宋" w:hAnsi="仿宋" w:eastAsia="仿宋"/>
          <w:kern w:val="2"/>
          <w:sz w:val="32"/>
          <w:szCs w:val="32"/>
          <w:highlight w:val="none"/>
        </w:rPr>
        <w:t>8.依法制定本校教师及其他职工</w:t>
      </w:r>
      <w:r>
        <w:rPr>
          <w:rFonts w:hint="eastAsia" w:ascii="仿宋" w:hAnsi="仿宋" w:eastAsia="仿宋"/>
          <w:kern w:val="2"/>
          <w:sz w:val="32"/>
          <w:szCs w:val="32"/>
          <w:highlight w:val="none"/>
          <w:lang w:eastAsia="zh-CN"/>
        </w:rPr>
        <w:t>聘</w:t>
      </w:r>
      <w:r>
        <w:rPr>
          <w:rFonts w:hint="eastAsia" w:ascii="仿宋" w:hAnsi="仿宋" w:eastAsia="仿宋"/>
          <w:kern w:val="2"/>
          <w:sz w:val="32"/>
          <w:szCs w:val="32"/>
          <w:highlight w:val="none"/>
        </w:rPr>
        <w:t>任办法并对教师及其他员工实施包括奖励、处分在内的具体管理活动。</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9.承办上级交办的其他事项。</w:t>
      </w:r>
    </w:p>
    <w:p>
      <w:pPr>
        <w:pStyle w:val="10"/>
        <w:keepNext w:val="0"/>
        <w:keepLines w:val="0"/>
        <w:pageBreakBefore w:val="0"/>
        <w:widowControl/>
        <w:kinsoku/>
        <w:wordWrap/>
        <w:overflowPunct/>
        <w:topLinePunct w:val="0"/>
        <w:autoSpaceDE/>
        <w:autoSpaceDN/>
        <w:bidi w:val="0"/>
        <w:adjustRightInd/>
        <w:snapToGrid/>
        <w:spacing w:before="120" w:line="600" w:lineRule="exact"/>
        <w:ind w:firstLine="643" w:firstLineChars="200"/>
        <w:textAlignment w:val="auto"/>
        <w:outlineLvl w:val="1"/>
        <w:rPr>
          <w:rFonts w:hint="eastAsia" w:eastAsia="楷体_GB2312"/>
          <w:b/>
          <w:sz w:val="32"/>
          <w:szCs w:val="32"/>
          <w:highlight w:val="none"/>
        </w:rPr>
      </w:pPr>
      <w:bookmarkStart w:id="4" w:name="_Toc17145"/>
      <w:r>
        <w:rPr>
          <w:rFonts w:ascii="楷体_GB2312" w:hAnsi="微软雅黑" w:eastAsia="楷体_GB2312" w:cs="楷体_GB2312"/>
          <w:b/>
          <w:sz w:val="32"/>
          <w:szCs w:val="32"/>
          <w:highlight w:val="none"/>
        </w:rPr>
        <w:t>（二）</w:t>
      </w:r>
      <w:r>
        <w:rPr>
          <w:rFonts w:hint="eastAsia" w:ascii="楷体_GB2312" w:hAnsi="微软雅黑" w:eastAsia="楷体_GB2312" w:cs="楷体_GB2312"/>
          <w:b/>
          <w:sz w:val="32"/>
          <w:szCs w:val="32"/>
          <w:highlight w:val="none"/>
          <w:lang w:val="en-US" w:eastAsia="zh-CN"/>
        </w:rPr>
        <w:t>单位</w:t>
      </w:r>
      <w:r>
        <w:rPr>
          <w:rFonts w:ascii="楷体_GB2312" w:hAnsi="微软雅黑" w:eastAsia="楷体_GB2312" w:cs="楷体_GB2312"/>
          <w:b/>
          <w:sz w:val="32"/>
          <w:szCs w:val="32"/>
          <w:highlight w:val="none"/>
        </w:rPr>
        <w:t>202</w:t>
      </w:r>
      <w:r>
        <w:rPr>
          <w:rFonts w:hint="eastAsia" w:ascii="楷体_GB2312" w:hAnsi="微软雅黑" w:eastAsia="楷体_GB2312" w:cs="楷体_GB2312"/>
          <w:b/>
          <w:sz w:val="32"/>
          <w:szCs w:val="32"/>
          <w:highlight w:val="none"/>
          <w:lang w:val="en-US" w:eastAsia="zh-CN"/>
        </w:rPr>
        <w:t>4</w:t>
      </w:r>
      <w:r>
        <w:rPr>
          <w:rFonts w:ascii="楷体_GB2312" w:hAnsi="微软雅黑" w:eastAsia="楷体_GB2312" w:cs="楷体_GB2312"/>
          <w:b/>
          <w:sz w:val="32"/>
          <w:szCs w:val="32"/>
          <w:highlight w:val="none"/>
        </w:rPr>
        <w:t>年</w:t>
      </w:r>
      <w:r>
        <w:rPr>
          <w:rFonts w:hint="eastAsia" w:ascii="楷体_GB2312" w:hAnsi="微软雅黑" w:eastAsia="楷体_GB2312" w:cs="楷体_GB2312"/>
          <w:b/>
          <w:sz w:val="32"/>
          <w:szCs w:val="32"/>
          <w:highlight w:val="none"/>
          <w:lang w:eastAsia="zh-CN"/>
        </w:rPr>
        <w:t>重</w:t>
      </w:r>
      <w:r>
        <w:rPr>
          <w:rFonts w:hint="eastAsia" w:ascii="楷体_GB2312" w:hAnsi="微软雅黑" w:eastAsia="楷体_GB2312" w:cs="楷体_GB2312"/>
          <w:b/>
          <w:sz w:val="32"/>
          <w:szCs w:val="32"/>
          <w:highlight w:val="none"/>
        </w:rPr>
        <w:t>点</w:t>
      </w:r>
      <w:r>
        <w:rPr>
          <w:rFonts w:ascii="楷体_GB2312" w:hAnsi="微软雅黑" w:eastAsia="楷体_GB2312" w:cs="楷体_GB2312"/>
          <w:b/>
          <w:sz w:val="32"/>
          <w:szCs w:val="32"/>
          <w:highlight w:val="none"/>
        </w:rPr>
        <w:t>工作</w:t>
      </w:r>
      <w:bookmarkEnd w:id="4"/>
    </w:p>
    <w:p>
      <w:pPr>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1</w:t>
      </w:r>
      <w:r>
        <w:rPr>
          <w:rFonts w:ascii="仿宋" w:hAnsi="仿宋" w:eastAsia="仿宋"/>
          <w:sz w:val="32"/>
          <w:szCs w:val="32"/>
          <w:highlight w:val="none"/>
        </w:rPr>
        <w:t>)认真落实免费义务教育政策,确保家庭经济困难学生享受到资助。</w:t>
      </w:r>
    </w:p>
    <w:p>
      <w:pPr>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2</w:t>
      </w:r>
      <w:r>
        <w:rPr>
          <w:rFonts w:ascii="仿宋" w:hAnsi="仿宋" w:eastAsia="仿宋"/>
          <w:sz w:val="32"/>
          <w:szCs w:val="32"/>
          <w:highlight w:val="none"/>
        </w:rPr>
        <w:t>)深化“惜时增效、轻负高效”改革,深入开展打造高效课堂活动,不断提高我校教育教学质量，组织参加高效课堂达标活动,通过活动提高教师教学水平。</w:t>
      </w:r>
    </w:p>
    <w:p>
      <w:pPr>
        <w:ind w:firstLine="640" w:firstLineChars="200"/>
        <w:rPr>
          <w:rFonts w:hint="eastAsia" w:ascii="仿宋" w:hAnsi="仿宋" w:eastAsia="仿宋"/>
          <w:sz w:val="32"/>
          <w:szCs w:val="32"/>
          <w:highlight w:val="none"/>
          <w:lang w:val="en-US" w:eastAsia="zh-CN"/>
        </w:rPr>
      </w:pPr>
      <w:r>
        <w:rPr>
          <w:rFonts w:ascii="仿宋" w:hAnsi="仿宋" w:eastAsia="仿宋"/>
          <w:sz w:val="32"/>
          <w:szCs w:val="32"/>
          <w:highlight w:val="none"/>
        </w:rPr>
        <w:t>(</w:t>
      </w:r>
      <w:r>
        <w:rPr>
          <w:rFonts w:hint="eastAsia" w:ascii="仿宋" w:hAnsi="仿宋" w:eastAsia="仿宋"/>
          <w:sz w:val="32"/>
          <w:szCs w:val="32"/>
          <w:highlight w:val="none"/>
        </w:rPr>
        <w:t>3</w:t>
      </w:r>
      <w:r>
        <w:rPr>
          <w:rFonts w:ascii="仿宋" w:hAnsi="仿宋" w:eastAsia="仿宋"/>
          <w:sz w:val="32"/>
          <w:szCs w:val="32"/>
          <w:highlight w:val="none"/>
        </w:rPr>
        <w:t>)规范办学行为,开齐开足课程,深入推进素质教育</w:t>
      </w:r>
      <w:r>
        <w:rPr>
          <w:rFonts w:hint="eastAsia" w:ascii="仿宋" w:hAnsi="仿宋" w:eastAsia="仿宋"/>
          <w:sz w:val="32"/>
          <w:szCs w:val="32"/>
          <w:highlight w:val="none"/>
          <w:lang w:val="en-US" w:eastAsia="zh-CN"/>
        </w:rPr>
        <w:t>。</w:t>
      </w:r>
    </w:p>
    <w:p>
      <w:pPr>
        <w:ind w:firstLine="640" w:firstLineChars="200"/>
        <w:rPr>
          <w:rFonts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4</w:t>
      </w:r>
      <w:r>
        <w:rPr>
          <w:rFonts w:ascii="仿宋" w:hAnsi="仿宋" w:eastAsia="仿宋"/>
          <w:sz w:val="32"/>
          <w:szCs w:val="32"/>
          <w:highlight w:val="none"/>
        </w:rPr>
        <w:t>)加强教师队伍建设,</w:t>
      </w:r>
      <w:r>
        <w:rPr>
          <w:rFonts w:hint="eastAsia" w:ascii="仿宋" w:hAnsi="仿宋" w:eastAsia="仿宋"/>
          <w:sz w:val="32"/>
          <w:szCs w:val="32"/>
          <w:highlight w:val="none"/>
        </w:rPr>
        <w:t>让</w:t>
      </w:r>
      <w:r>
        <w:rPr>
          <w:rFonts w:ascii="仿宋" w:hAnsi="仿宋" w:eastAsia="仿宋"/>
          <w:sz w:val="32"/>
          <w:szCs w:val="32"/>
          <w:highlight w:val="none"/>
        </w:rPr>
        <w:t>教师</w:t>
      </w:r>
      <w:r>
        <w:rPr>
          <w:rFonts w:hint="eastAsia" w:ascii="仿宋" w:hAnsi="仿宋" w:eastAsia="仿宋"/>
          <w:sz w:val="32"/>
          <w:szCs w:val="32"/>
          <w:highlight w:val="none"/>
        </w:rPr>
        <w:t>积极参加</w:t>
      </w:r>
      <w:r>
        <w:rPr>
          <w:rFonts w:hint="eastAsia" w:ascii="仿宋" w:hAnsi="仿宋" w:eastAsia="仿宋"/>
          <w:sz w:val="32"/>
          <w:szCs w:val="32"/>
          <w:highlight w:val="none"/>
          <w:lang w:eastAsia="zh-CN"/>
        </w:rPr>
        <w:t>各级各类</w:t>
      </w:r>
      <w:r>
        <w:rPr>
          <w:rFonts w:ascii="仿宋" w:hAnsi="仿宋" w:eastAsia="仿宋"/>
          <w:sz w:val="32"/>
          <w:szCs w:val="32"/>
          <w:highlight w:val="none"/>
        </w:rPr>
        <w:t>培训。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23892"/>
      <w:r>
        <w:rPr>
          <w:rFonts w:hint="eastAsia" w:ascii="黑体" w:hAnsi="黑体" w:eastAsia="黑体" w:cs="黑体"/>
          <w:sz w:val="32"/>
          <w:szCs w:val="32"/>
          <w:lang w:val="en-US" w:eastAsia="zh-CN"/>
        </w:rPr>
        <w:t>二、部门预算单位构成</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olor w:val="000000"/>
          <w:sz w:val="32"/>
          <w:szCs w:val="32"/>
          <w:highlight w:val="none"/>
          <w:lang w:val="en-US" w:eastAsia="zh-CN"/>
        </w:rPr>
        <w:t>我单位</w:t>
      </w:r>
      <w:r>
        <w:rPr>
          <w:rFonts w:hint="eastAsia" w:ascii="仿宋" w:hAnsi="仿宋" w:eastAsia="仿宋"/>
          <w:color w:val="000000"/>
          <w:sz w:val="32"/>
          <w:szCs w:val="32"/>
          <w:highlight w:val="none"/>
        </w:rPr>
        <w:t>为广元市昭化区教育局</w:t>
      </w:r>
      <w:r>
        <w:rPr>
          <w:rFonts w:hint="eastAsia" w:ascii="仿宋" w:hAnsi="仿宋" w:eastAsia="仿宋"/>
          <w:color w:val="000000"/>
          <w:sz w:val="32"/>
          <w:szCs w:val="32"/>
          <w:highlight w:val="none"/>
          <w:lang w:val="en-US" w:eastAsia="zh-CN"/>
        </w:rPr>
        <w:t>下</w:t>
      </w:r>
      <w:r>
        <w:rPr>
          <w:rFonts w:hint="eastAsia" w:ascii="仿宋" w:hAnsi="仿宋" w:eastAsia="仿宋"/>
          <w:color w:val="000000"/>
          <w:sz w:val="32"/>
          <w:szCs w:val="32"/>
          <w:highlight w:val="none"/>
        </w:rPr>
        <w:t>属的二级预算单位，</w:t>
      </w:r>
      <w:r>
        <w:rPr>
          <w:rFonts w:hint="eastAsia" w:ascii="仿宋_GB2312" w:hAnsi="仿宋_GB2312" w:eastAsia="仿宋_GB2312" w:cs="仿宋_GB2312"/>
          <w:sz w:val="32"/>
          <w:szCs w:val="32"/>
          <w:lang w:val="en-US" w:eastAsia="zh-CN"/>
        </w:rPr>
        <w:t>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30506"/>
      <w:r>
        <w:rPr>
          <w:rFonts w:hint="eastAsia" w:ascii="黑体" w:hAnsi="黑体" w:eastAsia="黑体" w:cs="黑体"/>
          <w:sz w:val="32"/>
          <w:szCs w:val="32"/>
          <w:lang w:val="en-US" w:eastAsia="zh-CN"/>
        </w:rPr>
        <w:t>三、收支预算情况说明</w:t>
      </w:r>
      <w:bookmarkEnd w:id="6"/>
    </w:p>
    <w:p>
      <w:pPr>
        <w:pStyle w:val="10"/>
        <w:widowControl/>
        <w:spacing w:before="120" w:line="576" w:lineRule="exact"/>
        <w:ind w:firstLine="645"/>
        <w:rPr>
          <w:rFonts w:hint="default"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按照综合预算的原则，我单位所有收入和支出均纳入部门预算管理。收入包括：一般公共预算拨款收入；支出包括：教育支出。我单位2024年收支预算总数281.21万元,比2023年收支预算总数减少16.62万元，</w:t>
      </w:r>
      <w:r>
        <w:rPr>
          <w:rFonts w:ascii="仿宋" w:hAnsi="仿宋" w:eastAsia="仿宋" w:cs="Times New Roman"/>
          <w:color w:val="auto"/>
          <w:kern w:val="2"/>
          <w:sz w:val="32"/>
          <w:szCs w:val="32"/>
          <w:highlight w:val="none"/>
          <w:lang w:val="en-US" w:eastAsia="zh-CN" w:bidi="ar-SA"/>
        </w:rPr>
        <w:t>主要原因是</w:t>
      </w:r>
      <w:r>
        <w:rPr>
          <w:rFonts w:hint="eastAsia" w:ascii="仿宋" w:hAnsi="仿宋" w:eastAsia="仿宋" w:cs="Times New Roman"/>
          <w:color w:val="auto"/>
          <w:kern w:val="2"/>
          <w:sz w:val="32"/>
          <w:szCs w:val="32"/>
          <w:highlight w:val="none"/>
          <w:lang w:val="en-US" w:eastAsia="zh-CN" w:bidi="ar-SA"/>
        </w:rPr>
        <w:t>基本支出减少即在编</w:t>
      </w:r>
      <w:r>
        <w:rPr>
          <w:rFonts w:ascii="仿宋" w:hAnsi="仿宋" w:eastAsia="仿宋" w:cs="Times New Roman"/>
          <w:color w:val="auto"/>
          <w:kern w:val="2"/>
          <w:sz w:val="32"/>
          <w:szCs w:val="32"/>
          <w:highlight w:val="none"/>
          <w:lang w:val="en-US" w:eastAsia="zh-CN" w:bidi="ar-SA"/>
        </w:rPr>
        <w:t>人员</w:t>
      </w:r>
      <w:r>
        <w:rPr>
          <w:rFonts w:hint="eastAsia" w:ascii="仿宋" w:hAnsi="仿宋" w:eastAsia="仿宋" w:cs="Times New Roman"/>
          <w:color w:val="auto"/>
          <w:kern w:val="2"/>
          <w:sz w:val="32"/>
          <w:szCs w:val="32"/>
          <w:highlight w:val="none"/>
          <w:lang w:val="en-US" w:eastAsia="zh-CN" w:bidi="ar-SA"/>
        </w:rPr>
        <w:t>减少，工资福利支出相应减少</w:t>
      </w:r>
      <w:r>
        <w:rPr>
          <w:rFonts w:ascii="仿宋" w:hAnsi="仿宋" w:eastAsia="仿宋" w:cs="Times New Roman"/>
          <w:color w:val="auto"/>
          <w:kern w:val="2"/>
          <w:sz w:val="32"/>
          <w:szCs w:val="32"/>
          <w:highlight w:val="none"/>
          <w:lang w:val="en-US" w:eastAsia="zh-CN" w:bidi="ar-SA"/>
        </w:rPr>
        <w:t>。</w:t>
      </w:r>
      <w:r>
        <w:rPr>
          <w:rFonts w:hint="default" w:ascii="仿宋" w:hAnsi="仿宋" w:eastAsia="仿宋" w:cs="Times New Roman"/>
          <w:color w:val="auto"/>
          <w:kern w:val="2"/>
          <w:sz w:val="32"/>
          <w:szCs w:val="32"/>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9873"/>
      <w:r>
        <w:rPr>
          <w:rFonts w:hint="eastAsia" w:ascii="楷体_GB2312" w:hAnsi="楷体_GB2312" w:eastAsia="楷体_GB2312" w:cs="楷体_GB2312"/>
          <w:sz w:val="32"/>
          <w:szCs w:val="32"/>
          <w:lang w:val="en-US" w:eastAsia="zh-CN"/>
        </w:rPr>
        <w:t>（一）收入预算情况</w:t>
      </w:r>
      <w:bookmarkEnd w:id="7"/>
    </w:p>
    <w:p>
      <w:pPr>
        <w:pStyle w:val="10"/>
        <w:widowControl/>
        <w:spacing w:before="120" w:line="576" w:lineRule="exact"/>
        <w:ind w:firstLine="645"/>
        <w:rPr>
          <w:rFonts w:hint="eastAsia" w:ascii="仿宋_GB2312" w:hAnsi="Times New Roman" w:eastAsia="仿宋_GB2312" w:cs="仿宋_GB2312"/>
          <w:color w:val="333333"/>
          <w:kern w:val="0"/>
          <w:sz w:val="32"/>
          <w:szCs w:val="32"/>
          <w:highlight w:val="none"/>
          <w:shd w:val="clear" w:color="auto" w:fill="FFFFFF"/>
          <w:lang w:bidi="ar"/>
        </w:rPr>
      </w:pPr>
      <w:r>
        <w:rPr>
          <w:rFonts w:hint="eastAsia" w:ascii="仿宋" w:hAnsi="仿宋" w:eastAsia="仿宋" w:cs="Times New Roman"/>
          <w:color w:val="auto"/>
          <w:kern w:val="2"/>
          <w:sz w:val="32"/>
          <w:szCs w:val="32"/>
          <w:highlight w:val="none"/>
          <w:lang w:val="en-US" w:eastAsia="zh-CN" w:bidi="ar-SA"/>
        </w:rPr>
        <w:t>陈江小学2024年收入预算281.21万元，其中：一般公共预算拨款收入281.21万元，占100%。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580"/>
      <w:r>
        <w:rPr>
          <w:rFonts w:hint="eastAsia" w:ascii="楷体_GB2312" w:hAnsi="楷体_GB2312" w:eastAsia="楷体_GB2312" w:cs="楷体_GB2312"/>
          <w:sz w:val="32"/>
          <w:szCs w:val="32"/>
          <w:lang w:val="en-US" w:eastAsia="zh-CN"/>
        </w:rPr>
        <w:t>（二）支出预算情况</w:t>
      </w:r>
      <w:bookmarkEnd w:id="8"/>
    </w:p>
    <w:p>
      <w:pPr>
        <w:pStyle w:val="10"/>
        <w:widowControl/>
        <w:spacing w:before="120" w:line="576" w:lineRule="exact"/>
        <w:ind w:firstLine="645"/>
        <w:rPr>
          <w:rFonts w:ascii="Times New Roman" w:hAnsi="Times New Roman" w:eastAsia="仿宋_GB2312"/>
          <w:sz w:val="32"/>
          <w:szCs w:val="32"/>
          <w:highlight w:val="none"/>
        </w:rPr>
      </w:pPr>
      <w:r>
        <w:rPr>
          <w:rFonts w:hint="eastAsia" w:ascii="仿宋_GB2312" w:hAnsi="Times New Roman" w:eastAsia="仿宋_GB2312" w:cs="仿宋_GB2312"/>
          <w:color w:val="333333"/>
          <w:kern w:val="0"/>
          <w:sz w:val="32"/>
          <w:szCs w:val="32"/>
          <w:highlight w:val="none"/>
          <w:shd w:val="clear" w:color="auto" w:fill="FFFFFF"/>
          <w:lang w:eastAsia="zh-CN" w:bidi="ar"/>
        </w:rPr>
        <w:t>陈江小学</w:t>
      </w:r>
      <w:r>
        <w:rPr>
          <w:rFonts w:hint="eastAsia" w:ascii="仿宋_GB2312" w:hAnsi="Times New Roman" w:eastAsia="仿宋_GB2312" w:cs="仿宋_GB2312"/>
          <w:color w:val="333333"/>
          <w:kern w:val="0"/>
          <w:sz w:val="32"/>
          <w:szCs w:val="32"/>
          <w:highlight w:val="none"/>
          <w:shd w:val="clear" w:color="auto" w:fill="FFFFFF"/>
          <w:lang w:bidi="ar"/>
        </w:rPr>
        <w:t>202</w:t>
      </w:r>
      <w:r>
        <w:rPr>
          <w:rFonts w:hint="eastAsia" w:ascii="仿宋_GB2312" w:hAnsi="Times New Roman" w:eastAsia="仿宋_GB2312" w:cs="仿宋_GB2312"/>
          <w:color w:val="333333"/>
          <w:kern w:val="0"/>
          <w:sz w:val="32"/>
          <w:szCs w:val="32"/>
          <w:highlight w:val="none"/>
          <w:shd w:val="clear" w:color="auto" w:fill="FFFFFF"/>
          <w:lang w:val="en-US" w:eastAsia="zh-CN" w:bidi="ar"/>
        </w:rPr>
        <w:t>4</w:t>
      </w:r>
      <w:r>
        <w:rPr>
          <w:rFonts w:hint="eastAsia" w:ascii="仿宋_GB2312" w:hAnsi="Times New Roman" w:eastAsia="仿宋_GB2312" w:cs="仿宋_GB2312"/>
          <w:color w:val="333333"/>
          <w:kern w:val="0"/>
          <w:sz w:val="32"/>
          <w:szCs w:val="32"/>
          <w:highlight w:val="none"/>
          <w:shd w:val="clear" w:color="auto" w:fill="FFFFFF"/>
          <w:lang w:bidi="ar"/>
        </w:rPr>
        <w:t>年支出预算</w:t>
      </w:r>
      <w:r>
        <w:rPr>
          <w:rFonts w:hint="eastAsia" w:ascii="Times New Roman" w:hAnsi="Times New Roman" w:eastAsia="仿宋_GB2312"/>
          <w:color w:val="333333"/>
          <w:kern w:val="0"/>
          <w:sz w:val="32"/>
          <w:szCs w:val="32"/>
          <w:highlight w:val="none"/>
          <w:shd w:val="clear" w:color="auto" w:fill="FFFFFF"/>
          <w:lang w:val="en-US" w:eastAsia="zh-CN" w:bidi="ar"/>
        </w:rPr>
        <w:t>281.21</w:t>
      </w:r>
      <w:r>
        <w:rPr>
          <w:rFonts w:hint="eastAsia" w:ascii="仿宋_GB2312" w:hAnsi="Times New Roman" w:eastAsia="仿宋_GB2312" w:cs="仿宋_GB2312"/>
          <w:color w:val="333333"/>
          <w:kern w:val="0"/>
          <w:sz w:val="32"/>
          <w:szCs w:val="32"/>
          <w:highlight w:val="none"/>
          <w:shd w:val="clear" w:color="auto" w:fill="FFFFFF"/>
          <w:lang w:bidi="ar"/>
        </w:rPr>
        <w:t>万元，其中：基本支出</w:t>
      </w:r>
      <w:r>
        <w:rPr>
          <w:rFonts w:hint="eastAsia" w:ascii="Times New Roman" w:hAnsi="Times New Roman" w:eastAsia="仿宋_GB2312"/>
          <w:color w:val="333333"/>
          <w:kern w:val="0"/>
          <w:sz w:val="32"/>
          <w:szCs w:val="32"/>
          <w:highlight w:val="none"/>
          <w:shd w:val="clear" w:color="auto" w:fill="FFFFFF"/>
          <w:lang w:val="en-US" w:eastAsia="zh-CN" w:bidi="ar"/>
        </w:rPr>
        <w:t>256.11</w:t>
      </w:r>
      <w:r>
        <w:rPr>
          <w:rFonts w:hint="eastAsia" w:ascii="仿宋_GB2312" w:hAnsi="Times New Roman" w:eastAsia="仿宋_GB2312" w:cs="仿宋_GB2312"/>
          <w:color w:val="333333"/>
          <w:kern w:val="0"/>
          <w:sz w:val="32"/>
          <w:szCs w:val="32"/>
          <w:highlight w:val="none"/>
          <w:shd w:val="clear" w:color="auto" w:fill="FFFFFF"/>
          <w:lang w:bidi="ar"/>
        </w:rPr>
        <w:t>万元，占</w:t>
      </w:r>
      <w:r>
        <w:rPr>
          <w:rFonts w:hint="eastAsia" w:ascii="Times New Roman" w:hAnsi="Times New Roman" w:eastAsia="仿宋_GB2312"/>
          <w:color w:val="333333"/>
          <w:kern w:val="0"/>
          <w:sz w:val="32"/>
          <w:szCs w:val="32"/>
          <w:highlight w:val="none"/>
          <w:shd w:val="clear" w:color="auto" w:fill="FFFFFF"/>
          <w:lang w:bidi="ar"/>
        </w:rPr>
        <w:t>91</w:t>
      </w:r>
      <w:r>
        <w:rPr>
          <w:rFonts w:hint="eastAsia" w:ascii="仿宋_GB2312" w:hAnsi="Times New Roman" w:eastAsia="仿宋_GB2312" w:cs="仿宋_GB2312"/>
          <w:color w:val="333333"/>
          <w:kern w:val="0"/>
          <w:sz w:val="32"/>
          <w:szCs w:val="32"/>
          <w:highlight w:val="none"/>
          <w:shd w:val="clear" w:color="auto" w:fill="FFFFFF"/>
          <w:lang w:bidi="ar"/>
        </w:rPr>
        <w:t>%；项目支出</w:t>
      </w:r>
      <w:r>
        <w:rPr>
          <w:rFonts w:hint="eastAsia" w:ascii="Times New Roman" w:hAnsi="Times New Roman" w:eastAsia="仿宋_GB2312"/>
          <w:color w:val="333333"/>
          <w:kern w:val="0"/>
          <w:sz w:val="32"/>
          <w:szCs w:val="32"/>
          <w:highlight w:val="none"/>
          <w:shd w:val="clear" w:color="auto" w:fill="FFFFFF"/>
          <w:lang w:val="en-US" w:eastAsia="zh-CN" w:bidi="ar"/>
        </w:rPr>
        <w:t>25.1</w:t>
      </w:r>
      <w:r>
        <w:rPr>
          <w:rFonts w:hint="eastAsia" w:ascii="仿宋_GB2312" w:hAnsi="Times New Roman" w:eastAsia="仿宋_GB2312" w:cs="仿宋_GB2312"/>
          <w:color w:val="333333"/>
          <w:kern w:val="0"/>
          <w:sz w:val="32"/>
          <w:szCs w:val="32"/>
          <w:highlight w:val="none"/>
          <w:shd w:val="clear" w:color="auto" w:fill="FFFFFF"/>
          <w:lang w:bidi="ar"/>
        </w:rPr>
        <w:t>万元，占</w:t>
      </w:r>
      <w:r>
        <w:rPr>
          <w:rFonts w:hint="eastAsia" w:ascii="Times New Roman" w:hAnsi="Times New Roman" w:eastAsia="仿宋_GB2312"/>
          <w:color w:val="333333"/>
          <w:kern w:val="0"/>
          <w:sz w:val="32"/>
          <w:szCs w:val="32"/>
          <w:highlight w:val="none"/>
          <w:shd w:val="clear" w:color="auto" w:fill="FFFFFF"/>
          <w:lang w:bidi="ar"/>
        </w:rPr>
        <w:t>9</w:t>
      </w:r>
      <w:r>
        <w:rPr>
          <w:rFonts w:hint="eastAsia" w:ascii="仿宋_GB2312" w:hAnsi="Times New Roman" w:eastAsia="仿宋_GB2312" w:cs="仿宋_GB2312"/>
          <w:color w:val="333333"/>
          <w:kern w:val="0"/>
          <w:sz w:val="32"/>
          <w:szCs w:val="32"/>
          <w:highlight w:val="none"/>
          <w:shd w:val="clear" w:color="auto" w:fill="FFFFFF"/>
          <w:lang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4214"/>
      <w:r>
        <w:rPr>
          <w:rFonts w:hint="eastAsia" w:ascii="黑体" w:hAnsi="黑体" w:eastAsia="黑体" w:cs="黑体"/>
          <w:sz w:val="32"/>
          <w:szCs w:val="32"/>
          <w:lang w:val="en-US" w:eastAsia="zh-CN"/>
        </w:rPr>
        <w:t>四、财政拨款收支预算情况说明</w:t>
      </w:r>
      <w:bookmarkEnd w:id="9"/>
    </w:p>
    <w:p>
      <w:pP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陈江小学2024年财政拨款收支总预算281.21万元,比2023年财政拨款收支总预算减少16.62万元，扣除上年结转资金、一次性安排等因素后，同口径减少16.62万元，主要原因是人员减少，工资福利支出相应减少。</w:t>
      </w:r>
    </w:p>
    <w:p>
      <w:pPr>
        <w:spacing w:line="600" w:lineRule="exact"/>
        <w:ind w:firstLine="640" w:firstLineChars="2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收入包括：本年一般公共预算拨款收入281.21万元；支出包括：教育支出281.21万元。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9473"/>
      <w:r>
        <w:rPr>
          <w:rFonts w:hint="eastAsia" w:ascii="黑体" w:hAnsi="黑体" w:eastAsia="黑体" w:cs="黑体"/>
          <w:sz w:val="32"/>
          <w:szCs w:val="32"/>
          <w:lang w:val="en-US" w:eastAsia="zh-CN"/>
        </w:rPr>
        <w:t>五、一般公共预算当年拨款情况说明</w:t>
      </w:r>
      <w:bookmarkEnd w:id="10"/>
    </w:p>
    <w:p>
      <w:pPr>
        <w:pStyle w:val="10"/>
        <w:widowControl/>
        <w:spacing w:before="120" w:line="576" w:lineRule="exact"/>
        <w:ind w:firstLine="645"/>
        <w:outlineLvl w:val="1"/>
        <w:rPr>
          <w:rFonts w:hint="default" w:ascii="Times New Roman" w:hAnsi="Times New Roman" w:cs="Times New Roman"/>
          <w:highlight w:val="none"/>
        </w:rPr>
      </w:pPr>
      <w:bookmarkStart w:id="11" w:name="_Toc8106"/>
      <w:r>
        <w:rPr>
          <w:rFonts w:hint="default" w:ascii="Times New Roman" w:hAnsi="Times New Roman" w:eastAsia="楷体_GB2312" w:cs="Times New Roman"/>
          <w:sz w:val="31"/>
          <w:szCs w:val="31"/>
          <w:highlight w:val="none"/>
        </w:rPr>
        <w:t>（一）一般公共预算当年拨款规模变化情况</w:t>
      </w:r>
      <w:bookmarkEnd w:id="11"/>
    </w:p>
    <w:p>
      <w:pPr>
        <w:spacing w:line="600" w:lineRule="exact"/>
        <w:ind w:firstLine="640" w:firstLineChars="200"/>
        <w:rPr>
          <w:rFonts w:hint="eastAsia" w:ascii="仿宋" w:hAnsi="仿宋" w:eastAsia="仿宋" w:cs="Times New Roman"/>
          <w:kern w:val="2"/>
          <w:sz w:val="32"/>
          <w:szCs w:val="32"/>
          <w:highlight w:val="none"/>
          <w:lang w:val="en-US" w:eastAsia="zh-CN" w:bidi="ar-SA"/>
        </w:rPr>
      </w:pPr>
      <w:r>
        <w:rPr>
          <w:rFonts w:hint="eastAsia" w:ascii="仿宋" w:hAnsi="仿宋" w:eastAsia="仿宋" w:cs="Times New Roman"/>
          <w:kern w:val="2"/>
          <w:sz w:val="32"/>
          <w:szCs w:val="32"/>
          <w:highlight w:val="none"/>
          <w:lang w:val="en-US" w:eastAsia="zh-CN" w:bidi="ar-SA"/>
        </w:rPr>
        <w:t>陈江小学2024年一般公共预算当年拨款281.21万元，比2023年预算数减少16.62万元，主要原因是人员减少，</w:t>
      </w:r>
      <w:r>
        <w:rPr>
          <w:rFonts w:hint="eastAsia" w:ascii="Times New Roman" w:hAnsi="Times New Roman" w:eastAsia="仿宋_GB2312" w:cs="Times New Roman"/>
          <w:sz w:val="32"/>
          <w:szCs w:val="32"/>
          <w:highlight w:val="none"/>
          <w:lang w:val="en-US" w:eastAsia="zh-CN"/>
        </w:rPr>
        <w:t>工资福利支出相应减少</w:t>
      </w:r>
      <w:r>
        <w:rPr>
          <w:rFonts w:hint="eastAsia" w:ascii="仿宋" w:hAnsi="仿宋" w:eastAsia="仿宋" w:cs="Times New Roman"/>
          <w:kern w:val="2"/>
          <w:sz w:val="32"/>
          <w:szCs w:val="32"/>
          <w:highlight w:val="none"/>
          <w:lang w:val="en-US" w:eastAsia="zh-CN" w:bidi="ar-SA"/>
        </w:rPr>
        <w:t>。</w:t>
      </w:r>
    </w:p>
    <w:p>
      <w:pPr>
        <w:pStyle w:val="10"/>
        <w:widowControl/>
        <w:spacing w:before="120" w:line="576" w:lineRule="exact"/>
        <w:ind w:firstLine="645"/>
        <w:outlineLvl w:val="1"/>
        <w:rPr>
          <w:rFonts w:hint="default" w:ascii="Times New Roman" w:hAnsi="Times New Roman" w:eastAsia="楷体_GB2312" w:cs="Times New Roman"/>
          <w:sz w:val="31"/>
          <w:szCs w:val="31"/>
          <w:highlight w:val="none"/>
        </w:rPr>
      </w:pPr>
      <w:bookmarkStart w:id="12" w:name="_Toc26046"/>
      <w:r>
        <w:rPr>
          <w:rFonts w:hint="default" w:ascii="Times New Roman" w:hAnsi="Times New Roman" w:eastAsia="楷体_GB2312" w:cs="Times New Roman"/>
          <w:sz w:val="31"/>
          <w:szCs w:val="31"/>
          <w:highlight w:val="none"/>
        </w:rPr>
        <w:t>（二）一般公共预算当年拨款结构情况</w:t>
      </w:r>
      <w:bookmarkEnd w:id="12"/>
    </w:p>
    <w:p>
      <w:pPr>
        <w:pStyle w:val="4"/>
        <w:adjustRightInd w:val="0"/>
        <w:spacing w:beforeLines="0" w:line="500" w:lineRule="exact"/>
        <w:ind w:firstLine="640" w:firstLineChars="200"/>
        <w:outlineLvl w:val="2"/>
        <w:rPr>
          <w:rFonts w:ascii="Times New Roman" w:hAnsi="Times New Roman" w:eastAsia="仿宋_GB2312"/>
          <w:sz w:val="32"/>
          <w:szCs w:val="32"/>
          <w:highlight w:val="none"/>
        </w:rPr>
      </w:pPr>
      <w:r>
        <w:rPr>
          <w:rFonts w:ascii="Times New Roman" w:hAnsi="Times New Roman" w:eastAsia="仿宋_GB2312"/>
          <w:sz w:val="32"/>
          <w:szCs w:val="32"/>
          <w:highlight w:val="none"/>
        </w:rPr>
        <w:t>教</w:t>
      </w:r>
      <w:r>
        <w:rPr>
          <w:rFonts w:hint="eastAsia" w:ascii="仿宋" w:hAnsi="仿宋" w:eastAsia="仿宋" w:cs="Times New Roman"/>
          <w:kern w:val="2"/>
          <w:sz w:val="32"/>
          <w:szCs w:val="32"/>
          <w:highlight w:val="none"/>
        </w:rPr>
        <w:t>育支出</w:t>
      </w:r>
      <w:r>
        <w:rPr>
          <w:rFonts w:hint="eastAsia" w:ascii="仿宋" w:hAnsi="仿宋" w:eastAsia="仿宋" w:cs="Times New Roman"/>
          <w:kern w:val="2"/>
          <w:sz w:val="32"/>
          <w:szCs w:val="32"/>
          <w:highlight w:val="none"/>
          <w:lang w:val="en-US" w:eastAsia="zh-CN"/>
        </w:rPr>
        <w:t>281.21</w:t>
      </w:r>
      <w:r>
        <w:rPr>
          <w:rFonts w:ascii="Times New Roman" w:hAnsi="Times New Roman" w:eastAsia="仿宋_GB2312"/>
          <w:sz w:val="32"/>
          <w:szCs w:val="32"/>
          <w:highlight w:val="none"/>
        </w:rPr>
        <w:t>万元，占</w:t>
      </w:r>
      <w:r>
        <w:rPr>
          <w:rFonts w:hint="eastAsia" w:ascii="Times New Roman" w:hAnsi="Times New Roman" w:eastAsia="仿宋_GB2312"/>
          <w:sz w:val="32"/>
          <w:szCs w:val="32"/>
          <w:highlight w:val="none"/>
        </w:rPr>
        <w:t>100</w:t>
      </w:r>
      <w:r>
        <w:rPr>
          <w:rFonts w:ascii="Times New Roman" w:hAnsi="Times New Roman" w:eastAsia="仿宋_GB2312"/>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5255"/>
      <w:r>
        <w:rPr>
          <w:rFonts w:hint="eastAsia" w:ascii="楷体_GB2312" w:hAnsi="楷体_GB2312" w:eastAsia="楷体_GB2312" w:cs="楷体_GB2312"/>
          <w:sz w:val="32"/>
          <w:szCs w:val="32"/>
          <w:lang w:val="en-US" w:eastAsia="zh-CN"/>
        </w:rPr>
        <w:t>一般公共预算当年拨款具体使用情况</w:t>
      </w:r>
      <w:bookmarkEnd w:id="13"/>
    </w:p>
    <w:p>
      <w:pPr>
        <w:pStyle w:val="10"/>
        <w:widowControl/>
        <w:spacing w:before="120" w:line="576" w:lineRule="exact"/>
        <w:ind w:firstLine="645"/>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教育支出（类）普通教育（款）小学教育（项）202</w:t>
      </w: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rPr>
        <w:t>年预算数为280.71万元</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主要用于：本单位基本支出，包括基本工资、津贴补贴、基础绩效奖等人员经费以及机构运行所需的办公费、印刷费、维修（护）费、工会经费等运行补助经费。</w:t>
      </w:r>
    </w:p>
    <w:p>
      <w:pPr>
        <w:pStyle w:val="10"/>
        <w:widowControl/>
        <w:spacing w:before="120" w:line="576" w:lineRule="exact"/>
        <w:ind w:firstLine="645"/>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rPr>
        <w:t>教育支出（类）普通教育（款）</w:t>
      </w:r>
      <w:r>
        <w:rPr>
          <w:rFonts w:hint="eastAsia" w:ascii="Times New Roman" w:hAnsi="Times New Roman" w:eastAsia="仿宋_GB2312" w:cs="Times New Roman"/>
          <w:sz w:val="32"/>
          <w:szCs w:val="32"/>
          <w:highlight w:val="none"/>
          <w:lang w:val="en-US" w:eastAsia="zh-CN"/>
        </w:rPr>
        <w:t>学前</w:t>
      </w:r>
      <w:r>
        <w:rPr>
          <w:rFonts w:hint="eastAsia" w:ascii="Times New Roman" w:hAnsi="Times New Roman" w:eastAsia="仿宋_GB2312" w:cs="Times New Roman"/>
          <w:sz w:val="32"/>
          <w:szCs w:val="32"/>
          <w:highlight w:val="none"/>
        </w:rPr>
        <w:t>教育（项）202</w:t>
      </w: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0.5</w:t>
      </w:r>
      <w:r>
        <w:rPr>
          <w:rFonts w:hint="eastAsia"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3443"/>
      <w:r>
        <w:rPr>
          <w:rFonts w:hint="eastAsia" w:ascii="黑体" w:hAnsi="黑体" w:eastAsia="黑体" w:cs="黑体"/>
          <w:sz w:val="32"/>
          <w:szCs w:val="32"/>
          <w:lang w:val="en-US" w:eastAsia="zh-CN"/>
        </w:rPr>
        <w:t>六、一般公共预算基本支出情况说明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我单位2024年一般公共预算基本支出256.11万元，其中：</w:t>
      </w:r>
    </w:p>
    <w:p>
      <w:pPr>
        <w:spacing w:line="600" w:lineRule="exact"/>
        <w:ind w:firstLine="640" w:firstLineChars="200"/>
        <w:rPr>
          <w:rFonts w:ascii="Times New Roman" w:hAnsi="Times New Roman" w:eastAsia="仿宋_GB2312"/>
          <w:sz w:val="32"/>
          <w:szCs w:val="32"/>
          <w:highlight w:val="none"/>
        </w:rPr>
      </w:pPr>
      <w:r>
        <w:rPr>
          <w:rFonts w:hint="eastAsia" w:ascii="仿宋_GB2312" w:hAnsi="仿宋_GB2312" w:eastAsia="仿宋_GB2312" w:cs="仿宋_GB2312"/>
          <w:sz w:val="32"/>
          <w:szCs w:val="32"/>
          <w:lang w:val="en-US" w:eastAsia="zh-CN"/>
        </w:rPr>
        <w:t>陈江小学人员经费256.11万元，</w:t>
      </w:r>
      <w:r>
        <w:rPr>
          <w:rFonts w:hint="eastAsia" w:ascii="Times New Roman" w:hAnsi="Times New Roman" w:eastAsia="仿宋_GB2312" w:cs="Times New Roman"/>
          <w:sz w:val="32"/>
          <w:szCs w:val="32"/>
          <w:highlight w:val="none"/>
        </w:rPr>
        <w:t>主要包括：基本工资、津贴补贴、奖金、社会保险缴费、住房公积金等支出。</w:t>
      </w:r>
    </w:p>
    <w:p>
      <w:pPr>
        <w:spacing w:line="600" w:lineRule="exact"/>
        <w:ind w:firstLine="640" w:firstLineChars="200"/>
        <w:rPr>
          <w:rFonts w:hint="eastAsia" w:ascii="仿宋_GB2312" w:hAnsi="仿宋_GB2312" w:eastAsia="仿宋_GB2312" w:cs="仿宋_GB2312"/>
          <w:b/>
          <w:bCs/>
          <w:sz w:val="32"/>
          <w:szCs w:val="32"/>
          <w:highlight w:val="none"/>
          <w:lang w:val="en-US" w:eastAsia="zh-CN"/>
        </w:rPr>
      </w:pPr>
      <w:r>
        <w:rPr>
          <w:rFonts w:ascii="Times New Roman" w:hAnsi="Times New Roman" w:eastAsia="仿宋_GB2312"/>
          <w:sz w:val="32"/>
          <w:szCs w:val="32"/>
          <w:highlight w:val="none"/>
        </w:rPr>
        <w:t>公用经费</w:t>
      </w:r>
      <w:r>
        <w:rPr>
          <w:rFonts w:hint="eastAsia" w:ascii="Times New Roman" w:hAnsi="Times New Roman" w:eastAsia="仿宋_GB2312"/>
          <w:sz w:val="32"/>
          <w:szCs w:val="32"/>
          <w:highlight w:val="none"/>
          <w:lang w:val="en-US" w:eastAsia="zh-CN"/>
        </w:rPr>
        <w:t>0</w:t>
      </w:r>
      <w:r>
        <w:rPr>
          <w:rFonts w:ascii="Times New Roman" w:hAnsi="Times New Roman"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18663"/>
      <w:r>
        <w:rPr>
          <w:rFonts w:hint="eastAsia" w:ascii="黑体" w:hAnsi="黑体" w:eastAsia="黑体" w:cs="黑体"/>
          <w:sz w:val="32"/>
          <w:szCs w:val="32"/>
          <w:lang w:val="en-US" w:eastAsia="zh-CN"/>
        </w:rPr>
        <w:t>七、“三公”经费财政拨款预算安排情况说明</w:t>
      </w:r>
      <w:bookmarkEnd w:id="15"/>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陈江小学</w:t>
      </w:r>
      <w:r>
        <w:rPr>
          <w:rFonts w:hint="eastAsia"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rPr>
        <w:t>年“三公”经费财政拨款预算数</w:t>
      </w:r>
      <w:r>
        <w:rPr>
          <w:rFonts w:hint="eastAsia" w:ascii="Times New Roman" w:hAnsi="Times New Roman" w:eastAsia="仿宋_GB2312" w:cs="Times New Roman"/>
          <w:sz w:val="32"/>
          <w:szCs w:val="32"/>
          <w:highlight w:val="none"/>
          <w:lang w:val="en-US" w:eastAsia="zh-CN"/>
        </w:rPr>
        <w:t>0</w:t>
      </w:r>
      <w:r>
        <w:rPr>
          <w:rFonts w:hint="eastAsia"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7261"/>
      <w:r>
        <w:rPr>
          <w:rFonts w:hint="eastAsia" w:ascii="楷体_GB2312" w:hAnsi="楷体_GB2312" w:eastAsia="楷体_GB2312" w:cs="楷体_GB2312"/>
          <w:sz w:val="32"/>
          <w:szCs w:val="32"/>
          <w:lang w:val="en-US" w:eastAsia="zh-CN"/>
        </w:rPr>
        <w:t>（一）公务接待费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lang w:val="en-US" w:eastAsia="zh-CN"/>
        </w:rPr>
        <w:t>陈江小学</w:t>
      </w:r>
      <w:r>
        <w:rPr>
          <w:rFonts w:hint="eastAsia" w:ascii="Times New Roman" w:hAnsi="Times New Roman" w:eastAsia="仿宋_GB2312" w:cs="Times New Roman"/>
          <w:sz w:val="32"/>
          <w:szCs w:val="32"/>
          <w:highlight w:val="none"/>
          <w:lang w:val="en-US" w:eastAsia="zh-CN"/>
        </w:rPr>
        <w:t>2024年公务接待费与2023年预算减少，</w:t>
      </w:r>
      <w:r>
        <w:rPr>
          <w:rFonts w:hint="eastAsia" w:ascii="Times New Roman" w:hAnsi="Times New Roman" w:eastAsia="仿宋_GB2312" w:cs="Times New Roman"/>
          <w:sz w:val="32"/>
          <w:szCs w:val="32"/>
          <w:highlight w:val="none"/>
          <w:lang w:eastAsia="zh-CN"/>
        </w:rPr>
        <w:t>主要原因是按党中央、国务院关于过“紧日子”和坚持厉行节约和反对铺张浪费的要求，严格执行三公经费压减政策。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11907"/>
      <w:r>
        <w:rPr>
          <w:rFonts w:hint="eastAsia" w:ascii="楷体_GB2312" w:hAnsi="楷体_GB2312" w:eastAsia="楷体_GB2312" w:cs="楷体_GB2312"/>
          <w:sz w:val="32"/>
          <w:szCs w:val="32"/>
          <w:lang w:val="en-US" w:eastAsia="zh-CN"/>
        </w:rPr>
        <w:t>（二）公务用车购置及运行维护费</w:t>
      </w:r>
      <w:bookmarkEnd w:id="17"/>
    </w:p>
    <w:p>
      <w:pPr>
        <w:suppressAutoHyphens/>
        <w:spacing w:line="600" w:lineRule="exact"/>
        <w:ind w:firstLine="640" w:firstLineChars="200"/>
        <w:rPr>
          <w:rFonts w:hint="default" w:eastAsia="仿宋_GB2312"/>
          <w:highlight w:val="none"/>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highlight w:val="none"/>
          <w:lang w:val="en-US" w:eastAsia="zh-CN"/>
        </w:rPr>
        <w:t xml:space="preserve"> </w:t>
      </w:r>
      <w:r>
        <w:rPr>
          <w:rFonts w:hint="eastAsia" w:ascii="Times New Roman" w:hAnsi="Times New Roman" w:eastAsia="仿宋_GB2312" w:cs="Times New Roman"/>
          <w:sz w:val="32"/>
          <w:szCs w:val="32"/>
          <w:highlight w:val="none"/>
          <w:lang w:eastAsia="zh-CN"/>
        </w:rPr>
        <w:t>陈江小学</w:t>
      </w:r>
      <w:r>
        <w:rPr>
          <w:rFonts w:hint="eastAsia" w:ascii="Times New Roman" w:hAnsi="Times New Roman" w:eastAsia="仿宋_GB2312" w:cs="Times New Roman"/>
          <w:sz w:val="32"/>
          <w:szCs w:val="32"/>
          <w:highlight w:val="none"/>
          <w:lang w:val="en-US" w:eastAsia="zh-CN"/>
        </w:rPr>
        <w:t>2024年</w:t>
      </w:r>
      <w:r>
        <w:rPr>
          <w:rFonts w:hint="eastAsia" w:ascii="Times New Roman" w:hAnsi="Times New Roman" w:eastAsia="仿宋_GB2312" w:cs="Times New Roman"/>
          <w:sz w:val="32"/>
          <w:szCs w:val="32"/>
          <w:highlight w:val="none"/>
          <w:lang w:eastAsia="zh-CN"/>
        </w:rPr>
        <w:t>公务用车购置及运行维护费与2023年预算持平。单位现有公务用车0辆。2024年未安排公务用车购置费。2024年安排公务用车运行维护费0万元。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8" w:name="_Toc14011"/>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陈江小学2024年未安排因公出境费用。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30040"/>
      <w:r>
        <w:rPr>
          <w:rFonts w:hint="eastAsia" w:ascii="黑体" w:hAnsi="黑体" w:eastAsia="黑体" w:cs="黑体"/>
          <w:sz w:val="32"/>
          <w:szCs w:val="32"/>
          <w:lang w:val="en-US" w:eastAsia="zh-CN"/>
        </w:rPr>
        <w:t>八、政府性基金预算支出情况说明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b w:val="0"/>
          <w:bCs w:val="0"/>
          <w:kern w:val="2"/>
          <w:sz w:val="32"/>
          <w:szCs w:val="32"/>
          <w:highlight w:val="none"/>
          <w:lang w:val="en-US" w:eastAsia="zh-CN" w:bidi="ar-SA"/>
        </w:rPr>
        <w:t>陈江小学</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22691"/>
      <w:r>
        <w:rPr>
          <w:rFonts w:hint="eastAsia" w:ascii="黑体" w:hAnsi="黑体" w:eastAsia="黑体" w:cs="黑体"/>
          <w:sz w:val="32"/>
          <w:szCs w:val="32"/>
          <w:lang w:val="en-US" w:eastAsia="zh-CN"/>
        </w:rPr>
        <w:t>九、国有资本经营预算支出情况说明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b w:val="0"/>
          <w:bCs w:val="0"/>
          <w:kern w:val="2"/>
          <w:sz w:val="32"/>
          <w:szCs w:val="32"/>
          <w:highlight w:val="none"/>
          <w:lang w:val="en-US" w:eastAsia="zh-CN" w:bidi="ar-SA"/>
        </w:rPr>
        <w:t>陈江小学</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8844"/>
      <w:r>
        <w:rPr>
          <w:rFonts w:hint="eastAsia" w:ascii="黑体" w:hAnsi="黑体" w:eastAsia="黑体" w:cs="黑体"/>
          <w:sz w:val="32"/>
          <w:szCs w:val="32"/>
          <w:lang w:val="en-US" w:eastAsia="zh-CN"/>
        </w:rPr>
        <w:t>十、其他重要事项的情况说明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3798"/>
      <w:r>
        <w:rPr>
          <w:rFonts w:hint="eastAsia" w:ascii="楷体_GB2312" w:hAnsi="楷体_GB2312" w:eastAsia="楷体_GB2312" w:cs="楷体_GB2312"/>
          <w:sz w:val="32"/>
          <w:szCs w:val="32"/>
          <w:lang w:val="en-US" w:eastAsia="zh-CN"/>
        </w:rPr>
        <w:t>（一）机关运行经费</w:t>
      </w:r>
      <w:bookmarkEnd w:id="22"/>
    </w:p>
    <w:p>
      <w:pPr>
        <w:pStyle w:val="10"/>
        <w:widowControl/>
        <w:spacing w:before="120" w:line="576" w:lineRule="exact"/>
        <w:ind w:firstLine="645"/>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w:t>
      </w:r>
      <w:r>
        <w:rPr>
          <w:rFonts w:hint="default" w:ascii="Times New Roman" w:hAnsi="Times New Roman" w:eastAsia="仿宋_GB2312" w:cs="Times New Roman"/>
          <w:kern w:val="2"/>
          <w:sz w:val="32"/>
          <w:szCs w:val="32"/>
          <w:highlight w:val="none"/>
          <w:lang w:val="en-US" w:eastAsia="zh-CN" w:bidi="ar-SA"/>
        </w:rPr>
        <w:t>年，</w:t>
      </w:r>
      <w:r>
        <w:rPr>
          <w:rFonts w:hint="eastAsia" w:ascii="Times New Roman" w:hAnsi="Times New Roman" w:eastAsia="仿宋_GB2312" w:cs="Times New Roman"/>
          <w:kern w:val="2"/>
          <w:sz w:val="32"/>
          <w:szCs w:val="32"/>
          <w:highlight w:val="none"/>
          <w:lang w:val="en-US" w:eastAsia="zh-CN" w:bidi="ar-SA"/>
        </w:rPr>
        <w:t>陈江小学</w:t>
      </w:r>
      <w:r>
        <w:rPr>
          <w:rFonts w:hint="default" w:ascii="Times New Roman" w:hAnsi="Times New Roman" w:eastAsia="仿宋_GB2312" w:cs="Times New Roman"/>
          <w:kern w:val="2"/>
          <w:sz w:val="32"/>
          <w:szCs w:val="32"/>
          <w:highlight w:val="none"/>
          <w:lang w:val="en-US" w:eastAsia="zh-CN" w:bidi="ar-SA"/>
        </w:rPr>
        <w:t>属于公益一类事业单位</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 xml:space="preserve">无机关运行经费。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835"/>
      <w:r>
        <w:rPr>
          <w:rFonts w:hint="eastAsia" w:ascii="楷体_GB2312" w:hAnsi="楷体_GB2312" w:eastAsia="楷体_GB2312" w:cs="楷体_GB2312"/>
          <w:sz w:val="32"/>
          <w:szCs w:val="32"/>
          <w:lang w:val="en-US" w:eastAsia="zh-CN"/>
        </w:rPr>
        <w:t>（二）政府采购情况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202</w:t>
      </w:r>
      <w:r>
        <w:rPr>
          <w:rFonts w:hint="eastAsia" w:ascii="Times New Roman" w:hAnsi="Times New Roman" w:eastAsia="仿宋_GB2312" w:cs="Times New Roman"/>
          <w:kern w:val="2"/>
          <w:sz w:val="32"/>
          <w:szCs w:val="32"/>
          <w:highlight w:val="none"/>
          <w:lang w:val="en-US" w:eastAsia="zh-CN" w:bidi="ar-SA"/>
        </w:rPr>
        <w:t>4</w:t>
      </w:r>
      <w:r>
        <w:rPr>
          <w:rFonts w:hint="default" w:ascii="Times New Roman" w:hAnsi="Times New Roman" w:eastAsia="仿宋_GB2312" w:cs="Times New Roman"/>
          <w:kern w:val="2"/>
          <w:sz w:val="32"/>
          <w:szCs w:val="32"/>
          <w:highlight w:val="none"/>
          <w:lang w:val="en-US" w:eastAsia="zh-CN" w:bidi="ar-SA"/>
        </w:rPr>
        <w:t>年，</w:t>
      </w:r>
      <w:r>
        <w:rPr>
          <w:rFonts w:hint="eastAsia" w:ascii="Times New Roman" w:hAnsi="Times New Roman" w:eastAsia="仿宋_GB2312" w:cs="Times New Roman"/>
          <w:kern w:val="2"/>
          <w:sz w:val="32"/>
          <w:szCs w:val="32"/>
          <w:highlight w:val="none"/>
          <w:lang w:val="en-US" w:eastAsia="zh-CN" w:bidi="ar-SA"/>
        </w:rPr>
        <w:t>陈江小学未安排</w:t>
      </w:r>
      <w:r>
        <w:rPr>
          <w:rFonts w:hint="default" w:ascii="Times New Roman" w:hAnsi="Times New Roman" w:eastAsia="仿宋_GB2312" w:cs="Times New Roman"/>
          <w:kern w:val="2"/>
          <w:sz w:val="32"/>
          <w:szCs w:val="32"/>
          <w:highlight w:val="none"/>
          <w:lang w:val="en-US" w:eastAsia="zh-CN" w:bidi="ar-SA"/>
        </w:rPr>
        <w:t>政府采购</w:t>
      </w:r>
      <w:r>
        <w:rPr>
          <w:rFonts w:hint="eastAsia" w:ascii="Times New Roman" w:hAnsi="Times New Roman" w:eastAsia="仿宋_GB2312" w:cs="Times New Roman"/>
          <w:kern w:val="2"/>
          <w:sz w:val="32"/>
          <w:szCs w:val="32"/>
          <w:highlight w:val="none"/>
          <w:lang w:val="en-US" w:eastAsia="zh-CN" w:bidi="ar-SA"/>
        </w:rPr>
        <w:t>预算拨款的支出</w:t>
      </w:r>
      <w:r>
        <w:rPr>
          <w:rFonts w:hint="default" w:ascii="Times New Roman" w:hAnsi="Times New Roman" w:eastAsia="仿宋_GB2312" w:cs="Times New Roman"/>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3530"/>
      <w:r>
        <w:rPr>
          <w:rFonts w:hint="eastAsia" w:ascii="楷体_GB2312" w:hAnsi="楷体_GB2312" w:eastAsia="楷体_GB2312" w:cs="楷体_GB2312"/>
          <w:sz w:val="32"/>
          <w:szCs w:val="32"/>
          <w:lang w:val="en-US" w:eastAsia="zh-CN"/>
        </w:rPr>
        <w:t>（三）国有资产占有使用情况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截止2023年底，陈江小学共有车辆0辆。单位无价值200万元以上大型设备。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2024年本单位预算未安排购置车辆及单位价值200万元以上大型设备。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5" w:name="_Toc827"/>
      <w:r>
        <w:rPr>
          <w:rFonts w:hint="eastAsia" w:ascii="楷体_GB2312" w:hAnsi="楷体_GB2312" w:eastAsia="楷体_GB2312" w:cs="楷体_GB2312"/>
          <w:sz w:val="32"/>
          <w:szCs w:val="32"/>
          <w:lang w:val="en-US" w:eastAsia="zh-CN"/>
        </w:rPr>
        <w:t>（四）绩效目标设置情况</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2024年我单位开展绩效目标管理的项目3个，涉及预算25.1万元。其中：人员类项目0个，涉及预算0万元；运转类项目3个，涉及预算25.1万元；特定目标类项目0个，涉及预算0万元。因部分项目内容涉密，不予公开。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7706"/>
      <w:r>
        <w:rPr>
          <w:rFonts w:hint="eastAsia" w:ascii="黑体" w:hAnsi="黑体" w:eastAsia="黑体" w:cs="黑体"/>
          <w:sz w:val="32"/>
          <w:szCs w:val="32"/>
          <w:lang w:val="en-US" w:eastAsia="zh-CN"/>
        </w:rPr>
        <w:t>十一、名词解释</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（一）财政拨款收入:指财政当年安排的财政预算收入。按现行管理制度,部门预算中反映的财政拨款包括一般公共预算拨款和政府性基金预算拨款。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（二）事业收入：指事业单位开展专业业务活动及辅助活动所取得的收入。主要为学校根据国家有关部门批准的项目和标准收取的学费、住宿费等。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（三）其他收入：指除上述“一般公共预算拨款收入” “事业收入”等以外的收入。如银行存款利息收入、社会考试服务收入、课时收入等。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（四）教育支出（类）普通教育（款）学前教育（项）：指全区学前教育发展的基本支出，包括基本工资、津贴补贴等人员经费以及办公费、印刷费、水电费等日常公用经费。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（五）教育支出（类）普通教育（款）小学教育（项）：指全区小学教育发展的基本支出，包括基本工资、津贴补贴等人员经费以及办公费、印刷费、水电费等日常公用经费。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（六）社会保障和就业（类）行政事业单位养老支出（款）事业单位离退休（项）：指事业单位离退休人员的支出。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（七）住房保障（类）住房改革支出（款）住房公积金（项）：指按照《住房公积金管理条例》的规定，由单位及其在职职工缴存的长期住房储金。</w:t>
      </w:r>
      <w:r>
        <w:rPr>
          <w:rFonts w:hint="eastAsia" w:ascii="Times New Roman" w:hAnsi="Times New Roman" w:eastAsia="仿宋_GB2312" w:cs="Times New Roman"/>
          <w:kern w:val="2"/>
          <w:sz w:val="32"/>
          <w:szCs w:val="32"/>
          <w:highlight w:val="none"/>
          <w:lang w:val="en-US" w:eastAsia="zh-CN" w:bidi="ar-SA"/>
        </w:rPr>
        <w:br w:type="textWrapping"/>
      </w:r>
      <w:r>
        <w:rPr>
          <w:rFonts w:hint="eastAsia" w:ascii="Times New Roman" w:hAnsi="Times New Roman" w:eastAsia="仿宋_GB2312" w:cs="Times New Roman"/>
          <w:kern w:val="2"/>
          <w:sz w:val="32"/>
          <w:szCs w:val="32"/>
          <w:highlight w:val="none"/>
          <w:lang w:val="en-US" w:eastAsia="zh-CN" w:bidi="ar-SA"/>
        </w:rPr>
        <w:t>　　（八）基本支出：指为保证机构正常运转，完成日常工作任务而发生的人员支出和公用支出。</w:t>
      </w:r>
      <w:r>
        <w:rPr>
          <w:rFonts w:hint="eastAsia" w:ascii="Times New Roman" w:hAnsi="Times New Roman" w:eastAsia="仿宋_GB2312" w:cs="Times New Roman"/>
          <w:kern w:val="2"/>
          <w:sz w:val="32"/>
          <w:szCs w:val="32"/>
          <w:highlight w:val="none"/>
          <w:lang w:val="en-US" w:eastAsia="zh-CN" w:bidi="ar-SA"/>
        </w:rPr>
        <w:br w:type="textWrapping"/>
      </w:r>
      <w:r>
        <w:rPr>
          <w:rFonts w:hint="eastAsia" w:ascii="Times New Roman" w:hAnsi="Times New Roman" w:eastAsia="仿宋_GB2312" w:cs="Times New Roman"/>
          <w:kern w:val="2"/>
          <w:sz w:val="32"/>
          <w:szCs w:val="32"/>
          <w:highlight w:val="none"/>
          <w:lang w:val="en-US" w:eastAsia="zh-CN" w:bidi="ar-SA"/>
        </w:rPr>
        <w:t>　　（九</w:t>
      </w:r>
      <w:bookmarkStart w:id="28" w:name="_GoBack"/>
      <w:bookmarkEnd w:id="28"/>
      <w:r>
        <w:rPr>
          <w:rFonts w:hint="eastAsia" w:ascii="Times New Roman" w:hAnsi="Times New Roman" w:eastAsia="仿宋_GB2312" w:cs="Times New Roman"/>
          <w:kern w:val="2"/>
          <w:sz w:val="32"/>
          <w:szCs w:val="32"/>
          <w:highlight w:val="none"/>
          <w:lang w:val="en-US" w:eastAsia="zh-CN" w:bidi="ar-SA"/>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br w:type="textWrapp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附件：1.预算公开报表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textAlignment w:val="auto"/>
        <w:outlineLvl w:val="1"/>
        <w:rPr>
          <w:rFonts w:hint="eastAsia" w:ascii="仿宋_GB2312" w:hAnsi="仿宋_GB2312" w:eastAsia="仿宋_GB2312" w:cs="仿宋_GB2312"/>
          <w:sz w:val="32"/>
          <w:szCs w:val="32"/>
          <w:lang w:val="en-US" w:eastAsia="zh-CN"/>
        </w:rPr>
      </w:pPr>
      <w:bookmarkStart w:id="27" w:name="_Toc27945"/>
      <w:r>
        <w:rPr>
          <w:rFonts w:hint="eastAsia" w:ascii="仿宋_GB2312" w:hAnsi="仿宋_GB2312" w:eastAsia="仿宋_GB2312" w:cs="仿宋_GB2312"/>
          <w:sz w:val="32"/>
          <w:szCs w:val="32"/>
          <w:lang w:val="en-US" w:eastAsia="zh-CN"/>
        </w:rPr>
        <w:t>2.项目支出绩效目标表</w:t>
      </w:r>
      <w:bookmarkEnd w:id="27"/>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E44FC2"/>
    <w:multiLevelType w:val="singleLevel"/>
    <w:tmpl w:val="38E44FC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100326"/>
    <w:rsid w:val="00AE4E5E"/>
    <w:rsid w:val="00ED1E2A"/>
    <w:rsid w:val="012352D1"/>
    <w:rsid w:val="014B08FF"/>
    <w:rsid w:val="02054297"/>
    <w:rsid w:val="02A12ECC"/>
    <w:rsid w:val="04001ADC"/>
    <w:rsid w:val="05A50F26"/>
    <w:rsid w:val="05BC559D"/>
    <w:rsid w:val="05C84C14"/>
    <w:rsid w:val="07047ECE"/>
    <w:rsid w:val="094D4FD9"/>
    <w:rsid w:val="09D41DD9"/>
    <w:rsid w:val="0B077F8D"/>
    <w:rsid w:val="0C8E2713"/>
    <w:rsid w:val="0CAF268A"/>
    <w:rsid w:val="0DC932D7"/>
    <w:rsid w:val="10E943BC"/>
    <w:rsid w:val="133D279D"/>
    <w:rsid w:val="1743234C"/>
    <w:rsid w:val="19DB2D10"/>
    <w:rsid w:val="1AC27A2C"/>
    <w:rsid w:val="1ACB023D"/>
    <w:rsid w:val="1C33298F"/>
    <w:rsid w:val="1D4806BC"/>
    <w:rsid w:val="1F7BF06F"/>
    <w:rsid w:val="1FB931AC"/>
    <w:rsid w:val="1FC63B1B"/>
    <w:rsid w:val="1FEE4B73"/>
    <w:rsid w:val="21A47E8B"/>
    <w:rsid w:val="21AB746C"/>
    <w:rsid w:val="22C0677D"/>
    <w:rsid w:val="23111551"/>
    <w:rsid w:val="233F7E6C"/>
    <w:rsid w:val="23CE9849"/>
    <w:rsid w:val="24A743A9"/>
    <w:rsid w:val="260B1A8B"/>
    <w:rsid w:val="27392E24"/>
    <w:rsid w:val="27481219"/>
    <w:rsid w:val="27ED75D4"/>
    <w:rsid w:val="28506677"/>
    <w:rsid w:val="2B6366C1"/>
    <w:rsid w:val="2C212804"/>
    <w:rsid w:val="2C372028"/>
    <w:rsid w:val="2C864D5D"/>
    <w:rsid w:val="2C932FD6"/>
    <w:rsid w:val="2DD30621"/>
    <w:rsid w:val="2DE47F8D"/>
    <w:rsid w:val="2E1D349F"/>
    <w:rsid w:val="32465A4A"/>
    <w:rsid w:val="32AA2E28"/>
    <w:rsid w:val="33CF2B46"/>
    <w:rsid w:val="356C2617"/>
    <w:rsid w:val="35B56966"/>
    <w:rsid w:val="36743E79"/>
    <w:rsid w:val="36877708"/>
    <w:rsid w:val="397B146E"/>
    <w:rsid w:val="39C00B55"/>
    <w:rsid w:val="39F304DD"/>
    <w:rsid w:val="3B2C39FD"/>
    <w:rsid w:val="3B3B6D13"/>
    <w:rsid w:val="3C3976F6"/>
    <w:rsid w:val="3C6109FB"/>
    <w:rsid w:val="3E29379B"/>
    <w:rsid w:val="3E8B7FB1"/>
    <w:rsid w:val="3F703557"/>
    <w:rsid w:val="423D15C3"/>
    <w:rsid w:val="43DB6E7E"/>
    <w:rsid w:val="44C45FCB"/>
    <w:rsid w:val="452606C6"/>
    <w:rsid w:val="457C4AF8"/>
    <w:rsid w:val="45857508"/>
    <w:rsid w:val="45E16C19"/>
    <w:rsid w:val="460C7C2A"/>
    <w:rsid w:val="46B5206F"/>
    <w:rsid w:val="46E1545C"/>
    <w:rsid w:val="4A963F66"/>
    <w:rsid w:val="4E1458CD"/>
    <w:rsid w:val="4F365D17"/>
    <w:rsid w:val="51D3784E"/>
    <w:rsid w:val="53217E7B"/>
    <w:rsid w:val="534E343E"/>
    <w:rsid w:val="54244390"/>
    <w:rsid w:val="5454111A"/>
    <w:rsid w:val="54662A63"/>
    <w:rsid w:val="55AC288F"/>
    <w:rsid w:val="565C2507"/>
    <w:rsid w:val="570404A9"/>
    <w:rsid w:val="58064E12"/>
    <w:rsid w:val="59D16D68"/>
    <w:rsid w:val="5AA1498D"/>
    <w:rsid w:val="5B61236E"/>
    <w:rsid w:val="5B6836FC"/>
    <w:rsid w:val="5BFEE015"/>
    <w:rsid w:val="5C5D0189"/>
    <w:rsid w:val="5CD10E2D"/>
    <w:rsid w:val="5CF60894"/>
    <w:rsid w:val="5FA06538"/>
    <w:rsid w:val="60553846"/>
    <w:rsid w:val="61C17D22"/>
    <w:rsid w:val="62A25746"/>
    <w:rsid w:val="63EDCF55"/>
    <w:rsid w:val="63FBFBCF"/>
    <w:rsid w:val="64243F39"/>
    <w:rsid w:val="64373C6C"/>
    <w:rsid w:val="64B4350F"/>
    <w:rsid w:val="64BC64B8"/>
    <w:rsid w:val="65B8702E"/>
    <w:rsid w:val="661E1587"/>
    <w:rsid w:val="662621EA"/>
    <w:rsid w:val="669360FD"/>
    <w:rsid w:val="68C83A2C"/>
    <w:rsid w:val="68FF6A83"/>
    <w:rsid w:val="6BB42046"/>
    <w:rsid w:val="6EC310BB"/>
    <w:rsid w:val="6FBB39A3"/>
    <w:rsid w:val="6FBBC9CF"/>
    <w:rsid w:val="718D5813"/>
    <w:rsid w:val="72035AD5"/>
    <w:rsid w:val="728C1627"/>
    <w:rsid w:val="72BDE561"/>
    <w:rsid w:val="72D66D46"/>
    <w:rsid w:val="73ED4347"/>
    <w:rsid w:val="74D6302D"/>
    <w:rsid w:val="74DB0643"/>
    <w:rsid w:val="760065B4"/>
    <w:rsid w:val="763B3A90"/>
    <w:rsid w:val="78462278"/>
    <w:rsid w:val="7997EA6C"/>
    <w:rsid w:val="7A543372"/>
    <w:rsid w:val="7AEAE675"/>
    <w:rsid w:val="7BAFCE5D"/>
    <w:rsid w:val="7BB51BEE"/>
    <w:rsid w:val="7C523723"/>
    <w:rsid w:val="7D46598C"/>
    <w:rsid w:val="7DFB240B"/>
    <w:rsid w:val="7E0935ED"/>
    <w:rsid w:val="7E9417F3"/>
    <w:rsid w:val="7EE54599"/>
    <w:rsid w:val="7F6A7194"/>
    <w:rsid w:val="7F710522"/>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List"/>
    <w:basedOn w:val="4"/>
    <w:autoRedefine/>
    <w:qFormat/>
    <w:uiPriority w:val="0"/>
  </w:style>
  <w:style w:type="paragraph" w:styleId="9">
    <w:name w:val="toc 2"/>
    <w:basedOn w:val="1"/>
    <w:next w:val="1"/>
    <w:autoRedefine/>
    <w:uiPriority w:val="0"/>
    <w:pPr>
      <w:ind w:left="420" w:leftChars="200"/>
    </w:pPr>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