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3150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广元市昭化区青牛镇小学</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目录</w:t>
      </w:r>
    </w:p>
    <w:sdt>
      <w:sdtPr>
        <w:rPr>
          <w:rFonts w:ascii="宋体" w:hAnsi="宋体" w:eastAsia="宋体" w:cs="Times New Roman"/>
          <w:color w:val="auto"/>
          <w:kern w:val="2"/>
          <w:sz w:val="21"/>
          <w:szCs w:val="24"/>
          <w:lang w:val="en-US" w:eastAsia="zh-CN" w:bidi="ar-SA"/>
        </w:rPr>
        <w:id w:val="147454982"/>
        <w15:color w:val="DBDBDB"/>
        <w:docPartObj>
          <w:docPartGallery w:val="Table of Contents"/>
          <w:docPartUnique/>
        </w:docPartObj>
      </w:sdtPr>
      <w:sdtEndPr>
        <w:rPr>
          <w:rFonts w:hint="default" w:ascii="宋体" w:hAnsi="宋体" w:eastAsia="宋体" w:cs="宋体"/>
          <w:b/>
          <w:i w:val="0"/>
          <w:caps w:val="0"/>
          <w:color w:val="000000" w:themeColor="text1"/>
          <w:spacing w:val="0"/>
          <w:kern w:val="2"/>
          <w:sz w:val="24"/>
          <w:szCs w:val="28"/>
          <w:highlight w:val="none"/>
          <w:shd w:val="clear" w:color="auto" w:fill="FFFFFF"/>
          <w:lang w:val="en-US" w:eastAsia="zh-CN" w:bidi="ar-SA"/>
          <w14:textFill>
            <w14:solidFill>
              <w14:schemeClr w14:val="tx1"/>
            </w14:solidFill>
          </w14:textFill>
        </w:rPr>
      </w:sdtEndPr>
      <w:sdtContent>
        <w:p>
          <w:pPr>
            <w:spacing w:before="0" w:beforeLines="0" w:after="0" w:afterLines="0" w:line="240" w:lineRule="auto"/>
            <w:ind w:left="0" w:leftChars="0" w:right="0" w:rightChars="0" w:firstLine="0" w:firstLineChars="0"/>
            <w:jc w:val="center"/>
            <w:rPr>
              <w:rFonts w:hint="eastAsia" w:ascii="仿宋_GB2312" w:hAnsi="仿宋_GB2312" w:eastAsia="仿宋_GB2312" w:cs="仿宋_GB2312"/>
              <w:sz w:val="32"/>
              <w:szCs w:val="32"/>
            </w:rPr>
          </w:pP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instrText xml:space="preserve">TOC \o "1-2" \h \u </w:instrText>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_Toc28490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一、基本职能及主要工作</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_Toc28490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3</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_Toc21836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职能简介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_Toc21836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_Toc28550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val="en-US"/>
            </w:rPr>
            <w:t>2024</w:t>
          </w:r>
          <w:r>
            <w:rPr>
              <w:rFonts w:hint="eastAsia" w:ascii="仿宋_GB2312" w:hAnsi="仿宋_GB2312" w:eastAsia="仿宋_GB2312" w:cs="仿宋_GB2312"/>
              <w:sz w:val="32"/>
              <w:szCs w:val="32"/>
            </w:rPr>
            <w:t>年重点工作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_Toc28550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_Toc16070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二、部门预算单位构成</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_Toc16070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8</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_Toc12078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三、收支预算情况说明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_Toc12078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8</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_Toc23468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lang w:val="en-US" w:eastAsia="zh-CN"/>
            </w:rPr>
            <w:t>（一）收入预算情况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_Toc23468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_Toc21629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lang w:val="en-US" w:eastAsia="zh-CN"/>
            </w:rPr>
            <w:t>（二）支出预算情况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_Toc21629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_Toc18650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四、财政拨款收支预算情况说明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_Toc18650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8</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_Toc580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五、一般公共预算当年拨款情况说明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_Toc580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9</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_Toc14774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lang w:val="en-US" w:eastAsia="zh-CN"/>
            </w:rPr>
            <w:t>（一）一般公共预算当年拨款规模变化情况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_Toc14774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_Toc12993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lang w:val="en-US" w:eastAsia="zh-CN"/>
            </w:rPr>
            <w:t>（二）一般公共预算当年拨款结构情况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_Toc12993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_Toc18989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lang w:val="en-US" w:eastAsia="zh-CN"/>
            </w:rPr>
            <w:t>（三）一般公共预算当年拨款具体使用情况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_Toc18989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_Toc6700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六、一般公共预算基本支出情况说明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_Toc6700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9</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_Toc19860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七、“三公”经费财政拨款预算安排情况说明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_Toc19860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10</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_Toc22175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lang w:val="en-US" w:eastAsia="zh-CN"/>
            </w:rPr>
            <w:t>（一）公务接待费</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_Toc22175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_Toc26983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lang w:val="en-US" w:eastAsia="zh-CN"/>
            </w:rPr>
            <w:t>（二） 公务用车购置及运行维护费</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_Toc26983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_Toc8258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lang w:val="en-US" w:eastAsia="zh-CN"/>
            </w:rPr>
            <w:t>（三）因公出国（境）经费</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_Toc8258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_Toc839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八、政府性基金预算支出情况说明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_Toc839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10</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_Toc1000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九、国有资本经营预算支出情况说明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_Toc1000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10</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_Toc933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十、其他重要事项的情况说明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_Toc933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10</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_Toc23960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十一、名词解释</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_Toc23960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11</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sdtContent>
    </w:sdt>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eastAsia" w:ascii="黑体" w:hAnsi="黑体" w:eastAsia="黑体" w:cs="黑体"/>
          <w:sz w:val="32"/>
          <w:szCs w:val="32"/>
        </w:rPr>
      </w:pPr>
      <w:bookmarkStart w:id="1" w:name="_Toc28490"/>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1836"/>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4.负责制定学校教育发展规划，并抓好组织实施和落实工作。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7.负责依法制定本校教师及其他职工聘任办法并对教师及其他员工实施包括奖励、处分在内的激励措施。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9.负责维护学校、师生的合法权益，有权拒绝任何组织和个人对教育教学活动进行非法干扰。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28550"/>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以党建工作为引领，建廉洁校园，增强党组织战斗力、活力与凝聚力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sz w:val="32"/>
          <w:szCs w:val="32"/>
          <w:lang w:eastAsia="zh-CN"/>
        </w:rPr>
        <w:t>以政治理论学习武装头脑，加强学习型党组织建设。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以争创先进党组</w:t>
      </w:r>
      <w:r>
        <w:rPr>
          <w:rFonts w:hint="eastAsia" w:ascii="仿宋_GB2312" w:hAnsi="仿宋_GB2312" w:eastAsia="仿宋_GB2312" w:cs="仿宋_GB2312"/>
          <w:b w:val="0"/>
          <w:bCs/>
          <w:sz w:val="32"/>
          <w:szCs w:val="32"/>
          <w:lang w:eastAsia="zh-CN"/>
        </w:rPr>
        <w:t>织为目标，创新党建管理，加强示范性党</w:t>
      </w:r>
      <w:r>
        <w:rPr>
          <w:rFonts w:hint="eastAsia" w:ascii="仿宋_GB2312" w:hAnsi="仿宋_GB2312" w:eastAsia="仿宋_GB2312" w:cs="仿宋_GB2312"/>
          <w:sz w:val="32"/>
          <w:szCs w:val="32"/>
        </w:rPr>
        <w:t>组织建设</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以党建带群团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优化作风行风，加强精神文明建设</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4.认真</w:t>
      </w:r>
      <w:r>
        <w:rPr>
          <w:rFonts w:hint="eastAsia" w:ascii="仿宋_GB2312" w:hAnsi="仿宋_GB2312" w:eastAsia="仿宋_GB2312" w:cs="仿宋_GB2312"/>
          <w:sz w:val="32"/>
          <w:szCs w:val="32"/>
        </w:rPr>
        <w:t>做好党务公开。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sz w:val="32"/>
          <w:szCs w:val="32"/>
        </w:rPr>
        <w:t>以德育为先导，做好学生的行为习惯及礼仪教育</w:t>
      </w:r>
      <w:r>
        <w:rPr>
          <w:rFonts w:hint="eastAsia" w:ascii="仿宋_GB2312" w:hAnsi="仿宋_GB2312" w:eastAsia="仿宋_GB2312" w:cs="仿宋_GB2312"/>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主要是规范语言。要求学生讲普通话，正确使用文明用语，不说脏话、粗话。规范学生日常活动，不在走廊跑跳、不打架，积极参加兴趣小组活动。队列、早操、各种集会做到快、静、齐。开展文明班级和文明学生评选活动，学校加强对学生养成教育专项检查评价，每周一评，每月一小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2.加强科普教育。利用多种形式对学生进行从小讲科学，爱科学的培养，开展好学生的科普知识竞赛活动。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3.继续加强对学生的法治教育，交通安全知识教育，毒品知识教育的主题活动，通过图片展览、观看教育片、召开主题班队会等形式，把这些知识灌输到孩子们心中，培养他们遵纪守法的良好习惯。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4.开展丰富多彩的少先队活动。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5.积极开展各学月主题活动：各月德育工作是学校工作的重要组成部分，我校将严格常规管理，注重养成教育，深入开展各项活动，为构建和谐校园而不懈努力！</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以教学为</w:t>
      </w:r>
      <w:r>
        <w:rPr>
          <w:rFonts w:hint="eastAsia" w:ascii="楷体_GB2312" w:hAnsi="楷体_GB2312" w:eastAsia="楷体_GB2312" w:cs="楷体_GB2312"/>
          <w:b/>
          <w:sz w:val="32"/>
          <w:szCs w:val="32"/>
          <w:lang w:eastAsia="zh-CN"/>
        </w:rPr>
        <w:t>中心</w:t>
      </w:r>
      <w:r>
        <w:rPr>
          <w:rFonts w:hint="eastAsia" w:ascii="楷体_GB2312" w:hAnsi="楷体_GB2312" w:eastAsia="楷体_GB2312" w:cs="楷体_GB2312"/>
          <w:b/>
          <w:sz w:val="32"/>
          <w:szCs w:val="32"/>
        </w:rPr>
        <w:t>，</w:t>
      </w:r>
      <w:r>
        <w:rPr>
          <w:rFonts w:hint="eastAsia" w:ascii="楷体_GB2312" w:hAnsi="楷体_GB2312" w:eastAsia="楷体_GB2312" w:cs="楷体_GB2312"/>
          <w:b/>
          <w:sz w:val="32"/>
          <w:szCs w:val="32"/>
          <w:lang w:eastAsia="zh-CN"/>
        </w:rPr>
        <w:t>努力</w:t>
      </w:r>
      <w:r>
        <w:rPr>
          <w:rFonts w:hint="eastAsia" w:ascii="楷体_GB2312" w:hAnsi="楷体_GB2312" w:eastAsia="楷体_GB2312" w:cs="楷体_GB2312"/>
          <w:b/>
          <w:sz w:val="32"/>
          <w:szCs w:val="32"/>
        </w:rPr>
        <w:t>提升教育质量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加强教导处管理人员自身素质的提高，发挥“研究、指导、服务”的作用。教导处人员要进一步加强理论和业务学习，在教育教学中，以身作则，争做教师的“领头羊”，以“研究”带动“培训”，以“培训”促进“研究”，不断提升自己的业务专业水平，注重研究课堂教学，注重提升全校教学质量，总结方法，归纳策略，从而为教师的成长提供帮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2.强化教学常规管理。加强平时教学六认真的抽查力度，每月中旬抽查，每月末进行全面检查，教导处负责人及“晾晒”工作组员必须到场，存在问题及时指出，以此推动我校教学常规工作稳固、扎实地开展。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3.注重学生学习常规的养成教育，促使学生养成良好的学习习惯，为他们的终身教育打下厚实的基础。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4.加强师资队伍培训力度。扎实开展师徒结对活动，缩短新教师上岗适应期。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5.结合环境综合治理精神，加大学校清洁卫生的管理力度。学校的清洁卫生落实到个人，由各班班主任全权负责。要求学生养成自觉爱护清洁卫生的习惯，做到地面清洁卫生。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6.严格管理各功能室，特别是图书室和实验室的管理。要求图书管理员整理和保管好图书，保证学生每周能借阅到图书并作好登记。实验室管理员要管理好学校的实验器材，做到实验有报告、有记录。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7.通过感恩教育黑板报、感恩教育书信活动等形式，对师生进行感恩教育。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8.加大对各年级的管理和过关考核力度，力争本学期结束学生的综合成绩和各方面的能力比上期有较大的提升。</w:t>
      </w:r>
      <w:r>
        <w:rPr>
          <w:rFonts w:hint="eastAsia" w:ascii="仿宋_GB2312" w:hAnsi="仿宋_GB2312" w:eastAsia="仿宋_GB2312" w:cs="仿宋_GB2312"/>
          <w:sz w:val="32"/>
          <w:szCs w:val="32"/>
        </w:rPr>
        <w:t>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21" w:firstLineChars="100"/>
        <w:textAlignment w:val="auto"/>
        <w:rPr>
          <w:rFonts w:hint="eastAsia" w:ascii="楷体_GB2312" w:hAnsi="楷体_GB2312" w:eastAsia="楷体_GB2312" w:cs="楷体_GB2312"/>
          <w:b/>
          <w:bCs/>
          <w:i w:val="0"/>
          <w:caps w:val="0"/>
          <w:color w:val="333333"/>
          <w:spacing w:val="0"/>
          <w:sz w:val="32"/>
          <w:szCs w:val="32"/>
          <w:shd w:val="clear" w:color="auto" w:fill="FFFFFF"/>
        </w:rPr>
      </w:pPr>
      <w:r>
        <w:rPr>
          <w:rFonts w:hint="eastAsia" w:ascii="楷体_GB2312" w:hAnsi="楷体_GB2312" w:eastAsia="楷体_GB2312" w:cs="楷体_GB2312"/>
          <w:b/>
          <w:bCs/>
          <w:sz w:val="32"/>
          <w:szCs w:val="32"/>
          <w:lang w:val="en-US" w:eastAsia="zh-CN"/>
        </w:rPr>
        <w:t xml:space="preserve"> </w:t>
      </w:r>
      <w:r>
        <w:rPr>
          <w:rFonts w:hint="eastAsia" w:ascii="楷体_GB2312" w:hAnsi="楷体_GB2312" w:eastAsia="楷体_GB2312" w:cs="楷体_GB2312"/>
          <w:b/>
          <w:bCs/>
          <w:sz w:val="32"/>
          <w:szCs w:val="32"/>
          <w:lang w:eastAsia="zh-CN"/>
        </w:rPr>
        <w:t>大力开展</w:t>
      </w:r>
      <w:r>
        <w:rPr>
          <w:rFonts w:hint="eastAsia" w:ascii="楷体_GB2312" w:hAnsi="楷体_GB2312" w:eastAsia="楷体_GB2312" w:cs="楷体_GB2312"/>
          <w:b/>
          <w:bCs/>
          <w:sz w:val="32"/>
          <w:szCs w:val="32"/>
        </w:rPr>
        <w:t>特色</w:t>
      </w:r>
      <w:r>
        <w:rPr>
          <w:rFonts w:hint="eastAsia" w:ascii="楷体_GB2312" w:hAnsi="楷体_GB2312" w:eastAsia="楷体_GB2312" w:cs="楷体_GB2312"/>
          <w:b/>
          <w:bCs/>
          <w:sz w:val="32"/>
          <w:szCs w:val="32"/>
          <w:lang w:eastAsia="zh-CN"/>
        </w:rPr>
        <w:t>教育，</w:t>
      </w:r>
      <w:r>
        <w:rPr>
          <w:rFonts w:hint="eastAsia" w:ascii="楷体_GB2312" w:hAnsi="楷体_GB2312" w:eastAsia="楷体_GB2312" w:cs="楷体_GB2312"/>
          <w:b/>
          <w:bCs/>
          <w:i w:val="0"/>
          <w:caps w:val="0"/>
          <w:color w:val="333333"/>
          <w:spacing w:val="0"/>
          <w:sz w:val="32"/>
          <w:szCs w:val="32"/>
          <w:shd w:val="clear" w:color="auto" w:fill="FFFFFF"/>
        </w:rPr>
        <w:t>落实以人为本，让</w:t>
      </w:r>
      <w:r>
        <w:rPr>
          <w:rFonts w:hint="eastAsia" w:ascii="楷体_GB2312" w:hAnsi="楷体_GB2312" w:eastAsia="楷体_GB2312" w:cs="楷体_GB2312"/>
          <w:b/>
          <w:bCs/>
          <w:i w:val="0"/>
          <w:caps w:val="0"/>
          <w:color w:val="333333"/>
          <w:spacing w:val="0"/>
          <w:sz w:val="32"/>
          <w:szCs w:val="32"/>
          <w:shd w:val="clear" w:color="auto" w:fill="FFFFFF"/>
          <w:lang w:eastAsia="zh-CN"/>
        </w:rPr>
        <w:t>学校</w:t>
      </w:r>
      <w:r>
        <w:rPr>
          <w:rFonts w:hint="eastAsia" w:ascii="楷体_GB2312" w:hAnsi="楷体_GB2312" w:eastAsia="楷体_GB2312" w:cs="楷体_GB2312"/>
          <w:b/>
          <w:bCs/>
          <w:i w:val="0"/>
          <w:caps w:val="0"/>
          <w:color w:val="333333"/>
          <w:spacing w:val="0"/>
          <w:sz w:val="32"/>
          <w:szCs w:val="32"/>
          <w:shd w:val="clear" w:color="auto" w:fill="FFFFFF"/>
        </w:rPr>
        <w:t>充满魅力。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继续</w:t>
      </w:r>
      <w:r>
        <w:rPr>
          <w:rFonts w:hint="eastAsia" w:ascii="仿宋_GB2312" w:hAnsi="仿宋_GB2312" w:eastAsia="仿宋_GB2312" w:cs="仿宋_GB2312"/>
          <w:sz w:val="32"/>
          <w:szCs w:val="32"/>
          <w:lang w:eastAsia="zh-CN"/>
        </w:rPr>
        <w:t>加强</w:t>
      </w:r>
      <w:r>
        <w:rPr>
          <w:rFonts w:hint="eastAsia" w:ascii="仿宋_GB2312" w:hAnsi="仿宋_GB2312" w:eastAsia="仿宋_GB2312" w:cs="仿宋_GB2312"/>
          <w:sz w:val="32"/>
          <w:szCs w:val="32"/>
        </w:rPr>
        <w:t>校园及班级文化建设。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继续开展好大课间体育活动。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继续组织好学生的兴趣小组活动。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21" w:firstLineChars="100"/>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lang w:val="en-US" w:eastAsia="zh-CN"/>
        </w:rPr>
        <w:t xml:space="preserve"> </w:t>
      </w:r>
      <w:r>
        <w:rPr>
          <w:rFonts w:hint="eastAsia" w:ascii="楷体_GB2312" w:hAnsi="楷体_GB2312" w:eastAsia="楷体_GB2312" w:cs="楷体_GB2312"/>
          <w:b/>
          <w:sz w:val="32"/>
          <w:szCs w:val="32"/>
        </w:rPr>
        <w:t>以安全为保障，构建和谐、平安校园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继续</w:t>
      </w:r>
      <w:r>
        <w:rPr>
          <w:rFonts w:hint="eastAsia" w:ascii="仿宋_GB2312" w:hAnsi="仿宋_GB2312" w:eastAsia="仿宋_GB2312" w:cs="仿宋_GB2312"/>
          <w:sz w:val="32"/>
          <w:szCs w:val="32"/>
          <w:lang w:eastAsia="zh-CN"/>
        </w:rPr>
        <w:t>加强</w:t>
      </w:r>
      <w:r>
        <w:rPr>
          <w:rFonts w:hint="eastAsia" w:ascii="仿宋_GB2312" w:hAnsi="仿宋_GB2312" w:eastAsia="仿宋_GB2312" w:cs="仿宋_GB2312"/>
          <w:sz w:val="32"/>
          <w:szCs w:val="32"/>
        </w:rPr>
        <w:t>校园安全网格化管理。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加强路队建设，做好学生上学、放学安全教育工作。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开展好安全教育的班队活动，主题活动、宣传活动。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做好与家长的联络工作，做到信息畅通。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做好门卫及安保工作，确保校园平安。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加强食品卫生安全，严格规范操作流程。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加强学生的自我保护、自我救护能力的培养。</w:t>
      </w:r>
    </w:p>
    <w:p>
      <w:pPr>
        <w:keepNext w:val="0"/>
        <w:keepLines w:val="0"/>
        <w:pageBreakBefore w:val="0"/>
        <w:widowControl w:val="0"/>
        <w:kinsoku/>
        <w:wordWrap/>
        <w:overflowPunct/>
        <w:topLinePunct w:val="0"/>
        <w:autoSpaceDE/>
        <w:autoSpaceDN/>
        <w:bidi w:val="0"/>
        <w:adjustRightInd/>
        <w:snapToGrid/>
        <w:spacing w:line="560" w:lineRule="exact"/>
        <w:ind w:firstLine="321" w:firstLineChars="100"/>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bCs/>
          <w:sz w:val="32"/>
          <w:szCs w:val="32"/>
          <w:lang w:val="en-US" w:eastAsia="zh-CN"/>
        </w:rPr>
        <w:t xml:space="preserve"> </w:t>
      </w:r>
      <w:r>
        <w:rPr>
          <w:rFonts w:hint="eastAsia" w:ascii="楷体_GB2312" w:hAnsi="楷体_GB2312" w:eastAsia="楷体_GB2312" w:cs="楷体_GB2312"/>
          <w:b/>
          <w:sz w:val="32"/>
          <w:szCs w:val="32"/>
        </w:rPr>
        <w:t>以后勤工作为服务，做好师生后勤保障工作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加强学生的营养餐的阳光管理。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严把食品入口关，做到单据合理规范，索票索证齐全。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加强从业人员的培训，持证上岗。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严格规范操作程序，确保食品卫生安全。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做好学校</w:t>
      </w:r>
      <w:r>
        <w:rPr>
          <w:rFonts w:hint="eastAsia" w:ascii="仿宋_GB2312" w:hAnsi="仿宋_GB2312" w:eastAsia="仿宋_GB2312" w:cs="仿宋_GB2312"/>
          <w:sz w:val="32"/>
          <w:szCs w:val="32"/>
          <w:lang w:eastAsia="zh-CN"/>
        </w:rPr>
        <w:t>各项</w:t>
      </w:r>
      <w:r>
        <w:rPr>
          <w:rFonts w:hint="eastAsia" w:ascii="仿宋_GB2312" w:hAnsi="仿宋_GB2312" w:eastAsia="仿宋_GB2312" w:cs="仿宋_GB2312"/>
          <w:sz w:val="32"/>
          <w:szCs w:val="32"/>
        </w:rPr>
        <w:t>统计工作。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做好学生的资助工作，做到公开、公正、公平。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做好学校财产管理工作。</w:t>
      </w:r>
    </w:p>
    <w:p>
      <w:pPr>
        <w:keepNext w:val="0"/>
        <w:keepLines w:val="0"/>
        <w:pageBreakBefore w:val="0"/>
        <w:widowControl w:val="0"/>
        <w:kinsoku/>
        <w:wordWrap/>
        <w:overflowPunct/>
        <w:topLinePunct w:val="0"/>
        <w:autoSpaceDE/>
        <w:autoSpaceDN/>
        <w:bidi w:val="0"/>
        <w:adjustRightInd/>
        <w:snapToGrid/>
        <w:spacing w:line="560" w:lineRule="exact"/>
        <w:ind w:firstLine="321" w:firstLineChars="100"/>
        <w:textAlignment w:val="auto"/>
        <w:rPr>
          <w:rFonts w:hint="eastAsia" w:ascii="黑体" w:hAnsi="黑体" w:eastAsia="黑体" w:cs="黑体"/>
          <w:b/>
          <w:sz w:val="32"/>
          <w:szCs w:val="32"/>
          <w:lang w:eastAsia="zh-CN"/>
        </w:rPr>
      </w:pPr>
      <w:r>
        <w:rPr>
          <w:rFonts w:hint="eastAsia" w:ascii="楷体_GB2312" w:hAnsi="楷体_GB2312" w:eastAsia="楷体_GB2312" w:cs="楷体_GB2312"/>
          <w:b/>
          <w:sz w:val="32"/>
          <w:szCs w:val="32"/>
          <w:lang w:val="en-US" w:eastAsia="zh-CN"/>
        </w:rPr>
        <w:t xml:space="preserve">  </w:t>
      </w:r>
      <w:r>
        <w:rPr>
          <w:rFonts w:hint="eastAsia" w:ascii="仿宋_GB2312" w:hAnsi="仿宋_GB2312" w:eastAsia="仿宋_GB2312" w:cs="仿宋_GB2312"/>
          <w:b/>
          <w:sz w:val="32"/>
          <w:szCs w:val="32"/>
        </w:rPr>
        <w:t>加强财产管理，为学校的教育教学提供良好的物质保障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.学校对各项资金支出做到事前有计划，量入而出。严格执行收支两条线，校长一支笔审批。每一张原始单据要有“四人”（经办人、报账员、分管领导、校长）签字后方可报销，严禁白条子入账。</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加强过程管理，及时统计教育经费使用情况，做到底码清楚，信息准确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每月向校长汇报，为领导合理使用资金提供依据。年底向职工汇报资金使用情况，加强财务监督，支持财会人员的继续培训工作，提高财会人员业务水平，做好财务年审、换证工作。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协同教导处搞好助学金、教科书的发放工作。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在经费使用中应坚持严格按计划用款、专款专用的原则，并自觉接受审计部门的审计，若确需要更改项目，须经</w:t>
      </w:r>
      <w:r>
        <w:rPr>
          <w:rFonts w:hint="eastAsia" w:ascii="仿宋_GB2312" w:hAnsi="仿宋_GB2312" w:eastAsia="仿宋_GB2312" w:cs="仿宋_GB2312"/>
          <w:sz w:val="32"/>
          <w:szCs w:val="32"/>
          <w:lang w:eastAsia="zh-CN"/>
        </w:rPr>
        <w:t>区教育局</w:t>
      </w:r>
      <w:r>
        <w:rPr>
          <w:rFonts w:hint="eastAsia" w:ascii="仿宋_GB2312" w:hAnsi="仿宋_GB2312" w:eastAsia="仿宋_GB2312" w:cs="仿宋_GB2312"/>
          <w:sz w:val="32"/>
          <w:szCs w:val="32"/>
        </w:rPr>
        <w:t>领导签字批准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做好在职及退休教师的福利保险工作，按时</w:t>
      </w:r>
      <w:r>
        <w:rPr>
          <w:rFonts w:hint="eastAsia" w:ascii="仿宋_GB2312" w:hAnsi="仿宋_GB2312" w:eastAsia="仿宋_GB2312" w:cs="仿宋_GB2312"/>
          <w:sz w:val="32"/>
          <w:szCs w:val="32"/>
          <w:lang w:eastAsia="zh-CN"/>
        </w:rPr>
        <w:t>交</w:t>
      </w:r>
      <w:r>
        <w:rPr>
          <w:rFonts w:hint="eastAsia" w:ascii="仿宋_GB2312" w:hAnsi="仿宋_GB2312" w:eastAsia="仿宋_GB2312" w:cs="仿宋_GB2312"/>
          <w:sz w:val="32"/>
          <w:szCs w:val="32"/>
        </w:rPr>
        <w:t>纳教职工五险一金的费用，按时发放工资。</w:t>
      </w:r>
      <w:r>
        <w:rPr>
          <w:rFonts w:hint="eastAsia" w:ascii="仿宋" w:hAnsi="仿宋" w:eastAsia="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rPr>
      </w:pPr>
      <w:r>
        <w:rPr>
          <w:rFonts w:hint="eastAsia" w:ascii="楷体_GB2312" w:hAnsi="楷体_GB2312" w:eastAsia="楷体_GB2312" w:cs="楷体_GB2312"/>
          <w:b/>
          <w:sz w:val="32"/>
          <w:szCs w:val="32"/>
        </w:rPr>
        <w:t>以工会工作为桥梁，做好教师切身利益工作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1.加强师德师风建设，提高教职工的政治思想素质。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加强工会自身建设，维护教职工的合法权益。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加强民主政治建设，提升教代会代表参政议政的能力。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抓好工会常规工作，努力提高工会工作的实效性。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根据实际开展好工会活动，增强教师的凝聚力。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做好校务公开。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16070"/>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我单位为广元市昭化区教育局的下属二级预算单位，本单位无下属机构，属于公益一类事业单位。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2078"/>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青牛小学所有收入和支出均纳入部门预算管理。收入包括：一般公共预算拨款收入；支出包括：教育支出、社会保障和就业支出。青牛小学2024年收支预算总数312.55万元,比2023年收支预算总数减少12.76万元，主要原因是基本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3468"/>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青牛小学2024年收入预算312.55万元，其中：一般公共预算拨款收入312.55万元，占100%。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21629"/>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青牛小学2024年支出预算312.55万元，其中：基本支出287.45万元，占91.97%；项目支出25.1万元，占8.03%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18650"/>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青牛小学2024年财政拨款收支预算总数312.55万元，比2023年财政拨款收支预算总数减少12.76万元，主要原因是基本支出减少。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收入包括：本年一般公共预算拨款收入312.55万元；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支出包括：教育支出252.55万元、社会保障和就业支出60万元。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580"/>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4774"/>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青牛小学2024年一般公共预算当年拨款312.55万元，比2023年预算数减少12.76万元，主要原因是基本支出减少。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2993"/>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教育支出252.55万元，占80.8%；社会保障和就业支出60万元，占19.2%。</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18989"/>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b/>
          <w:bCs/>
          <w:sz w:val="32"/>
          <w:szCs w:val="32"/>
          <w:lang w:val="en-US" w:eastAsia="zh-CN"/>
        </w:rPr>
        <w:t>教育支出（类）普通教育（款）小学教育（项）</w:t>
      </w:r>
      <w:r>
        <w:rPr>
          <w:rFonts w:hint="eastAsia" w:ascii="仿宋_GB2312" w:hAnsi="仿宋_GB2312" w:eastAsia="仿宋_GB2312" w:cs="仿宋_GB2312"/>
          <w:sz w:val="32"/>
          <w:szCs w:val="32"/>
          <w:lang w:val="en-US" w:eastAsia="zh-CN"/>
        </w:rPr>
        <w:t>2024年预算数为252.55万元，主要用于：本单位基本支出，包括基本工资、津贴补贴、基础绩效奖等人员经费以及机构运行所需的办公费、印刷费、维修（护）费、工会经费等运行补助经费。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b/>
          <w:bCs/>
          <w:sz w:val="32"/>
          <w:szCs w:val="32"/>
          <w:lang w:val="en-US" w:eastAsia="zh-CN"/>
        </w:rPr>
        <w:t>社会保障和就业（类）行政事业单位养老支出（款）事业单位离退休（项）</w:t>
      </w:r>
      <w:r>
        <w:rPr>
          <w:rFonts w:hint="eastAsia" w:ascii="仿宋_GB2312" w:hAnsi="仿宋_GB2312" w:eastAsia="仿宋_GB2312" w:cs="仿宋_GB2312"/>
          <w:sz w:val="32"/>
          <w:szCs w:val="32"/>
          <w:lang w:val="en-US" w:eastAsia="zh-CN"/>
        </w:rPr>
        <w:t>2024年预算数为60万元，主要用于：</w:t>
      </w:r>
      <w:r>
        <w:rPr>
          <w:rFonts w:hint="eastAsia" w:ascii="仿宋_GB2312" w:hAnsi="仿宋_GB2312" w:eastAsia="仿宋_GB2312" w:cs="仿宋_GB2312"/>
          <w:color w:val="auto"/>
          <w:sz w:val="32"/>
          <w:szCs w:val="32"/>
          <w:lang w:val="en-US" w:eastAsia="zh-CN"/>
        </w:rPr>
        <w:t>本单位</w:t>
      </w:r>
      <w:r>
        <w:rPr>
          <w:rFonts w:hint="eastAsia" w:ascii="仿宋_GB2312" w:hAnsi="仿宋_GB2312" w:eastAsia="仿宋_GB2312" w:cs="仿宋_GB2312"/>
          <w:sz w:val="32"/>
          <w:szCs w:val="32"/>
          <w:lang w:val="en-US" w:eastAsia="zh-CN"/>
        </w:rPr>
        <w:t>离退休人员经费支出。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6700"/>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青牛小学2024年一般公共预算基本支出287.45万元，其中：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lang w:val="en-US" w:eastAsia="zh-CN"/>
        </w:rPr>
        <w:t>人员经费287.45万元，主要包括：基本工资、津贴补贴、奖金、社会保险缴费、住房公积金、抚恤金等支出。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9860"/>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青牛小学2024年“三公”经费财政拨款预算数为0万元。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2175"/>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26983"/>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outlineLvl w:val="1"/>
        <w:rPr>
          <w:rFonts w:hint="default" w:ascii="仿宋_GB2312" w:hAnsi="仿宋_GB2312" w:eastAsia="仿宋_GB2312" w:cs="仿宋_GB2312"/>
          <w:sz w:val="32"/>
          <w:szCs w:val="32"/>
          <w:lang w:val="en-US" w:eastAsia="zh-CN"/>
        </w:rPr>
      </w:pPr>
      <w:bookmarkStart w:id="17" w:name="_Toc8258"/>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839"/>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青牛小学2024年政府性基金预算拨款安排支出0万元。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1000"/>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青牛小学2024年无国有资本经营预算拨款安排的支出。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933"/>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7278"/>
      <w:r>
        <w:rPr>
          <w:rFonts w:hint="eastAsia" w:ascii="楷体_GB2312" w:hAnsi="楷体_GB2312" w:eastAsia="楷体_GB2312" w:cs="楷体_GB2312"/>
          <w:sz w:val="32"/>
          <w:szCs w:val="32"/>
          <w:lang w:val="en-US" w:eastAsia="zh-CN"/>
        </w:rPr>
        <w:t>（一）机关运行经费</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2024年，本单位属于公益一类事业单位，无机关运行经费。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5095"/>
      <w:r>
        <w:rPr>
          <w:rFonts w:hint="eastAsia" w:ascii="楷体_GB2312" w:hAnsi="楷体_GB2312" w:eastAsia="楷体_GB2312" w:cs="楷体_GB2312"/>
          <w:sz w:val="32"/>
          <w:szCs w:val="32"/>
          <w:lang w:val="en-US" w:eastAsia="zh-CN"/>
        </w:rPr>
        <w:t>（二）政府采购情况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2024年，青牛小学未安排政府采购预算。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4853"/>
      <w:r>
        <w:rPr>
          <w:rFonts w:hint="eastAsia" w:ascii="楷体_GB2312" w:hAnsi="楷体_GB2312" w:eastAsia="楷体_GB2312" w:cs="楷体_GB2312"/>
          <w:sz w:val="32"/>
          <w:szCs w:val="32"/>
          <w:lang w:val="en-US" w:eastAsia="zh-CN"/>
        </w:rPr>
        <w:t>（三）国有资产占有使用情况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截至2023年底，青牛小学共有车辆0辆，单位无价值200万元以上的大型设备。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25967"/>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2024年青牛小学开展绩效目标管理的项目3个，涉及预算25.1万元。其中：人员类项目0个，涉及预算0万元；运转类项目3个，涉及预算25.1万元；特定目标类项目0个，涉及预算0万元。因部分项目内容涉密，不予公开。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23960"/>
      <w:r>
        <w:rPr>
          <w:rFonts w:hint="eastAsia" w:ascii="黑体" w:hAnsi="黑体" w:eastAsia="黑体" w:cs="黑体"/>
          <w:sz w:val="32"/>
          <w:szCs w:val="32"/>
          <w:lang w:val="en-US" w:eastAsia="zh-CN"/>
        </w:rPr>
        <w:t>十一、名词解释</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（一）财政拨款收入：</w:t>
      </w:r>
      <w:bookmarkStart w:id="26" w:name="_GoBack"/>
      <w:bookmarkEnd w:id="26"/>
      <w:r>
        <w:rPr>
          <w:rFonts w:hint="eastAsia" w:ascii="仿宋_GB2312" w:hAnsi="仿宋_GB2312" w:eastAsia="仿宋_GB2312" w:cs="仿宋_GB2312"/>
          <w:sz w:val="32"/>
          <w:szCs w:val="32"/>
          <w:lang w:val="en-US" w:eastAsia="zh-CN"/>
        </w:rPr>
        <w:t>指财政当年安排的财政预算收入。按现行管理制度,部门预算中反映的财政拨款包括一般公共预算拨款和政府性基金预算拨款。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 “事业收入”等以外的收入。如银行存款利息收入、社会考试服务收入、课时收入等。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（四）教育（类）教育管理事务（款）行政运行（项）：</w:t>
      </w:r>
      <w:r>
        <w:rPr>
          <w:rFonts w:hint="eastAsia" w:ascii="仿宋_GB2312" w:hAnsi="仿宋_GB2312" w:eastAsia="仿宋_GB2312" w:cs="仿宋_GB2312"/>
          <w:sz w:val="32"/>
          <w:szCs w:val="32"/>
          <w:lang w:val="en-US" w:eastAsia="zh-CN"/>
        </w:rPr>
        <w:t>指教育局机关单位用于保障机构正常运行、开展日常工作的基本支出。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（五）教育支出（类）普通教育（款）学前教育（项）：</w:t>
      </w:r>
      <w:r>
        <w:rPr>
          <w:rFonts w:hint="eastAsia" w:ascii="仿宋_GB2312" w:hAnsi="仿宋_GB2312" w:eastAsia="仿宋_GB2312" w:cs="仿宋_GB2312"/>
          <w:sz w:val="32"/>
          <w:szCs w:val="32"/>
          <w:lang w:val="en-US" w:eastAsia="zh-CN"/>
        </w:rPr>
        <w:t>指全区学前教育发展的基本支出，包括基本工资、津贴补贴等人员经费以及办公费、印刷费、水电费等日常公用经费。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（六）教育支出（类）普通教育（款）小学教育（项）：</w:t>
      </w:r>
      <w:r>
        <w:rPr>
          <w:rFonts w:hint="eastAsia" w:ascii="仿宋_GB2312" w:hAnsi="仿宋_GB2312" w:eastAsia="仿宋_GB2312" w:cs="仿宋_GB2312"/>
          <w:sz w:val="32"/>
          <w:szCs w:val="32"/>
          <w:lang w:val="en-US" w:eastAsia="zh-CN"/>
        </w:rPr>
        <w:t>指全区小学教育发展的基本支出，包括基本工资、津贴补贴等人员经费以及办公费、印刷费、水电费等日常公用经费。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（七）教育支出（类）普通教育（款）初中教育（项）：</w:t>
      </w:r>
      <w:r>
        <w:rPr>
          <w:rFonts w:hint="eastAsia" w:ascii="仿宋_GB2312" w:hAnsi="仿宋_GB2312" w:eastAsia="仿宋_GB2312" w:cs="仿宋_GB2312"/>
          <w:sz w:val="32"/>
          <w:szCs w:val="32"/>
          <w:lang w:val="en-US" w:eastAsia="zh-CN"/>
        </w:rPr>
        <w:t>指全区初中教育发展的基本支出，包括基本工资、津贴补贴等人员经费以及办公费、印刷费、水电费等日常公用经费。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（八）教育支出（类）普通教育（款）高中教育（项）：</w:t>
      </w:r>
      <w:r>
        <w:rPr>
          <w:rFonts w:hint="eastAsia" w:ascii="仿宋_GB2312" w:hAnsi="仿宋_GB2312" w:eastAsia="仿宋_GB2312" w:cs="仿宋_GB2312"/>
          <w:sz w:val="32"/>
          <w:szCs w:val="32"/>
          <w:lang w:val="en-US" w:eastAsia="zh-CN"/>
        </w:rPr>
        <w:t>指全区高中教育发展的基本支出，包括基本工资、津贴补贴等人员经费以及办公费、印刷费、水电费等日常公用经费。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（九）教育支出（类）普通教育（款）其他普通教育（项）：</w:t>
      </w:r>
      <w:r>
        <w:rPr>
          <w:rFonts w:hint="eastAsia" w:ascii="仿宋_GB2312" w:hAnsi="仿宋_GB2312" w:eastAsia="仿宋_GB2312" w:cs="仿宋_GB2312"/>
          <w:sz w:val="32"/>
          <w:szCs w:val="32"/>
          <w:lang w:val="en-US" w:eastAsia="zh-CN"/>
        </w:rPr>
        <w:t>指除上述项目以外其他用于普通教育方面的支出。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（十）教育支出（类）普通教育（款）中等职业教育（项）：</w:t>
      </w:r>
      <w:r>
        <w:rPr>
          <w:rFonts w:hint="eastAsia" w:ascii="仿宋_GB2312" w:hAnsi="仿宋_GB2312" w:eastAsia="仿宋_GB2312" w:cs="仿宋_GB2312"/>
          <w:sz w:val="32"/>
          <w:szCs w:val="32"/>
          <w:lang w:val="en-US" w:eastAsia="zh-CN"/>
        </w:rPr>
        <w:t>指全区中等职业教育发展的基本支出，包括基本工资、津贴补贴等人员经费以及办公费、印刷费、水电费等日常公用经费。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（十一）社会保障和就业（类）行政事业单位养老支出（款）事业单位离退休（项）：</w:t>
      </w:r>
      <w:r>
        <w:rPr>
          <w:rFonts w:hint="eastAsia" w:ascii="仿宋_GB2312" w:hAnsi="仿宋_GB2312" w:eastAsia="仿宋_GB2312" w:cs="仿宋_GB2312"/>
          <w:sz w:val="32"/>
          <w:szCs w:val="32"/>
          <w:lang w:val="en-US" w:eastAsia="zh-CN"/>
        </w:rPr>
        <w:t>指事业单位离退休人员的支出。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（十二）住房保障（类）住房改革支出（款）住房公积金（项）：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（十三）基本支出：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（十四）项目支出：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（十五）“三公”经费：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预算公开报表</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项目支出绩效目标表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Vijaya">
    <w:panose1 w:val="020B0604020202020204"/>
    <w:charset w:val="00"/>
    <w:family w:val="auto"/>
    <w:pitch w:val="default"/>
    <w:sig w:usb0="00100003"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6E233"/>
    <w:multiLevelType w:val="singleLevel"/>
    <w:tmpl w:val="3516E233"/>
    <w:lvl w:ilvl="0" w:tentative="0">
      <w:start w:val="2"/>
      <w:numFmt w:val="decimal"/>
      <w:lvlText w:val="%1."/>
      <w:lvlJc w:val="left"/>
      <w:pPr>
        <w:tabs>
          <w:tab w:val="left" w:pos="312"/>
        </w:tabs>
        <w:ind w:left="1600" w:leftChars="0" w:firstLine="0" w:firstLineChars="0"/>
      </w:p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2E30171"/>
    <w:rsid w:val="04306F50"/>
    <w:rsid w:val="07B57CD2"/>
    <w:rsid w:val="1F7BF06F"/>
    <w:rsid w:val="1FEE4B73"/>
    <w:rsid w:val="23CE9849"/>
    <w:rsid w:val="28C57339"/>
    <w:rsid w:val="30F975CF"/>
    <w:rsid w:val="39F304DD"/>
    <w:rsid w:val="49E51714"/>
    <w:rsid w:val="51C111BD"/>
    <w:rsid w:val="54244390"/>
    <w:rsid w:val="54662A63"/>
    <w:rsid w:val="58064E12"/>
    <w:rsid w:val="5BFEE015"/>
    <w:rsid w:val="63EDCF55"/>
    <w:rsid w:val="63FBFBCF"/>
    <w:rsid w:val="669360FD"/>
    <w:rsid w:val="68FF6A83"/>
    <w:rsid w:val="6FBBC9CF"/>
    <w:rsid w:val="719B567C"/>
    <w:rsid w:val="72BDE561"/>
    <w:rsid w:val="78462278"/>
    <w:rsid w:val="7997EA6C"/>
    <w:rsid w:val="7AEAE675"/>
    <w:rsid w:val="7BAFCE5D"/>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autoRedefine/>
    <w:qFormat/>
    <w:uiPriority w:val="0"/>
  </w:style>
  <w:style w:type="paragraph" w:styleId="7">
    <w:name w:val="Normal (Web)"/>
    <w:basedOn w:val="1"/>
    <w:autoRedefine/>
    <w:qFormat/>
    <w:uiPriority w:val="0"/>
    <w:rPr>
      <w:sz w:val="24"/>
    </w:rPr>
  </w:style>
  <w:style w:type="character" w:customStyle="1" w:styleId="10">
    <w:name w:val="默认段落字体1"/>
    <w:autoRedefine/>
    <w:qFormat/>
    <w:uiPriority w:val="0"/>
  </w:style>
  <w:style w:type="paragraph" w:customStyle="1" w:styleId="11">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autoRedefine/>
    <w:qFormat/>
    <w:uiPriority w:val="0"/>
    <w:pPr>
      <w:widowControl w:val="0"/>
      <w:suppressLineNumbers/>
      <w:suppressAutoHyphens/>
    </w:pPr>
  </w:style>
  <w:style w:type="paragraph" w:customStyle="1" w:styleId="13">
    <w:name w:val="WPSOffice手动目录 1"/>
    <w:autoRedefine/>
    <w:uiPriority w:val="0"/>
    <w:pPr>
      <w:ind w:leftChars="0"/>
    </w:pPr>
    <w:rPr>
      <w:rFonts w:ascii="Times New Roman" w:hAnsi="Times New Roman" w:eastAsia="宋体" w:cs="Times New Roman"/>
      <w:sz w:val="20"/>
      <w:szCs w:val="20"/>
    </w:rPr>
  </w:style>
  <w:style w:type="paragraph" w:customStyle="1" w:styleId="14">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2024-04-09T03:46:40Z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