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27838"/>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广元市昭化区虎跳镇小学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目录</w:t>
      </w:r>
    </w:p>
    <w:sdt>
      <w:sdtPr>
        <w:rPr>
          <w:rFonts w:ascii="宋体" w:hAnsi="宋体" w:eastAsia="宋体" w:cs="Times New Roman"/>
          <w:color w:val="auto"/>
          <w:kern w:val="2"/>
          <w:sz w:val="21"/>
          <w:szCs w:val="24"/>
          <w:lang w:val="en-US" w:eastAsia="zh-CN" w:bidi="ar-SA"/>
        </w:rPr>
        <w:id w:val="147452137"/>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_Toc10833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一、基本职能及主要工作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_Toc10833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_Toc2137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职能简介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_Toc11438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en-US"/>
            </w:rPr>
            <w:t>2024</w:t>
          </w:r>
          <w:r>
            <w:rPr>
              <w:rFonts w:hint="eastAsia" w:ascii="仿宋_GB2312" w:hAnsi="仿宋_GB2312" w:eastAsia="仿宋_GB2312" w:cs="仿宋_GB2312"/>
              <w:sz w:val="32"/>
              <w:szCs w:val="32"/>
            </w:rPr>
            <w:t>年重点工作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_Toc11438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_Toc15446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二、部门预算单位构成</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_Toc15446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_Toc12182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三、收支预算情况说明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_Toc12182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_Toc26271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（一）收入预算情况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_Toc26271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_Toc26836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（二）支出预算情况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_Toc26836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_Toc7991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四、财政拨款收支预算情况说明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_Toc7991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7</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_Toc27709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五、一般公共预算当年拨款情况说明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_Toc27709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_Toc32523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（一）一般公共预算当年拨款规模变化情况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_Toc32523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_Toc14769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（二）一般公共预算当年拨款结构情况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_Toc14769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4"/>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_Toc20099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（三）一般公共预算当年拨款具体使用情况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_Toc20099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_Toc10225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六、一般公共预算基本支出情况说明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_Toc10225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3"/>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_Toc24936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七、“三公”经费财政拨款预算安排情况说明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_Toc24936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_Toc11529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八、政府性基金预算支出情况说明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_Toc11529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_Toc30883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九、国有资本经营预算支出情况说明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_Toc30883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_Toc4963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十、其他重要事项的情况说明</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_Toc4963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9</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pPr>
            <w:pStyle w:val="13"/>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HYPERLINK \l _Toc6581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lang w:val="en-US" w:eastAsia="zh-CN"/>
            </w:rPr>
            <w:t>十一、名词解释</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_Toc6581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10</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sz w:val="32"/>
              <w:szCs w:val="32"/>
            </w:rPr>
            <w:fldChar w:fldCharType="end"/>
          </w:r>
        </w:p>
        <w:p>
          <w:r>
            <w:rPr>
              <w:rFonts w:hint="eastAsia" w:ascii="仿宋_GB2312" w:hAnsi="仿宋_GB2312" w:eastAsia="仿宋_GB2312" w:cs="仿宋_GB2312"/>
              <w:b/>
              <w:sz w:val="32"/>
              <w:szCs w:val="32"/>
            </w:rPr>
            <w:fldChar w:fldCharType="end"/>
          </w:r>
        </w:p>
      </w:sdtContent>
    </w:sdt>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24832"/>
      <w:bookmarkStart w:id="2" w:name="_Toc10833"/>
      <w:r>
        <w:rPr>
          <w:rFonts w:hint="eastAsia" w:ascii="黑体" w:hAnsi="黑体" w:eastAsia="黑体" w:cs="黑体"/>
          <w:sz w:val="32"/>
          <w:szCs w:val="32"/>
          <w:lang w:val="en-US" w:eastAsia="zh-CN"/>
        </w:rPr>
        <w:t>一、基本职能及主要工作</w:t>
      </w:r>
      <w:bookmarkEnd w:id="1"/>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2066"/>
      <w:bookmarkStart w:id="4" w:name="_Toc2137"/>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3"/>
      <w:bookmarkEnd w:id="4"/>
    </w:p>
    <w:p>
      <w:pPr>
        <w:widowControl w:val="0"/>
        <w:adjustRightInd w:val="0"/>
        <w:spacing w:beforeLines="30" w:line="500" w:lineRule="exact"/>
        <w:ind w:firstLine="640" w:firstLineChars="200"/>
        <w:jc w:val="both"/>
        <w:outlineLvl w:val="2"/>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1.贯彻党的教育方针，坚持社会主义办学方向，实行教育与生产劳动相结合，对学生进行德育、智育、体育、美育和劳动等方面的教育。</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2.负责配合政府依法动员、组织适龄儿童、少年入学，严格控制学生辍学，依法保证适龄儿童、少年接受九年义务教育。</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3.负责依法制定学校章程，并按照章程自主管理。</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4.负责制定学校教育发展规划，并抓好组织和实施工作。</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5.负责按照教育主管部门发布的指导性教学计划、教学大纲，组织实施教育教学活动。</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6.负责学籍管理并对学生实施奖励或处分。</w:t>
      </w:r>
    </w:p>
    <w:p>
      <w:pPr>
        <w:widowControl w:val="0"/>
        <w:adjustRightInd w:val="0"/>
        <w:spacing w:beforeLines="30" w:line="500" w:lineRule="exact"/>
        <w:ind w:firstLine="640" w:firstLineChars="200"/>
        <w:jc w:val="both"/>
        <w:outlineLvl w:val="2"/>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7.负责依法制定本校教师及其他职工聘任办法并对教师及其他员工实施包括奖励、处分在内的具体管理活动。</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8.负责科学管理、合理使用学校的设施和经费，并积极筹措资金，改善办学条件。</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9.负责维护学校、师生的合法权益，有权拒绝任何组织和个人对教育教学活动的非法干扰。</w:t>
      </w:r>
    </w:p>
    <w:p>
      <w:pPr>
        <w:widowControl w:val="0"/>
        <w:adjustRightInd w:val="0"/>
        <w:spacing w:beforeLines="30" w:line="500" w:lineRule="exact"/>
        <w:ind w:firstLine="640" w:firstLineChars="200"/>
        <w:jc w:val="both"/>
        <w:outlineLvl w:val="2"/>
        <w:rPr>
          <w:rFonts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10.依法接受各级教育行政部门的检查指导和人民群众的监督。</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仿宋_GB2312" w:eastAsia="仿宋_GB2312" w:cs="仿宋_GB2312"/>
          <w:i w:val="0"/>
          <w:caps w:val="0"/>
          <w:color w:val="333333"/>
          <w:spacing w:val="0"/>
          <w:sz w:val="32"/>
          <w:szCs w:val="32"/>
        </w:rPr>
      </w:pPr>
      <w:r>
        <w:rPr>
          <w:rFonts w:hint="eastAsia" w:ascii="仿宋" w:hAnsi="仿宋" w:eastAsia="仿宋" w:cs="仿宋"/>
          <w:color w:val="auto"/>
          <w:sz w:val="32"/>
          <w:szCs w:val="32"/>
          <w:highlight w:val="none"/>
        </w:rPr>
        <w:t>11.承办上级交办的其他事项。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46"/>
      <w:bookmarkStart w:id="6" w:name="_Toc11438"/>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5"/>
      <w:bookmarkEnd w:id="6"/>
    </w:p>
    <w:p>
      <w:pPr>
        <w:ind w:firstLine="640" w:firstLineChars="200"/>
        <w:rPr>
          <w:rFonts w:hint="eastAsia" w:ascii="仿宋" w:hAnsi="仿宋" w:eastAsia="仿宋" w:cs="仿宋"/>
          <w:sz w:val="32"/>
          <w:szCs w:val="32"/>
        </w:rPr>
      </w:pPr>
      <w:r>
        <w:rPr>
          <w:rFonts w:hint="eastAsia" w:ascii="仿宋" w:hAnsi="仿宋" w:eastAsia="仿宋" w:cs="仿宋"/>
          <w:sz w:val="32"/>
          <w:szCs w:val="32"/>
        </w:rPr>
        <w:t>⒈以建党日、国庆日等节日为契机，切实加强爱国主义教育和中华传统美德教育，树立正确的世界观、人生观、价值观。</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⒉探索德育工作新途径，构建具有学校特色的德育工作机制，贯彻“自律、自立、自我发展”的德育原则，提高学生自我管理能力</w:t>
      </w:r>
      <w:r>
        <w:rPr>
          <w:rFonts w:hint="eastAsia" w:ascii="仿宋" w:hAnsi="仿宋" w:eastAsia="仿宋" w:cs="仿宋"/>
          <w:sz w:val="32"/>
          <w:szCs w:val="32"/>
          <w:lang w:val="en-US" w:eastAsia="zh-CN"/>
        </w:rPr>
        <w:t>,开展好德育主题教育活动，加强防邪反邪、禁毒教育</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⒊以常规教育和养成教育为抓手，扎实开展系列主题教育活动，寓德育于教学中，寓教育于活动中，不断放大德育工作的功能性。</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⒋加强班主任队伍建设，强化班级管理，提高班主任的思想理论素质和业务水平。</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5.认真贯彻执行《中华人民共和国义务教育法</w:t>
      </w:r>
      <w:r>
        <w:rPr>
          <w:rFonts w:hint="eastAsia" w:ascii="仿宋" w:hAnsi="仿宋" w:eastAsia="仿宋" w:cs="仿宋"/>
          <w:sz w:val="32"/>
          <w:szCs w:val="32"/>
        </w:rPr>
        <w:t>》，认真落实义务教育阶段学生各项减免与补助政策，切实做好教育民生工程。严格执行教育政策法规，规范办学行为。</w:t>
      </w:r>
    </w:p>
    <w:p>
      <w:pPr>
        <w:ind w:firstLine="960" w:firstLineChars="300"/>
        <w:rPr>
          <w:rFonts w:hint="eastAsia" w:ascii="仿宋" w:hAnsi="仿宋" w:eastAsia="仿宋" w:cs="仿宋"/>
          <w:sz w:val="32"/>
          <w:szCs w:val="32"/>
        </w:rPr>
      </w:pPr>
      <w:r>
        <w:rPr>
          <w:rFonts w:hint="eastAsia" w:ascii="仿宋" w:hAnsi="仿宋" w:eastAsia="仿宋" w:cs="仿宋"/>
          <w:sz w:val="32"/>
          <w:szCs w:val="32"/>
        </w:rPr>
        <w:t>6.全面贯彻党和国家教育方针，严格执行课程计划，开齐开足各类课程，确保教育质量，科学安排学生在校活动及作息时间。做到教书育人、管理育人、服务育人。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7.巩固创新平安校园的成果。一丝不苟地做好学校的安全教育工作和体育卫生工作。特别是要做好学生的健康教育与安全教育管理工作，确保校园的稳定平安。</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8.每周组织1次教师学习交流活动，增强师德修养和依法执教意识，规范教育行为；通过理论知识讲座和研讨交流活动，促进教师理论素养提升，促进教师专业成长与发展。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9.积极鼓励教师参加各项教学活动、教研活动与课题研究。努力培养造就一批师德高尚、业绩优秀、教研突出、有影响力的名师。关注青年教师成长，加快其专业成长步伐。</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10.强化教师敬业精神和奉献精神，增强工作责任感和</w:t>
      </w:r>
      <w:r>
        <w:rPr>
          <w:rFonts w:hint="eastAsia" w:ascii="仿宋" w:hAnsi="仿宋" w:eastAsia="仿宋" w:cs="仿宋"/>
          <w:sz w:val="32"/>
          <w:szCs w:val="32"/>
          <w:lang w:eastAsia="zh-CN"/>
        </w:rPr>
        <w:t>激发</w:t>
      </w:r>
      <w:r>
        <w:rPr>
          <w:rFonts w:hint="eastAsia" w:ascii="仿宋" w:hAnsi="仿宋" w:eastAsia="仿宋" w:cs="仿宋"/>
          <w:sz w:val="32"/>
          <w:szCs w:val="32"/>
        </w:rPr>
        <w:t>工作热情度，杜绝体罚和变相体罚。</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11.加大课程管理力度。增强教师课程法规意识，对照课程计划，严格控制周活动总量和学科教学学时，不得随意增减课时，切实提高课堂教学质量。保证学生每天一小时的体育锻炼时间，不断促进学生全面发展。</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12.推进高效课堂研究。结合月考核制度，对教学常规进行精细化管理，课堂教学力求体现新课标精神，做到四基落实优质化、习惯培养经常化、能力训练系统化、潜能挖掘科学化。</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13.积极组织教师参加各级各类的课堂教学竞赛和评比，力争在各科市区级课堂教学评比中取得优良的成绩。努力打造学校的精品课堂、精品课例。</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14.抓好课题常规管理，落实开题论证、中期检查、结题指导等工作，立足实际、立足课堂、立足学生开展教育科研，做到研以致用。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15.重视营造勤学氛围，注重良好学风的形成，培养学生持续、高效的学习习惯，力争教学质量区内同类居前优势。</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16.加强</w:t>
      </w:r>
      <w:r>
        <w:rPr>
          <w:rFonts w:hint="eastAsia" w:ascii="仿宋" w:hAnsi="仿宋" w:eastAsia="仿宋" w:cs="仿宋"/>
          <w:sz w:val="32"/>
          <w:szCs w:val="32"/>
          <w:lang w:eastAsia="zh-CN"/>
        </w:rPr>
        <w:t>疫情防控</w:t>
      </w:r>
      <w:r>
        <w:rPr>
          <w:rFonts w:hint="eastAsia" w:ascii="仿宋" w:hAnsi="仿宋" w:eastAsia="仿宋" w:cs="仿宋"/>
          <w:sz w:val="32"/>
          <w:szCs w:val="32"/>
        </w:rPr>
        <w:t>。</w:t>
      </w:r>
      <w:r>
        <w:rPr>
          <w:rFonts w:hint="eastAsia" w:ascii="仿宋" w:hAnsi="仿宋" w:eastAsia="仿宋" w:cs="仿宋"/>
          <w:sz w:val="32"/>
          <w:szCs w:val="32"/>
          <w:lang w:eastAsia="zh-CN"/>
        </w:rPr>
        <w:t>做好校园疫情防控日常工作，落实重点人员排查工作，</w:t>
      </w:r>
      <w:r>
        <w:rPr>
          <w:rFonts w:hint="eastAsia" w:ascii="仿宋" w:hAnsi="仿宋" w:eastAsia="仿宋" w:cs="仿宋"/>
          <w:sz w:val="32"/>
          <w:szCs w:val="32"/>
        </w:rPr>
        <w:t>上学、放学期间采取</w:t>
      </w:r>
      <w:r>
        <w:rPr>
          <w:rFonts w:hint="eastAsia" w:ascii="仿宋" w:hAnsi="仿宋" w:eastAsia="仿宋" w:cs="仿宋"/>
          <w:sz w:val="32"/>
          <w:szCs w:val="32"/>
          <w:lang w:eastAsia="zh-CN"/>
        </w:rPr>
        <w:t>值周领导</w:t>
      </w:r>
      <w:r>
        <w:rPr>
          <w:rFonts w:hint="eastAsia" w:ascii="仿宋" w:hAnsi="仿宋" w:eastAsia="仿宋" w:cs="仿宋"/>
          <w:sz w:val="32"/>
          <w:szCs w:val="32"/>
        </w:rPr>
        <w:t>协同门卫值日，防止闲杂人等混进校园，保障师生安全，对进出校园的一切人员要做好登记。</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17.加强值班巡逻。对早自习之前、晚自习之后等易空档时间加强值班巡逻，消除各种人为的不安全因素。配合有关部门整顿校园周边治安环境，维护学校正常的教育教学秩序。</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18.聘请</w:t>
      </w:r>
      <w:r>
        <w:rPr>
          <w:rFonts w:hint="eastAsia" w:ascii="仿宋" w:hAnsi="仿宋" w:eastAsia="仿宋" w:cs="仿宋"/>
          <w:sz w:val="32"/>
          <w:szCs w:val="32"/>
          <w:lang w:eastAsia="zh-CN"/>
        </w:rPr>
        <w:t>法治</w:t>
      </w:r>
      <w:r>
        <w:rPr>
          <w:rFonts w:hint="eastAsia" w:ascii="仿宋" w:hAnsi="仿宋" w:eastAsia="仿宋" w:cs="仿宋"/>
          <w:sz w:val="32"/>
          <w:szCs w:val="32"/>
        </w:rPr>
        <w:t>副校长。协助学校对不良行为学生进行帮教，增强学生</w:t>
      </w:r>
      <w:r>
        <w:rPr>
          <w:rFonts w:hint="eastAsia" w:ascii="仿宋" w:hAnsi="仿宋" w:eastAsia="仿宋" w:cs="仿宋"/>
          <w:sz w:val="32"/>
          <w:szCs w:val="32"/>
          <w:lang w:eastAsia="zh-CN"/>
        </w:rPr>
        <w:t>法治</w:t>
      </w:r>
      <w:bookmarkStart w:id="54" w:name="_GoBack"/>
      <w:bookmarkEnd w:id="54"/>
      <w:r>
        <w:rPr>
          <w:rFonts w:hint="eastAsia" w:ascii="仿宋" w:hAnsi="仿宋" w:eastAsia="仿宋" w:cs="仿宋"/>
          <w:sz w:val="32"/>
          <w:szCs w:val="32"/>
        </w:rPr>
        <w:t>观念。对学生进行经常性的安全意识教育;加强防病防疫工作，保障学生身体健康。</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19.确立管理就是服务、管理就是示范的理念，确立人人都是管理者的思想，确立依法管理的思想。努力追求管理以人为本、为师生发展服务的境界。</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20.加强财务管理。坚持财务公开，自觉接受监督，严格执行财务管理制度，各项开支精打细算，做到花小钱办大事，把有限的教育经费投入到教育事业中去。</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21.加强食堂管理。牢固树立服务意识。提高食堂管理质量，规范食堂账务，杜绝食堂“有利可盈”，争取做到让每一名师生都满意。</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22.</w:t>
      </w:r>
      <w:r>
        <w:rPr>
          <w:rFonts w:hint="eastAsia" w:ascii="仿宋" w:hAnsi="仿宋" w:eastAsia="仿宋" w:cs="仿宋"/>
          <w:sz w:val="32"/>
          <w:szCs w:val="32"/>
          <w:lang w:eastAsia="zh-CN"/>
        </w:rPr>
        <w:t>提升办学条件</w:t>
      </w:r>
      <w:r>
        <w:rPr>
          <w:rFonts w:hint="eastAsia" w:ascii="仿宋" w:hAnsi="仿宋" w:eastAsia="仿宋" w:cs="仿宋"/>
          <w:sz w:val="32"/>
          <w:szCs w:val="32"/>
        </w:rPr>
        <w:t>，完成</w:t>
      </w:r>
      <w:r>
        <w:rPr>
          <w:rFonts w:hint="eastAsia" w:ascii="仿宋" w:hAnsi="仿宋" w:eastAsia="仿宋" w:cs="仿宋"/>
          <w:sz w:val="32"/>
          <w:szCs w:val="32"/>
          <w:lang w:eastAsia="zh-CN"/>
        </w:rPr>
        <w:t>校园照明改造工程，新安装一批太阳能路灯</w:t>
      </w:r>
      <w:r>
        <w:rPr>
          <w:rFonts w:hint="eastAsia" w:ascii="仿宋" w:hAnsi="仿宋" w:eastAsia="仿宋" w:cs="仿宋"/>
          <w:sz w:val="32"/>
          <w:szCs w:val="32"/>
        </w:rPr>
        <w:t>，</w:t>
      </w:r>
      <w:r>
        <w:rPr>
          <w:rFonts w:hint="eastAsia" w:ascii="仿宋" w:hAnsi="仿宋" w:eastAsia="仿宋" w:cs="仿宋"/>
          <w:sz w:val="32"/>
          <w:szCs w:val="32"/>
          <w:lang w:eastAsia="zh-CN"/>
        </w:rPr>
        <w:t>完成图书室、留守儿童之家建设，</w:t>
      </w:r>
      <w:r>
        <w:rPr>
          <w:rFonts w:hint="eastAsia" w:ascii="仿宋" w:hAnsi="仿宋" w:eastAsia="仿宋" w:cs="仿宋"/>
          <w:sz w:val="32"/>
          <w:szCs w:val="32"/>
        </w:rPr>
        <w:t>进一步提高服务育人质量。</w:t>
      </w:r>
    </w:p>
    <w:p>
      <w:pPr>
        <w:spacing w:line="600" w:lineRule="exact"/>
        <w:ind w:firstLine="640" w:firstLineChars="200"/>
        <w:rPr>
          <w:rFonts w:hint="eastAsia" w:ascii="楷体_GB2312" w:hAnsi="楷体_GB2312" w:eastAsia="楷体_GB2312" w:cs="楷体_GB2312"/>
          <w:sz w:val="32"/>
          <w:szCs w:val="32"/>
        </w:rPr>
      </w:pPr>
      <w:r>
        <w:rPr>
          <w:rFonts w:hint="eastAsia" w:ascii="仿宋" w:hAnsi="仿宋" w:eastAsia="仿宋" w:cs="仿宋"/>
          <w:sz w:val="32"/>
          <w:szCs w:val="32"/>
        </w:rPr>
        <w:t>23.做好学校绿化工作，强化师生低碳环保意识，打造美丽校园，争创绿色校园</w:t>
      </w:r>
      <w:r>
        <w:rPr>
          <w:rFonts w:hint="eastAsia" w:ascii="仿宋" w:hAnsi="仿宋" w:eastAsia="仿宋" w:cs="仿宋"/>
          <w:sz w:val="32"/>
          <w:szCs w:val="32"/>
          <w:lang w:eastAsia="zh-CN"/>
        </w:rPr>
        <w:t>，创建市级绿色校园</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3922"/>
      <w:bookmarkStart w:id="8" w:name="_Toc15446"/>
      <w:r>
        <w:rPr>
          <w:rFonts w:hint="eastAsia" w:ascii="黑体" w:hAnsi="黑体" w:eastAsia="黑体" w:cs="黑体"/>
          <w:sz w:val="32"/>
          <w:szCs w:val="32"/>
          <w:lang w:val="en-US" w:eastAsia="zh-CN"/>
        </w:rPr>
        <w:t>二、部门预算单位构成</w:t>
      </w:r>
      <w:bookmarkEnd w:id="7"/>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9" w:name="_Toc12645"/>
      <w:bookmarkStart w:id="10" w:name="_Toc12182"/>
      <w:r>
        <w:rPr>
          <w:rFonts w:hint="eastAsia" w:ascii="黑体" w:hAnsi="黑体" w:eastAsia="黑体" w:cs="黑体"/>
          <w:sz w:val="32"/>
          <w:szCs w:val="32"/>
          <w:lang w:val="en-US" w:eastAsia="zh-CN"/>
        </w:rPr>
        <w:t>三、收支预算情况说明</w:t>
      </w:r>
      <w:bookmarkEnd w:id="9"/>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虎跳小学所有收入和支出均纳入部门预算管理。收入包括：一般公共预算拨款收入;支出包括：教育支出。虎跳小学2024年收支预算总数626.99万元,比2023年收支预算总数减少27.6万元，主要原因是项目支出及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5654"/>
      <w:bookmarkStart w:id="12" w:name="_Toc26271"/>
      <w:r>
        <w:rPr>
          <w:rFonts w:hint="eastAsia" w:ascii="楷体_GB2312" w:hAnsi="楷体_GB2312" w:eastAsia="楷体_GB2312" w:cs="楷体_GB2312"/>
          <w:sz w:val="32"/>
          <w:szCs w:val="32"/>
          <w:lang w:val="en-US" w:eastAsia="zh-CN"/>
        </w:rPr>
        <w:t>（一）收入预算情况</w:t>
      </w:r>
      <w:bookmarkEnd w:id="11"/>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虎跳小学2024年收入预算626.99万元，其中：上年结转0万元，占0%；一般公共预算拨款收入626.99万元，占100%。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9738"/>
      <w:bookmarkStart w:id="14" w:name="_Toc26836"/>
      <w:r>
        <w:rPr>
          <w:rFonts w:hint="eastAsia" w:ascii="楷体_GB2312" w:hAnsi="楷体_GB2312" w:eastAsia="楷体_GB2312" w:cs="楷体_GB2312"/>
          <w:sz w:val="32"/>
          <w:szCs w:val="32"/>
          <w:lang w:val="en-US" w:eastAsia="zh-CN"/>
        </w:rPr>
        <w:t>（二）支出预算情况</w:t>
      </w:r>
      <w:bookmarkEnd w:id="13"/>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虎跳小学2024年支出预算626.99万元，其中：基本支出582.97万元，占92.97%；项目支出44.02万元，占7.03%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26903"/>
      <w:bookmarkStart w:id="16" w:name="_Toc7991"/>
      <w:r>
        <w:rPr>
          <w:rFonts w:hint="eastAsia" w:ascii="黑体" w:hAnsi="黑体" w:eastAsia="黑体" w:cs="黑体"/>
          <w:sz w:val="32"/>
          <w:szCs w:val="32"/>
          <w:lang w:val="en-US" w:eastAsia="zh-CN"/>
        </w:rPr>
        <w:t>四、财政拨款收支预算情况说明</w:t>
      </w:r>
      <w:bookmarkEnd w:id="15"/>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虎跳小学2024年财政拨款收支预算总数626.99万元,比2023年财政拨款收支预算总数减少27.6万元，主要原因是项目支出及人员减少。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收入包括：本年一般公共预算拨款收入626.99万元；支出包括：教育支出626.99万元。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16655"/>
      <w:bookmarkStart w:id="18" w:name="_Toc27709"/>
      <w:r>
        <w:rPr>
          <w:rFonts w:hint="eastAsia" w:ascii="黑体" w:hAnsi="黑体" w:eastAsia="黑体" w:cs="黑体"/>
          <w:sz w:val="32"/>
          <w:szCs w:val="32"/>
          <w:lang w:val="en-US" w:eastAsia="zh-CN"/>
        </w:rPr>
        <w:t>五、一般公共预算当年拨款情况说明</w:t>
      </w:r>
      <w:bookmarkEnd w:id="17"/>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25996"/>
      <w:bookmarkStart w:id="20" w:name="_Toc32523"/>
      <w:r>
        <w:rPr>
          <w:rFonts w:hint="eastAsia" w:ascii="楷体_GB2312" w:hAnsi="楷体_GB2312" w:eastAsia="楷体_GB2312" w:cs="楷体_GB2312"/>
          <w:sz w:val="32"/>
          <w:szCs w:val="32"/>
          <w:lang w:val="en-US" w:eastAsia="zh-CN"/>
        </w:rPr>
        <w:t>（一）一般公共预算当年拨款规模变化情况</w:t>
      </w:r>
      <w:bookmarkEnd w:id="19"/>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虎跳小学2024年一般公共预算当年拨款626.99万元，比2023年预算数减少27.6万元，主要原因是项目支出及人员减少。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8791"/>
      <w:bookmarkStart w:id="22" w:name="_Toc14769"/>
      <w:r>
        <w:rPr>
          <w:rFonts w:hint="eastAsia" w:ascii="楷体_GB2312" w:hAnsi="楷体_GB2312" w:eastAsia="楷体_GB2312" w:cs="楷体_GB2312"/>
          <w:sz w:val="32"/>
          <w:szCs w:val="32"/>
          <w:lang w:val="en-US" w:eastAsia="zh-CN"/>
        </w:rPr>
        <w:t>（二）一般公共预算当年拨款结构情况</w:t>
      </w:r>
      <w:bookmarkEnd w:id="21"/>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教育支出626.99万元，占100%。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7907"/>
      <w:bookmarkStart w:id="24" w:name="_Toc20099"/>
      <w:r>
        <w:rPr>
          <w:rFonts w:hint="eastAsia" w:ascii="楷体_GB2312" w:hAnsi="楷体_GB2312" w:eastAsia="楷体_GB2312" w:cs="楷体_GB2312"/>
          <w:sz w:val="32"/>
          <w:szCs w:val="32"/>
          <w:lang w:val="en-US" w:eastAsia="zh-CN"/>
        </w:rPr>
        <w:t>（三）一般公共预算当年拨款具体使用情况</w:t>
      </w:r>
      <w:bookmarkEnd w:id="23"/>
      <w:bookmarkEnd w:id="24"/>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教育支出（类）普通教育（款）小学教育（项）2024年预算数为626.99万元，主要用于：</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本单位基本支出，包括基本工资、津贴补贴等人员经费以及办公费、印刷费、水电费等日常公用经费。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5207"/>
      <w:bookmarkStart w:id="26" w:name="_Toc10225"/>
      <w:r>
        <w:rPr>
          <w:rFonts w:hint="eastAsia" w:ascii="黑体" w:hAnsi="黑体" w:eastAsia="黑体" w:cs="黑体"/>
          <w:sz w:val="32"/>
          <w:szCs w:val="32"/>
          <w:lang w:val="en-US" w:eastAsia="zh-CN"/>
        </w:rPr>
        <w:t>六、一般公共预算基本支出情况说明</w:t>
      </w:r>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虎跳小学2024年一般公共预算基本支出582.97万元，其中：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人员经费582.97万元，主要包括：基本工资、津贴补贴、奖金、社会保险缴费、住房公积金等支出。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28312"/>
      <w:bookmarkStart w:id="28" w:name="_Toc24936"/>
      <w:r>
        <w:rPr>
          <w:rFonts w:hint="eastAsia" w:ascii="黑体" w:hAnsi="黑体" w:eastAsia="黑体" w:cs="黑体"/>
          <w:sz w:val="32"/>
          <w:szCs w:val="32"/>
          <w:lang w:val="en-US" w:eastAsia="zh-CN"/>
        </w:rPr>
        <w:t>七、“三公”经费财政拨款预算安排情况说明</w:t>
      </w:r>
      <w:bookmarkEnd w:id="27"/>
      <w:bookmarkEnd w:id="2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虎跳小学2024年“三公”经费财政拨款预算数0万元。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15673"/>
      <w:bookmarkStart w:id="30" w:name="_Toc31596"/>
      <w:r>
        <w:rPr>
          <w:rFonts w:hint="eastAsia" w:ascii="楷体_GB2312" w:hAnsi="楷体_GB2312" w:eastAsia="楷体_GB2312" w:cs="楷体_GB2312"/>
          <w:sz w:val="32"/>
          <w:szCs w:val="32"/>
          <w:lang w:val="en-US" w:eastAsia="zh-CN"/>
        </w:rPr>
        <w:t>（一）公务接待费</w:t>
      </w:r>
      <w:bookmarkEnd w:id="29"/>
      <w:bookmarkEnd w:id="3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公务接待费与2023年预算相比下降，主要原因是</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奉行节约，严格执行三公经费压减政策。</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20836"/>
      <w:bookmarkStart w:id="32" w:name="_Toc21268"/>
      <w:r>
        <w:rPr>
          <w:rFonts w:hint="eastAsia" w:ascii="楷体_GB2312" w:hAnsi="楷体_GB2312" w:eastAsia="楷体_GB2312" w:cs="楷体_GB2312"/>
          <w:sz w:val="32"/>
          <w:szCs w:val="32"/>
          <w:lang w:val="en-US" w:eastAsia="zh-CN"/>
        </w:rPr>
        <w:t>公务用车购置及运行维护费</w:t>
      </w:r>
      <w:bookmarkEnd w:id="31"/>
      <w:bookmarkEnd w:id="3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bookmarkStart w:id="33" w:name="_Toc10926"/>
      <w:bookmarkStart w:id="34" w:name="_Toc1233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3"/>
      <w:bookmarkEnd w:id="3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5" w:name="_Toc23457"/>
      <w:bookmarkStart w:id="36" w:name="_Toc11529"/>
      <w:r>
        <w:rPr>
          <w:rFonts w:hint="eastAsia" w:ascii="黑体" w:hAnsi="黑体" w:eastAsia="黑体" w:cs="黑体"/>
          <w:sz w:val="32"/>
          <w:szCs w:val="32"/>
          <w:lang w:val="en-US" w:eastAsia="zh-CN"/>
        </w:rPr>
        <w:t>八、政府性基金预算支出情况说明</w:t>
      </w:r>
      <w:bookmarkEnd w:id="35"/>
      <w:bookmarkEnd w:id="3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虎跳小学2024年无政府性基金预算拨款安排的支出。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7" w:name="_Toc22464"/>
      <w:bookmarkStart w:id="38" w:name="_Toc30883"/>
      <w:r>
        <w:rPr>
          <w:rFonts w:hint="eastAsia" w:ascii="黑体" w:hAnsi="黑体" w:eastAsia="黑体" w:cs="黑体"/>
          <w:sz w:val="32"/>
          <w:szCs w:val="32"/>
          <w:lang w:val="en-US" w:eastAsia="zh-CN"/>
        </w:rPr>
        <w:t>九、国有资本经营预算支出情况说明</w:t>
      </w:r>
      <w:bookmarkEnd w:id="37"/>
      <w:bookmarkEnd w:id="3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虎跳小学2024年无国有资本经营预算拨款安排的支出。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9" w:name="_Toc9771"/>
      <w:bookmarkStart w:id="40" w:name="_Toc4963"/>
      <w:r>
        <w:rPr>
          <w:rFonts w:hint="eastAsia" w:ascii="黑体" w:hAnsi="黑体" w:eastAsia="黑体" w:cs="黑体"/>
          <w:sz w:val="32"/>
          <w:szCs w:val="32"/>
          <w:lang w:val="en-US" w:eastAsia="zh-CN"/>
        </w:rPr>
        <w:t>十、其他重要事项的情况说明</w:t>
      </w:r>
      <w:bookmarkEnd w:id="39"/>
      <w:bookmarkEnd w:id="4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1" w:name="_Toc25475"/>
      <w:bookmarkStart w:id="42" w:name="_Toc16039"/>
      <w:r>
        <w:rPr>
          <w:rFonts w:hint="eastAsia" w:ascii="楷体_GB2312" w:hAnsi="楷体_GB2312" w:eastAsia="楷体_GB2312" w:cs="楷体_GB2312"/>
          <w:sz w:val="32"/>
          <w:szCs w:val="32"/>
          <w:lang w:val="en-US" w:eastAsia="zh-CN"/>
        </w:rPr>
        <w:t>（一）机关运行经费</w:t>
      </w:r>
      <w:bookmarkEnd w:id="41"/>
      <w:bookmarkEnd w:id="4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2024年，本单位属于公益一类事业单位无机关运行经费。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3" w:name="_Toc7904"/>
      <w:bookmarkStart w:id="44" w:name="_Toc11717"/>
      <w:r>
        <w:rPr>
          <w:rFonts w:hint="eastAsia" w:ascii="楷体_GB2312" w:hAnsi="楷体_GB2312" w:eastAsia="楷体_GB2312" w:cs="楷体_GB2312"/>
          <w:sz w:val="32"/>
          <w:szCs w:val="32"/>
          <w:lang w:val="en-US" w:eastAsia="zh-CN"/>
        </w:rPr>
        <w:t>（二）政府采购情况</w:t>
      </w:r>
      <w:bookmarkEnd w:id="43"/>
      <w:bookmarkEnd w:id="44"/>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2024年，虎跳小学没有安排政府采购预算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拨款的支出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5" w:name="_Toc2830"/>
      <w:bookmarkStart w:id="46" w:name="_Toc9054"/>
      <w:r>
        <w:rPr>
          <w:rFonts w:hint="eastAsia" w:ascii="楷体_GB2312" w:hAnsi="楷体_GB2312" w:eastAsia="楷体_GB2312" w:cs="楷体_GB2312"/>
          <w:sz w:val="32"/>
          <w:szCs w:val="32"/>
          <w:lang w:val="en-US" w:eastAsia="zh-CN"/>
        </w:rPr>
        <w:t>（三）国有资产占有使用情况</w:t>
      </w:r>
      <w:bookmarkEnd w:id="45"/>
      <w:bookmarkEnd w:id="4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截至2023年底，虎跳小学共有车辆0辆，单位无价值200万元以上的大型设备。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000000" w:themeColor="text1"/>
          <w:sz w:val="32"/>
          <w:szCs w:val="32"/>
          <w:highlight w:val="none"/>
          <w14:textFill>
            <w14:solidFill>
              <w14:schemeClr w14:val="tx1"/>
            </w14:solidFill>
          </w14:textFill>
        </w:rPr>
      </w:pPr>
      <w:bookmarkStart w:id="47" w:name="_Toc16993"/>
      <w:bookmarkStart w:id="48" w:name="_Toc30888"/>
      <w:r>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t>（四）绩效目标设置情况</w:t>
      </w:r>
      <w:bookmarkEnd w:id="47"/>
      <w:bookmarkEnd w:id="4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2024年虎跳小学开展绩效目标管理的项目4个，涉及预算44.02万元。其中：人员类项目0个，涉及预算0万元；运转类项目4个，涉及预算44.02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9" w:name="_Toc25791"/>
      <w:bookmarkStart w:id="50" w:name="_Toc6581"/>
      <w:r>
        <w:rPr>
          <w:rFonts w:hint="eastAsia" w:ascii="黑体" w:hAnsi="黑体" w:eastAsia="黑体" w:cs="黑体"/>
          <w:sz w:val="32"/>
          <w:szCs w:val="32"/>
          <w:lang w:val="en-US" w:eastAsia="zh-CN"/>
        </w:rPr>
        <w:t>十一、名词解释</w:t>
      </w:r>
      <w:bookmarkEnd w:id="49"/>
      <w:bookmarkEnd w:id="5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w:t>
      </w:r>
      <w:r>
        <w:rPr>
          <w:rFonts w:hint="eastAsia" w:ascii="楷体_GB2312" w:hAnsi="楷体_GB2312" w:eastAsia="楷体_GB2312" w:cs="楷体_GB2312"/>
          <w:sz w:val="32"/>
          <w:szCs w:val="32"/>
          <w:lang w:val="en-US" w:eastAsia="zh-CN"/>
        </w:rPr>
        <w:t>育支出（类）普通教育（款）小学教育（项）：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指全区小学教育发展的基本支出，包括基本工资、津贴补贴等人员经费以及办公费、印刷费、水电费等日常公用经费。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51" w:name="_Toc12502"/>
      <w:r>
        <w:rPr>
          <w:rFonts w:hint="eastAsia" w:ascii="仿宋_GB2312" w:hAnsi="仿宋_GB2312" w:eastAsia="仿宋_GB2312" w:cs="仿宋_GB2312"/>
          <w:sz w:val="32"/>
          <w:szCs w:val="32"/>
          <w:lang w:val="en-US" w:eastAsia="zh-CN"/>
        </w:rPr>
        <w:t>附件：1.预算公开报表</w:t>
      </w:r>
      <w:bookmarkEnd w:id="51"/>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52" w:name="_Toc20079"/>
      <w:bookmarkStart w:id="53" w:name="_Toc19007"/>
      <w:r>
        <w:rPr>
          <w:rFonts w:hint="eastAsia" w:ascii="仿宋_GB2312" w:hAnsi="仿宋_GB2312" w:eastAsia="仿宋_GB2312" w:cs="仿宋_GB2312"/>
          <w:sz w:val="32"/>
          <w:szCs w:val="32"/>
          <w:lang w:val="en-US" w:eastAsia="zh-CN"/>
        </w:rPr>
        <w:t>项目支出绩效目标表</w:t>
      </w:r>
      <w:bookmarkEnd w:id="52"/>
      <w:bookmarkEnd w:id="53"/>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leftChars="0" w:firstLine="0" w:firstLineChars="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5521CDC"/>
    <w:rsid w:val="0E845E70"/>
    <w:rsid w:val="110E1CE9"/>
    <w:rsid w:val="1F7BF06F"/>
    <w:rsid w:val="1FEE4B73"/>
    <w:rsid w:val="23CE9849"/>
    <w:rsid w:val="39F304DD"/>
    <w:rsid w:val="54244390"/>
    <w:rsid w:val="54662A63"/>
    <w:rsid w:val="58064E12"/>
    <w:rsid w:val="590536B6"/>
    <w:rsid w:val="5BFEE015"/>
    <w:rsid w:val="63EDCF55"/>
    <w:rsid w:val="63FBFBCF"/>
    <w:rsid w:val="669360FD"/>
    <w:rsid w:val="68FF6A83"/>
    <w:rsid w:val="6FBBC9CF"/>
    <w:rsid w:val="70440E19"/>
    <w:rsid w:val="722F3C7F"/>
    <w:rsid w:val="72BDE561"/>
    <w:rsid w:val="780D78CE"/>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autoRedefine/>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qFormat/>
    <w:uiPriority w:val="0"/>
    <w:rPr>
      <w:sz w:val="24"/>
    </w:rPr>
  </w:style>
  <w:style w:type="character" w:customStyle="1" w:styleId="10">
    <w:name w:val="默认段落字体1"/>
    <w:autoRedefine/>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2024-04-09T07:22:42Z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