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outlineLvl w:val="0"/>
        <w:rPr>
          <w:rFonts w:hint="eastAsia" w:ascii="方正小标宋简体" w:hAnsi="方正小标宋简体" w:eastAsia="方正小标宋简体" w:cs="方正小标宋简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bookmarkStart w:id="0" w:name="_Toc16969"/>
      <w:r>
        <w:rPr>
          <w:rFonts w:hint="eastAsia" w:ascii="方正小标宋简体" w:hAnsi="方正小标宋简体" w:eastAsia="方正小标宋简体" w:cs="方正小标宋简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广元市昭化区清水镇香溪小学</w:t>
      </w:r>
      <w:bookmarkEnd w:id="0"/>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2024年单位预算编制说明</w:t>
      </w:r>
    </w:p>
    <w:p>
      <w:pPr>
        <w:jc w:val="center"/>
        <w:rPr>
          <w:rFonts w:hint="eastAsia" w:ascii="黑体" w:hAnsi="黑体" w:eastAsia="黑体" w:cs="黑体"/>
          <w:b/>
          <w:bCs/>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目   录</w:t>
      </w:r>
    </w:p>
    <w:sdt>
      <w:sdtPr>
        <w:rPr>
          <w:rFonts w:ascii="宋体" w:hAnsi="宋体" w:eastAsia="宋体" w:cs="Times New Roman"/>
          <w:color w:val="auto"/>
          <w:kern w:val="2"/>
          <w:sz w:val="21"/>
          <w:szCs w:val="24"/>
          <w:lang w:val="en-US" w:eastAsia="zh-CN" w:bidi="ar-SA"/>
        </w:rPr>
        <w:id w:val="147467320"/>
        <w15:color w:val="DBDBDB"/>
        <w:docPartObj>
          <w:docPartGallery w:val="Table of Contents"/>
          <w:docPartUnique/>
        </w:docPartObj>
      </w:sdtPr>
      <w:sdtEndPr>
        <w:rPr>
          <w:rFonts w:ascii="宋体" w:hAnsi="宋体" w:eastAsia="宋体" w:cs="Times New Roman"/>
          <w:b/>
          <w:color w:val="auto"/>
          <w:kern w:val="2"/>
          <w:sz w:val="21"/>
          <w:szCs w:val="24"/>
          <w:lang w:val="en-US" w:eastAsia="zh-CN" w:bidi="ar-SA"/>
        </w:rPr>
      </w:sdtEndPr>
      <w:sdtContent>
        <w:p>
          <w:pPr>
            <w:spacing w:before="0" w:beforeLines="0" w:after="0" w:afterLines="0" w:line="240" w:lineRule="auto"/>
            <w:ind w:left="0" w:leftChars="0" w:right="0" w:rightChars="0" w:firstLine="0" w:firstLineChars="0"/>
            <w:jc w:val="center"/>
            <w:rPr>
              <w:rFonts w:hint="eastAsia" w:ascii="仿宋" w:hAnsi="仿宋" w:eastAsia="仿宋" w:cs="仿宋"/>
              <w:b/>
              <w:sz w:val="32"/>
              <w:szCs w:val="32"/>
            </w:rPr>
          </w:pPr>
          <w:r>
            <w:fldChar w:fldCharType="begin"/>
          </w:r>
          <w:r>
            <w:instrText xml:space="preserve">TOC \o "1-2" \h \u </w:instrText>
          </w:r>
          <w:r>
            <w:fldChar w:fldCharType="separate"/>
          </w:r>
        </w:p>
        <w:p>
          <w:pPr>
            <w:pStyle w:val="6"/>
            <w:tabs>
              <w:tab w:val="right" w:leader="dot" w:pos="8845"/>
            </w:tabs>
            <w:rPr>
              <w:rFonts w:hint="eastAsia" w:ascii="仿宋" w:hAnsi="仿宋" w:eastAsia="仿宋" w:cs="仿宋"/>
              <w:sz w:val="32"/>
              <w:szCs w:val="32"/>
            </w:rPr>
          </w:pP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instrText xml:space="preserve">TOC \o "1-2" \h \u </w:instrText>
          </w: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separate"/>
          </w: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i w:val="0"/>
              <w:caps w:val="0"/>
              <w:spacing w:val="0"/>
              <w:kern w:val="0"/>
              <w:sz w:val="32"/>
              <w:szCs w:val="32"/>
              <w:highlight w:val="none"/>
              <w:shd w:val="clear" w:color="auto" w:fill="FFFFFF"/>
              <w:lang w:val="en-US" w:eastAsia="zh-CN" w:bidi="ar"/>
            </w:rPr>
            <w:instrText xml:space="preserve"> HYPERLINK \l _Toc8211 </w:instrText>
          </w:r>
          <w:r>
            <w:rPr>
              <w:rFonts w:hint="eastAsia" w:ascii="仿宋" w:hAnsi="仿宋" w:eastAsia="仿宋" w:cs="仿宋"/>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sz w:val="32"/>
              <w:szCs w:val="32"/>
              <w:lang w:val="en-US" w:eastAsia="zh-CN"/>
            </w:rPr>
            <w:t>一、基本职能及主要工作</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_Toc8211 \h </w:instrText>
          </w:r>
          <w:r>
            <w:rPr>
              <w:rFonts w:hint="eastAsia" w:ascii="仿宋" w:hAnsi="仿宋" w:eastAsia="仿宋" w:cs="仿宋"/>
              <w:sz w:val="32"/>
              <w:szCs w:val="32"/>
            </w:rPr>
            <w:fldChar w:fldCharType="separate"/>
          </w:r>
          <w:r>
            <w:rPr>
              <w:rFonts w:hint="eastAsia" w:ascii="仿宋" w:hAnsi="仿宋" w:eastAsia="仿宋" w:cs="仿宋"/>
              <w:sz w:val="32"/>
              <w:szCs w:val="32"/>
            </w:rPr>
            <w:t>3</w:t>
          </w:r>
          <w:r>
            <w:rPr>
              <w:rFonts w:hint="eastAsia" w:ascii="仿宋" w:hAnsi="仿宋" w:eastAsia="仿宋" w:cs="仿宋"/>
              <w:sz w:val="32"/>
              <w:szCs w:val="32"/>
            </w:rPr>
            <w:fldChar w:fldCharType="end"/>
          </w: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8"/>
            <w:tabs>
              <w:tab w:val="right" w:leader="dot" w:pos="8845"/>
            </w:tabs>
            <w:rPr>
              <w:rFonts w:hint="eastAsia" w:ascii="仿宋" w:hAnsi="仿宋" w:eastAsia="仿宋" w:cs="仿宋"/>
              <w:sz w:val="32"/>
              <w:szCs w:val="32"/>
            </w:rPr>
          </w:pP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i w:val="0"/>
              <w:caps w:val="0"/>
              <w:spacing w:val="0"/>
              <w:kern w:val="0"/>
              <w:sz w:val="32"/>
              <w:szCs w:val="32"/>
              <w:highlight w:val="none"/>
              <w:shd w:val="clear" w:color="auto" w:fill="FFFFFF"/>
              <w:lang w:val="en-US" w:eastAsia="zh-CN" w:bidi="ar"/>
            </w:rPr>
            <w:instrText xml:space="preserve"> HYPERLINK \l _Toc24722 </w:instrText>
          </w:r>
          <w:r>
            <w:rPr>
              <w:rFonts w:hint="eastAsia" w:ascii="仿宋" w:hAnsi="仿宋" w:eastAsia="仿宋" w:cs="仿宋"/>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sz w:val="32"/>
              <w:szCs w:val="32"/>
            </w:rPr>
            <w:t>（一）</w:t>
          </w:r>
          <w:r>
            <w:rPr>
              <w:rFonts w:hint="eastAsia" w:ascii="仿宋" w:hAnsi="仿宋" w:eastAsia="仿宋" w:cs="仿宋"/>
              <w:sz w:val="32"/>
              <w:szCs w:val="32"/>
              <w:lang w:val="en-US" w:eastAsia="zh-CN"/>
            </w:rPr>
            <w:t>单位</w:t>
          </w:r>
          <w:r>
            <w:rPr>
              <w:rFonts w:hint="eastAsia" w:ascii="仿宋" w:hAnsi="仿宋" w:eastAsia="仿宋" w:cs="仿宋"/>
              <w:sz w:val="32"/>
              <w:szCs w:val="32"/>
            </w:rPr>
            <w:t>职能简介</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_Toc24722 \h </w:instrText>
          </w:r>
          <w:r>
            <w:rPr>
              <w:rFonts w:hint="eastAsia" w:ascii="仿宋" w:hAnsi="仿宋" w:eastAsia="仿宋" w:cs="仿宋"/>
              <w:sz w:val="32"/>
              <w:szCs w:val="32"/>
            </w:rPr>
            <w:fldChar w:fldCharType="separate"/>
          </w:r>
          <w:r>
            <w:rPr>
              <w:rFonts w:hint="eastAsia" w:ascii="仿宋" w:hAnsi="仿宋" w:eastAsia="仿宋" w:cs="仿宋"/>
              <w:sz w:val="32"/>
              <w:szCs w:val="32"/>
            </w:rPr>
            <w:t>3</w:t>
          </w:r>
          <w:r>
            <w:rPr>
              <w:rFonts w:hint="eastAsia" w:ascii="仿宋" w:hAnsi="仿宋" w:eastAsia="仿宋" w:cs="仿宋"/>
              <w:sz w:val="32"/>
              <w:szCs w:val="32"/>
            </w:rPr>
            <w:fldChar w:fldCharType="end"/>
          </w: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8"/>
            <w:tabs>
              <w:tab w:val="right" w:leader="dot" w:pos="8845"/>
            </w:tabs>
            <w:rPr>
              <w:rFonts w:hint="eastAsia" w:ascii="仿宋" w:hAnsi="仿宋" w:eastAsia="仿宋" w:cs="仿宋"/>
              <w:sz w:val="32"/>
              <w:szCs w:val="32"/>
            </w:rPr>
          </w:pP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i w:val="0"/>
              <w:caps w:val="0"/>
              <w:spacing w:val="0"/>
              <w:kern w:val="0"/>
              <w:sz w:val="32"/>
              <w:szCs w:val="32"/>
              <w:highlight w:val="none"/>
              <w:shd w:val="clear" w:color="auto" w:fill="FFFFFF"/>
              <w:lang w:val="en-US" w:eastAsia="zh-CN" w:bidi="ar"/>
            </w:rPr>
            <w:instrText xml:space="preserve"> HYPERLINK \l _Toc4542 </w:instrText>
          </w:r>
          <w:r>
            <w:rPr>
              <w:rFonts w:hint="eastAsia" w:ascii="仿宋" w:hAnsi="仿宋" w:eastAsia="仿宋" w:cs="仿宋"/>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sz w:val="32"/>
              <w:szCs w:val="32"/>
            </w:rPr>
            <w:t>（二）</w:t>
          </w:r>
          <w:r>
            <w:rPr>
              <w:rFonts w:hint="eastAsia" w:ascii="仿宋" w:hAnsi="仿宋" w:eastAsia="仿宋" w:cs="仿宋"/>
              <w:sz w:val="32"/>
              <w:szCs w:val="32"/>
              <w:lang w:val="en-US" w:eastAsia="zh-CN"/>
            </w:rPr>
            <w:t>单位</w:t>
          </w:r>
          <w:r>
            <w:rPr>
              <w:rFonts w:hint="eastAsia" w:ascii="仿宋" w:hAnsi="仿宋" w:eastAsia="仿宋" w:cs="仿宋"/>
              <w:sz w:val="32"/>
              <w:szCs w:val="32"/>
              <w:lang w:val="en-US"/>
            </w:rPr>
            <w:t>2024</w:t>
          </w:r>
          <w:r>
            <w:rPr>
              <w:rFonts w:hint="eastAsia" w:ascii="仿宋" w:hAnsi="仿宋" w:eastAsia="仿宋" w:cs="仿宋"/>
              <w:sz w:val="32"/>
              <w:szCs w:val="32"/>
            </w:rPr>
            <w:t>年重点工作</w:t>
          </w:r>
          <w:r>
            <w:rPr>
              <w:rFonts w:hint="eastAsia" w:ascii="仿宋" w:hAnsi="仿宋" w:eastAsia="仿宋" w:cs="仿宋"/>
              <w:sz w:val="32"/>
              <w:szCs w:val="32"/>
            </w:rPr>
            <w:tab/>
          </w:r>
          <w:r>
            <w:rPr>
              <w:rFonts w:hint="eastAsia" w:ascii="仿宋" w:hAnsi="仿宋" w:eastAsia="仿宋" w:cs="仿宋"/>
              <w:sz w:val="32"/>
              <w:szCs w:val="32"/>
              <w:lang w:val="en-US" w:eastAsia="zh-CN"/>
            </w:rPr>
            <w:t>3</w:t>
          </w: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6"/>
            <w:tabs>
              <w:tab w:val="right" w:leader="dot" w:pos="8845"/>
            </w:tabs>
            <w:rPr>
              <w:rFonts w:hint="eastAsia" w:ascii="仿宋" w:hAnsi="仿宋" w:eastAsia="仿宋" w:cs="仿宋"/>
              <w:sz w:val="32"/>
              <w:szCs w:val="32"/>
            </w:rPr>
          </w:pP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i w:val="0"/>
              <w:caps w:val="0"/>
              <w:spacing w:val="0"/>
              <w:kern w:val="0"/>
              <w:sz w:val="32"/>
              <w:szCs w:val="32"/>
              <w:highlight w:val="none"/>
              <w:shd w:val="clear" w:color="auto" w:fill="FFFFFF"/>
              <w:lang w:val="en-US" w:eastAsia="zh-CN" w:bidi="ar"/>
            </w:rPr>
            <w:instrText xml:space="preserve"> HYPERLINK \l _Toc27583 </w:instrText>
          </w:r>
          <w:r>
            <w:rPr>
              <w:rFonts w:hint="eastAsia" w:ascii="仿宋" w:hAnsi="仿宋" w:eastAsia="仿宋" w:cs="仿宋"/>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sz w:val="32"/>
              <w:szCs w:val="32"/>
              <w:lang w:val="en-US" w:eastAsia="zh-CN"/>
            </w:rPr>
            <w:t>二、部门预算单位构成</w:t>
          </w:r>
          <w:r>
            <w:rPr>
              <w:rFonts w:hint="eastAsia" w:ascii="仿宋" w:hAnsi="仿宋" w:eastAsia="仿宋" w:cs="仿宋"/>
              <w:sz w:val="32"/>
              <w:szCs w:val="32"/>
            </w:rPr>
            <w:tab/>
          </w:r>
          <w:r>
            <w:rPr>
              <w:rFonts w:hint="eastAsia" w:ascii="仿宋" w:hAnsi="仿宋" w:eastAsia="仿宋" w:cs="仿宋"/>
              <w:sz w:val="32"/>
              <w:szCs w:val="32"/>
              <w:lang w:val="en-US" w:eastAsia="zh-CN"/>
            </w:rPr>
            <w:t>6</w:t>
          </w: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6"/>
            <w:tabs>
              <w:tab w:val="right" w:leader="dot" w:pos="8845"/>
            </w:tabs>
            <w:rPr>
              <w:rFonts w:hint="eastAsia" w:ascii="仿宋" w:hAnsi="仿宋" w:eastAsia="仿宋" w:cs="仿宋"/>
              <w:sz w:val="32"/>
              <w:szCs w:val="32"/>
            </w:rPr>
          </w:pP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i w:val="0"/>
              <w:caps w:val="0"/>
              <w:spacing w:val="0"/>
              <w:kern w:val="0"/>
              <w:sz w:val="32"/>
              <w:szCs w:val="32"/>
              <w:highlight w:val="none"/>
              <w:shd w:val="clear" w:color="auto" w:fill="FFFFFF"/>
              <w:lang w:val="en-US" w:eastAsia="zh-CN" w:bidi="ar"/>
            </w:rPr>
            <w:instrText xml:space="preserve"> HYPERLINK \l _Toc21002 </w:instrText>
          </w:r>
          <w:r>
            <w:rPr>
              <w:rFonts w:hint="eastAsia" w:ascii="仿宋" w:hAnsi="仿宋" w:eastAsia="仿宋" w:cs="仿宋"/>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sz w:val="32"/>
              <w:szCs w:val="32"/>
              <w:lang w:val="en-US" w:eastAsia="zh-CN"/>
            </w:rPr>
            <w:t>三、收支预算情况说明</w:t>
          </w:r>
          <w:r>
            <w:rPr>
              <w:rFonts w:hint="eastAsia" w:ascii="仿宋" w:hAnsi="仿宋" w:eastAsia="仿宋" w:cs="仿宋"/>
              <w:sz w:val="32"/>
              <w:szCs w:val="32"/>
            </w:rPr>
            <w:tab/>
          </w:r>
          <w:r>
            <w:rPr>
              <w:rFonts w:hint="eastAsia" w:ascii="仿宋" w:hAnsi="仿宋" w:eastAsia="仿宋" w:cs="仿宋"/>
              <w:sz w:val="32"/>
              <w:szCs w:val="32"/>
              <w:lang w:val="en-US" w:eastAsia="zh-CN"/>
            </w:rPr>
            <w:t>6</w:t>
          </w: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8"/>
            <w:tabs>
              <w:tab w:val="right" w:leader="dot" w:pos="8845"/>
            </w:tabs>
            <w:rPr>
              <w:rFonts w:hint="eastAsia" w:ascii="仿宋" w:hAnsi="仿宋" w:eastAsia="仿宋" w:cs="仿宋"/>
              <w:sz w:val="32"/>
              <w:szCs w:val="32"/>
            </w:rPr>
          </w:pP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i w:val="0"/>
              <w:caps w:val="0"/>
              <w:spacing w:val="0"/>
              <w:kern w:val="0"/>
              <w:sz w:val="32"/>
              <w:szCs w:val="32"/>
              <w:highlight w:val="none"/>
              <w:shd w:val="clear" w:color="auto" w:fill="FFFFFF"/>
              <w:lang w:val="en-US" w:eastAsia="zh-CN" w:bidi="ar"/>
            </w:rPr>
            <w:instrText xml:space="preserve"> HYPERLINK \l _Toc27593 </w:instrText>
          </w:r>
          <w:r>
            <w:rPr>
              <w:rFonts w:hint="eastAsia" w:ascii="仿宋" w:hAnsi="仿宋" w:eastAsia="仿宋" w:cs="仿宋"/>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sz w:val="32"/>
              <w:szCs w:val="32"/>
              <w:lang w:val="en-US" w:eastAsia="zh-CN"/>
            </w:rPr>
            <w:t>（一）收入预算情况</w:t>
          </w:r>
          <w:r>
            <w:rPr>
              <w:rFonts w:hint="eastAsia" w:ascii="仿宋" w:hAnsi="仿宋" w:eastAsia="仿宋" w:cs="仿宋"/>
              <w:sz w:val="32"/>
              <w:szCs w:val="32"/>
            </w:rPr>
            <w:tab/>
          </w:r>
          <w:r>
            <w:rPr>
              <w:rFonts w:hint="eastAsia" w:ascii="仿宋" w:hAnsi="仿宋" w:eastAsia="仿宋" w:cs="仿宋"/>
              <w:sz w:val="32"/>
              <w:szCs w:val="32"/>
              <w:lang w:val="en-US" w:eastAsia="zh-CN"/>
            </w:rPr>
            <w:t>7</w:t>
          </w: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8"/>
            <w:tabs>
              <w:tab w:val="right" w:leader="dot" w:pos="8845"/>
            </w:tabs>
            <w:rPr>
              <w:rFonts w:hint="eastAsia" w:ascii="仿宋" w:hAnsi="仿宋" w:eastAsia="仿宋" w:cs="仿宋"/>
              <w:sz w:val="32"/>
              <w:szCs w:val="32"/>
            </w:rPr>
          </w:pP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i w:val="0"/>
              <w:caps w:val="0"/>
              <w:spacing w:val="0"/>
              <w:kern w:val="0"/>
              <w:sz w:val="32"/>
              <w:szCs w:val="32"/>
              <w:highlight w:val="none"/>
              <w:shd w:val="clear" w:color="auto" w:fill="FFFFFF"/>
              <w:lang w:val="en-US" w:eastAsia="zh-CN" w:bidi="ar"/>
            </w:rPr>
            <w:instrText xml:space="preserve"> HYPERLINK \l _Toc22551 </w:instrText>
          </w:r>
          <w:r>
            <w:rPr>
              <w:rFonts w:hint="eastAsia" w:ascii="仿宋" w:hAnsi="仿宋" w:eastAsia="仿宋" w:cs="仿宋"/>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sz w:val="32"/>
              <w:szCs w:val="32"/>
              <w:lang w:val="en-US" w:eastAsia="zh-CN"/>
            </w:rPr>
            <w:t>（二）支出预算情况</w:t>
          </w:r>
          <w:r>
            <w:rPr>
              <w:rFonts w:hint="eastAsia" w:ascii="仿宋" w:hAnsi="仿宋" w:eastAsia="仿宋" w:cs="仿宋"/>
              <w:sz w:val="32"/>
              <w:szCs w:val="32"/>
            </w:rPr>
            <w:tab/>
          </w:r>
          <w:r>
            <w:rPr>
              <w:rFonts w:hint="eastAsia" w:ascii="仿宋" w:hAnsi="仿宋" w:eastAsia="仿宋" w:cs="仿宋"/>
              <w:sz w:val="32"/>
              <w:szCs w:val="32"/>
              <w:lang w:val="en-US" w:eastAsia="zh-CN"/>
            </w:rPr>
            <w:t>7</w:t>
          </w: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6"/>
            <w:tabs>
              <w:tab w:val="right" w:leader="dot" w:pos="8845"/>
            </w:tabs>
            <w:rPr>
              <w:rFonts w:hint="eastAsia" w:ascii="仿宋" w:hAnsi="仿宋" w:eastAsia="仿宋" w:cs="仿宋"/>
              <w:sz w:val="32"/>
              <w:szCs w:val="32"/>
            </w:rPr>
          </w:pP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i w:val="0"/>
              <w:caps w:val="0"/>
              <w:spacing w:val="0"/>
              <w:kern w:val="0"/>
              <w:sz w:val="32"/>
              <w:szCs w:val="32"/>
              <w:highlight w:val="none"/>
              <w:shd w:val="clear" w:color="auto" w:fill="FFFFFF"/>
              <w:lang w:val="en-US" w:eastAsia="zh-CN" w:bidi="ar"/>
            </w:rPr>
            <w:instrText xml:space="preserve"> HYPERLINK \l _Toc18489 </w:instrText>
          </w:r>
          <w:r>
            <w:rPr>
              <w:rFonts w:hint="eastAsia" w:ascii="仿宋" w:hAnsi="仿宋" w:eastAsia="仿宋" w:cs="仿宋"/>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sz w:val="32"/>
              <w:szCs w:val="32"/>
              <w:lang w:val="en-US" w:eastAsia="zh-CN"/>
            </w:rPr>
            <w:t>四、财政拨款收支预算情况说明</w:t>
          </w:r>
          <w:r>
            <w:rPr>
              <w:rFonts w:hint="eastAsia" w:ascii="仿宋" w:hAnsi="仿宋" w:eastAsia="仿宋" w:cs="仿宋"/>
              <w:sz w:val="32"/>
              <w:szCs w:val="32"/>
            </w:rPr>
            <w:tab/>
          </w:r>
          <w:r>
            <w:rPr>
              <w:rFonts w:hint="eastAsia" w:ascii="仿宋" w:hAnsi="仿宋" w:eastAsia="仿宋" w:cs="仿宋"/>
              <w:sz w:val="32"/>
              <w:szCs w:val="32"/>
              <w:lang w:val="en-US" w:eastAsia="zh-CN"/>
            </w:rPr>
            <w:t>7</w:t>
          </w: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6"/>
            <w:tabs>
              <w:tab w:val="right" w:leader="dot" w:pos="8845"/>
            </w:tabs>
            <w:rPr>
              <w:rFonts w:hint="eastAsia" w:ascii="仿宋" w:hAnsi="仿宋" w:eastAsia="仿宋" w:cs="仿宋"/>
              <w:sz w:val="32"/>
              <w:szCs w:val="32"/>
            </w:rPr>
          </w:pP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i w:val="0"/>
              <w:caps w:val="0"/>
              <w:spacing w:val="0"/>
              <w:kern w:val="0"/>
              <w:sz w:val="32"/>
              <w:szCs w:val="32"/>
              <w:highlight w:val="none"/>
              <w:shd w:val="clear" w:color="auto" w:fill="FFFFFF"/>
              <w:lang w:val="en-US" w:eastAsia="zh-CN" w:bidi="ar"/>
            </w:rPr>
            <w:instrText xml:space="preserve"> HYPERLINK \l _Toc29605 </w:instrText>
          </w:r>
          <w:r>
            <w:rPr>
              <w:rFonts w:hint="eastAsia" w:ascii="仿宋" w:hAnsi="仿宋" w:eastAsia="仿宋" w:cs="仿宋"/>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sz w:val="32"/>
              <w:szCs w:val="32"/>
              <w:lang w:val="en-US" w:eastAsia="zh-CN"/>
            </w:rPr>
            <w:t>五、一般公共预算当年拨款情况说明</w:t>
          </w:r>
          <w:r>
            <w:rPr>
              <w:rFonts w:hint="eastAsia" w:ascii="仿宋" w:hAnsi="仿宋" w:eastAsia="仿宋" w:cs="仿宋"/>
              <w:sz w:val="32"/>
              <w:szCs w:val="32"/>
            </w:rPr>
            <w:tab/>
          </w:r>
          <w:r>
            <w:rPr>
              <w:rFonts w:hint="eastAsia" w:ascii="仿宋" w:hAnsi="仿宋" w:eastAsia="仿宋" w:cs="仿宋"/>
              <w:sz w:val="32"/>
              <w:szCs w:val="32"/>
              <w:lang w:val="en-US" w:eastAsia="zh-CN"/>
            </w:rPr>
            <w:t>7</w:t>
          </w: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8"/>
            <w:tabs>
              <w:tab w:val="right" w:leader="dot" w:pos="8845"/>
            </w:tabs>
            <w:rPr>
              <w:rFonts w:hint="eastAsia" w:ascii="仿宋" w:hAnsi="仿宋" w:eastAsia="仿宋" w:cs="仿宋"/>
              <w:sz w:val="32"/>
              <w:szCs w:val="32"/>
            </w:rPr>
          </w:pP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i w:val="0"/>
              <w:caps w:val="0"/>
              <w:spacing w:val="0"/>
              <w:kern w:val="0"/>
              <w:sz w:val="32"/>
              <w:szCs w:val="32"/>
              <w:highlight w:val="none"/>
              <w:shd w:val="clear" w:color="auto" w:fill="FFFFFF"/>
              <w:lang w:val="en-US" w:eastAsia="zh-CN" w:bidi="ar"/>
            </w:rPr>
            <w:instrText xml:space="preserve"> HYPERLINK \l _Toc27929 </w:instrText>
          </w:r>
          <w:r>
            <w:rPr>
              <w:rFonts w:hint="eastAsia" w:ascii="仿宋" w:hAnsi="仿宋" w:eastAsia="仿宋" w:cs="仿宋"/>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sz w:val="32"/>
              <w:szCs w:val="32"/>
              <w:lang w:val="en-US" w:eastAsia="zh-CN"/>
            </w:rPr>
            <w:t>（一）一般公共预算当年拨款规模变化情况</w:t>
          </w:r>
          <w:r>
            <w:rPr>
              <w:rFonts w:hint="eastAsia" w:ascii="仿宋" w:hAnsi="仿宋" w:eastAsia="仿宋" w:cs="仿宋"/>
              <w:sz w:val="32"/>
              <w:szCs w:val="32"/>
            </w:rPr>
            <w:tab/>
          </w:r>
          <w:r>
            <w:rPr>
              <w:rFonts w:hint="eastAsia" w:ascii="仿宋" w:hAnsi="仿宋" w:eastAsia="仿宋" w:cs="仿宋"/>
              <w:sz w:val="32"/>
              <w:szCs w:val="32"/>
              <w:lang w:val="en-US" w:eastAsia="zh-CN"/>
            </w:rPr>
            <w:t>7</w:t>
          </w: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8"/>
            <w:tabs>
              <w:tab w:val="right" w:leader="dot" w:pos="8845"/>
            </w:tabs>
            <w:rPr>
              <w:rFonts w:hint="eastAsia" w:ascii="仿宋" w:hAnsi="仿宋" w:eastAsia="仿宋" w:cs="仿宋"/>
              <w:sz w:val="32"/>
              <w:szCs w:val="32"/>
            </w:rPr>
          </w:pP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i w:val="0"/>
              <w:caps w:val="0"/>
              <w:spacing w:val="0"/>
              <w:kern w:val="0"/>
              <w:sz w:val="32"/>
              <w:szCs w:val="32"/>
              <w:highlight w:val="none"/>
              <w:shd w:val="clear" w:color="auto" w:fill="FFFFFF"/>
              <w:lang w:val="en-US" w:eastAsia="zh-CN" w:bidi="ar"/>
            </w:rPr>
            <w:instrText xml:space="preserve"> HYPERLINK \l _Toc32767 </w:instrText>
          </w:r>
          <w:r>
            <w:rPr>
              <w:rFonts w:hint="eastAsia" w:ascii="仿宋" w:hAnsi="仿宋" w:eastAsia="仿宋" w:cs="仿宋"/>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sz w:val="32"/>
              <w:szCs w:val="32"/>
              <w:lang w:val="en-US" w:eastAsia="zh-CN"/>
            </w:rPr>
            <w:t>（二）一般公共预算当年拨款结构情况</w:t>
          </w:r>
          <w:r>
            <w:rPr>
              <w:rFonts w:hint="eastAsia" w:ascii="仿宋" w:hAnsi="仿宋" w:eastAsia="仿宋" w:cs="仿宋"/>
              <w:sz w:val="32"/>
              <w:szCs w:val="32"/>
            </w:rPr>
            <w:tab/>
          </w:r>
          <w:r>
            <w:rPr>
              <w:rFonts w:hint="eastAsia" w:ascii="仿宋" w:hAnsi="仿宋" w:eastAsia="仿宋" w:cs="仿宋"/>
              <w:sz w:val="32"/>
              <w:szCs w:val="32"/>
              <w:lang w:val="en-US" w:eastAsia="zh-CN"/>
            </w:rPr>
            <w:t>8</w:t>
          </w: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8"/>
            <w:tabs>
              <w:tab w:val="right" w:leader="dot" w:pos="8845"/>
            </w:tabs>
            <w:rPr>
              <w:rFonts w:hint="eastAsia" w:ascii="仿宋" w:hAnsi="仿宋" w:eastAsia="仿宋" w:cs="仿宋"/>
              <w:sz w:val="32"/>
              <w:szCs w:val="32"/>
            </w:rPr>
          </w:pP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i w:val="0"/>
              <w:caps w:val="0"/>
              <w:spacing w:val="0"/>
              <w:kern w:val="0"/>
              <w:sz w:val="32"/>
              <w:szCs w:val="32"/>
              <w:highlight w:val="none"/>
              <w:shd w:val="clear" w:color="auto" w:fill="FFFFFF"/>
              <w:lang w:val="en-US" w:eastAsia="zh-CN" w:bidi="ar"/>
            </w:rPr>
            <w:instrText xml:space="preserve"> HYPERLINK \l _Toc12855 </w:instrText>
          </w:r>
          <w:r>
            <w:rPr>
              <w:rFonts w:hint="eastAsia" w:ascii="仿宋" w:hAnsi="仿宋" w:eastAsia="仿宋" w:cs="仿宋"/>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sz w:val="32"/>
              <w:szCs w:val="32"/>
              <w:lang w:val="en-US" w:eastAsia="zh-CN"/>
            </w:rPr>
            <w:t>（三）一般公共预算当年拨款具体使用情况</w:t>
          </w:r>
          <w:r>
            <w:rPr>
              <w:rFonts w:hint="eastAsia" w:ascii="仿宋" w:hAnsi="仿宋" w:eastAsia="仿宋" w:cs="仿宋"/>
              <w:sz w:val="32"/>
              <w:szCs w:val="32"/>
            </w:rPr>
            <w:tab/>
          </w:r>
          <w:r>
            <w:rPr>
              <w:rFonts w:hint="eastAsia" w:ascii="仿宋" w:hAnsi="仿宋" w:eastAsia="仿宋" w:cs="仿宋"/>
              <w:sz w:val="32"/>
              <w:szCs w:val="32"/>
              <w:lang w:val="en-US" w:eastAsia="zh-CN"/>
            </w:rPr>
            <w:t>8</w:t>
          </w: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6"/>
            <w:tabs>
              <w:tab w:val="right" w:leader="dot" w:pos="8845"/>
            </w:tabs>
            <w:rPr>
              <w:rFonts w:hint="eastAsia" w:ascii="仿宋" w:hAnsi="仿宋" w:eastAsia="仿宋" w:cs="仿宋"/>
              <w:sz w:val="32"/>
              <w:szCs w:val="32"/>
            </w:rPr>
          </w:pP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i w:val="0"/>
              <w:caps w:val="0"/>
              <w:spacing w:val="0"/>
              <w:kern w:val="0"/>
              <w:sz w:val="32"/>
              <w:szCs w:val="32"/>
              <w:highlight w:val="none"/>
              <w:shd w:val="clear" w:color="auto" w:fill="FFFFFF"/>
              <w:lang w:val="en-US" w:eastAsia="zh-CN" w:bidi="ar"/>
            </w:rPr>
            <w:instrText xml:space="preserve"> HYPERLINK \l _Toc24774 </w:instrText>
          </w:r>
          <w:r>
            <w:rPr>
              <w:rFonts w:hint="eastAsia" w:ascii="仿宋" w:hAnsi="仿宋" w:eastAsia="仿宋" w:cs="仿宋"/>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sz w:val="32"/>
              <w:szCs w:val="32"/>
              <w:lang w:val="en-US" w:eastAsia="zh-CN"/>
            </w:rPr>
            <w:t>六、一般公共预算基本支出情况说明</w:t>
          </w:r>
          <w:r>
            <w:rPr>
              <w:rFonts w:hint="eastAsia" w:ascii="仿宋" w:hAnsi="仿宋" w:eastAsia="仿宋" w:cs="仿宋"/>
              <w:sz w:val="32"/>
              <w:szCs w:val="32"/>
            </w:rPr>
            <w:tab/>
          </w:r>
          <w:r>
            <w:rPr>
              <w:rFonts w:hint="eastAsia" w:ascii="仿宋" w:hAnsi="仿宋" w:eastAsia="仿宋" w:cs="仿宋"/>
              <w:sz w:val="32"/>
              <w:szCs w:val="32"/>
              <w:lang w:val="en-US" w:eastAsia="zh-CN"/>
            </w:rPr>
            <w:t>8</w:t>
          </w: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6"/>
            <w:tabs>
              <w:tab w:val="right" w:leader="dot" w:pos="8845"/>
            </w:tabs>
            <w:rPr>
              <w:rFonts w:hint="eastAsia" w:ascii="仿宋" w:hAnsi="仿宋" w:eastAsia="仿宋" w:cs="仿宋"/>
              <w:sz w:val="32"/>
              <w:szCs w:val="32"/>
            </w:rPr>
          </w:pP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i w:val="0"/>
              <w:caps w:val="0"/>
              <w:spacing w:val="0"/>
              <w:kern w:val="0"/>
              <w:sz w:val="32"/>
              <w:szCs w:val="32"/>
              <w:highlight w:val="none"/>
              <w:shd w:val="clear" w:color="auto" w:fill="FFFFFF"/>
              <w:lang w:val="en-US" w:eastAsia="zh-CN" w:bidi="ar"/>
            </w:rPr>
            <w:instrText xml:space="preserve"> HYPERLINK \l _Toc13222 </w:instrText>
          </w:r>
          <w:r>
            <w:rPr>
              <w:rFonts w:hint="eastAsia" w:ascii="仿宋" w:hAnsi="仿宋" w:eastAsia="仿宋" w:cs="仿宋"/>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sz w:val="32"/>
              <w:szCs w:val="32"/>
              <w:lang w:val="en-US" w:eastAsia="zh-CN"/>
            </w:rPr>
            <w:t>七、“三公”经费财政拨款预算安排情况说明</w:t>
          </w:r>
          <w:r>
            <w:rPr>
              <w:rFonts w:hint="eastAsia" w:ascii="仿宋" w:hAnsi="仿宋" w:eastAsia="仿宋" w:cs="仿宋"/>
              <w:sz w:val="32"/>
              <w:szCs w:val="32"/>
            </w:rPr>
            <w:tab/>
          </w:r>
          <w:r>
            <w:rPr>
              <w:rFonts w:hint="eastAsia" w:ascii="仿宋" w:hAnsi="仿宋" w:eastAsia="仿宋" w:cs="仿宋"/>
              <w:sz w:val="32"/>
              <w:szCs w:val="32"/>
              <w:lang w:val="en-US" w:eastAsia="zh-CN"/>
            </w:rPr>
            <w:t>8</w:t>
          </w: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6"/>
            <w:tabs>
              <w:tab w:val="right" w:leader="dot" w:pos="8845"/>
            </w:tabs>
            <w:rPr>
              <w:rFonts w:hint="eastAsia" w:ascii="仿宋" w:hAnsi="仿宋" w:eastAsia="仿宋" w:cs="仿宋"/>
              <w:sz w:val="32"/>
              <w:szCs w:val="32"/>
            </w:rPr>
          </w:pP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i w:val="0"/>
              <w:caps w:val="0"/>
              <w:spacing w:val="0"/>
              <w:kern w:val="0"/>
              <w:sz w:val="32"/>
              <w:szCs w:val="32"/>
              <w:highlight w:val="none"/>
              <w:shd w:val="clear" w:color="auto" w:fill="FFFFFF"/>
              <w:lang w:val="en-US" w:eastAsia="zh-CN" w:bidi="ar"/>
            </w:rPr>
            <w:instrText xml:space="preserve"> HYPERLINK \l _Toc27068 </w:instrText>
          </w:r>
          <w:r>
            <w:rPr>
              <w:rFonts w:hint="eastAsia" w:ascii="仿宋" w:hAnsi="仿宋" w:eastAsia="仿宋" w:cs="仿宋"/>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sz w:val="32"/>
              <w:szCs w:val="32"/>
              <w:lang w:val="en-US" w:eastAsia="zh-CN"/>
            </w:rPr>
            <w:t>八、政府性基金预算支出情况说明</w:t>
          </w:r>
          <w:r>
            <w:rPr>
              <w:rFonts w:hint="eastAsia" w:ascii="仿宋" w:hAnsi="仿宋" w:eastAsia="仿宋" w:cs="仿宋"/>
              <w:sz w:val="32"/>
              <w:szCs w:val="32"/>
            </w:rPr>
            <w:tab/>
          </w:r>
          <w:r>
            <w:rPr>
              <w:rFonts w:hint="eastAsia" w:ascii="仿宋" w:hAnsi="仿宋" w:eastAsia="仿宋" w:cs="仿宋"/>
              <w:sz w:val="32"/>
              <w:szCs w:val="32"/>
              <w:lang w:val="en-US" w:eastAsia="zh-CN"/>
            </w:rPr>
            <w:t>9</w:t>
          </w: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6"/>
            <w:tabs>
              <w:tab w:val="right" w:leader="dot" w:pos="8845"/>
            </w:tabs>
            <w:rPr>
              <w:rFonts w:hint="eastAsia" w:ascii="仿宋" w:hAnsi="仿宋" w:eastAsia="仿宋" w:cs="仿宋"/>
              <w:sz w:val="32"/>
              <w:szCs w:val="32"/>
            </w:rPr>
          </w:pP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i w:val="0"/>
              <w:caps w:val="0"/>
              <w:spacing w:val="0"/>
              <w:kern w:val="0"/>
              <w:sz w:val="32"/>
              <w:szCs w:val="32"/>
              <w:highlight w:val="none"/>
              <w:shd w:val="clear" w:color="auto" w:fill="FFFFFF"/>
              <w:lang w:val="en-US" w:eastAsia="zh-CN" w:bidi="ar"/>
            </w:rPr>
            <w:instrText xml:space="preserve"> HYPERLINK \l _Toc5987 </w:instrText>
          </w:r>
          <w:r>
            <w:rPr>
              <w:rFonts w:hint="eastAsia" w:ascii="仿宋" w:hAnsi="仿宋" w:eastAsia="仿宋" w:cs="仿宋"/>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sz w:val="32"/>
              <w:szCs w:val="32"/>
              <w:lang w:val="en-US" w:eastAsia="zh-CN"/>
            </w:rPr>
            <w:t>九、国有资本经营预算支出情况说明</w:t>
          </w:r>
          <w:r>
            <w:rPr>
              <w:rFonts w:hint="eastAsia" w:ascii="仿宋" w:hAnsi="仿宋" w:eastAsia="仿宋" w:cs="仿宋"/>
              <w:sz w:val="32"/>
              <w:szCs w:val="32"/>
            </w:rPr>
            <w:tab/>
          </w:r>
          <w:r>
            <w:rPr>
              <w:rFonts w:hint="eastAsia" w:ascii="仿宋" w:hAnsi="仿宋" w:eastAsia="仿宋" w:cs="仿宋"/>
              <w:sz w:val="32"/>
              <w:szCs w:val="32"/>
              <w:lang w:val="en-US" w:eastAsia="zh-CN"/>
            </w:rPr>
            <w:t>9</w:t>
          </w: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6"/>
            <w:tabs>
              <w:tab w:val="right" w:leader="dot" w:pos="8845"/>
            </w:tabs>
            <w:rPr>
              <w:rFonts w:hint="eastAsia" w:ascii="仿宋" w:hAnsi="仿宋" w:eastAsia="仿宋" w:cs="仿宋"/>
              <w:sz w:val="32"/>
              <w:szCs w:val="32"/>
            </w:rPr>
          </w:pP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i w:val="0"/>
              <w:caps w:val="0"/>
              <w:spacing w:val="0"/>
              <w:kern w:val="0"/>
              <w:sz w:val="32"/>
              <w:szCs w:val="32"/>
              <w:highlight w:val="none"/>
              <w:shd w:val="clear" w:color="auto" w:fill="FFFFFF"/>
              <w:lang w:val="en-US" w:eastAsia="zh-CN" w:bidi="ar"/>
            </w:rPr>
            <w:instrText xml:space="preserve"> HYPERLINK \l _Toc15016 </w:instrText>
          </w:r>
          <w:r>
            <w:rPr>
              <w:rFonts w:hint="eastAsia" w:ascii="仿宋" w:hAnsi="仿宋" w:eastAsia="仿宋" w:cs="仿宋"/>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sz w:val="32"/>
              <w:szCs w:val="32"/>
              <w:lang w:val="en-US" w:eastAsia="zh-CN"/>
            </w:rPr>
            <w:t>十、其他重要事项的情况说明</w:t>
          </w:r>
          <w:r>
            <w:rPr>
              <w:rFonts w:hint="eastAsia" w:ascii="仿宋" w:hAnsi="仿宋" w:eastAsia="仿宋" w:cs="仿宋"/>
              <w:sz w:val="32"/>
              <w:szCs w:val="32"/>
            </w:rPr>
            <w:tab/>
          </w:r>
          <w:r>
            <w:rPr>
              <w:rFonts w:hint="eastAsia" w:ascii="仿宋" w:hAnsi="仿宋" w:eastAsia="仿宋" w:cs="仿宋"/>
              <w:sz w:val="32"/>
              <w:szCs w:val="32"/>
              <w:lang w:val="en-US" w:eastAsia="zh-CN"/>
            </w:rPr>
            <w:t>9</w:t>
          </w: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6"/>
            <w:tabs>
              <w:tab w:val="right" w:leader="dot" w:pos="8845"/>
            </w:tabs>
            <w:rPr>
              <w:rFonts w:hint="default" w:ascii="仿宋" w:hAnsi="仿宋" w:eastAsia="仿宋" w:cs="仿宋"/>
              <w:sz w:val="32"/>
              <w:szCs w:val="32"/>
              <w:lang w:val="en-US"/>
            </w:rPr>
          </w:pP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i w:val="0"/>
              <w:caps w:val="0"/>
              <w:spacing w:val="0"/>
              <w:kern w:val="0"/>
              <w:sz w:val="32"/>
              <w:szCs w:val="32"/>
              <w:highlight w:val="none"/>
              <w:shd w:val="clear" w:color="auto" w:fill="FFFFFF"/>
              <w:lang w:val="en-US" w:eastAsia="zh-CN" w:bidi="ar"/>
            </w:rPr>
            <w:instrText xml:space="preserve"> HYPERLINK \l _Toc1129 </w:instrText>
          </w:r>
          <w:r>
            <w:rPr>
              <w:rFonts w:hint="eastAsia" w:ascii="仿宋" w:hAnsi="仿宋" w:eastAsia="仿宋" w:cs="仿宋"/>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sz w:val="32"/>
              <w:szCs w:val="32"/>
              <w:lang w:val="en-US" w:eastAsia="zh-CN"/>
            </w:rPr>
            <w:t>十一、名词解释</w:t>
          </w:r>
          <w:r>
            <w:rPr>
              <w:rFonts w:hint="eastAsia" w:ascii="仿宋" w:hAnsi="仿宋" w:eastAsia="仿宋" w:cs="仿宋"/>
              <w:sz w:val="32"/>
              <w:szCs w:val="32"/>
            </w:rPr>
            <w:tab/>
          </w:r>
          <w:r>
            <w:rPr>
              <w:rFonts w:hint="eastAsia" w:ascii="仿宋" w:hAnsi="仿宋" w:eastAsia="仿宋" w:cs="仿宋"/>
              <w:sz w:val="32"/>
              <w:szCs w:val="32"/>
              <w:lang w:val="en-US" w:eastAsia="zh-CN"/>
            </w:rPr>
            <w:t>1</w:t>
          </w: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0</w:t>
          </w:r>
        </w:p>
        <w:p>
          <w:pPr>
            <w:pStyle w:val="16"/>
            <w:tabs>
              <w:tab w:val="right" w:leader="dot" w:pos="8845"/>
            </w:tabs>
          </w:pP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r>
            <w:rPr>
              <w:b/>
            </w:rPr>
            <w:fldChar w:fldCharType="end"/>
          </w:r>
        </w:p>
      </w:sdtContent>
    </w:sdt>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0"/>
        <w:jc w:val="both"/>
        <w:rPr>
          <w:rFonts w:hint="eastAsia" w:ascii="仿宋" w:hAnsi="仿宋" w:eastAsia="仿宋" w:cs="仿宋"/>
          <w:b/>
          <w:i w:val="0"/>
          <w:caps w:val="0"/>
          <w:color w:val="000000" w:themeColor="text1"/>
          <w:spacing w:val="0"/>
          <w:sz w:val="32"/>
          <w:szCs w:val="32"/>
          <w:highlight w:val="none"/>
          <w:shd w:val="clear" w:color="auto" w:fill="FFFFFF"/>
          <w:lang w:val="en-US" w:eastAsia="zh-CN"/>
          <w14:textFill>
            <w14:solidFill>
              <w14:schemeClr w14:val="tx1"/>
            </w14:solidFill>
          </w14:textFill>
        </w:rPr>
      </w:pPr>
      <w:r>
        <w:rPr>
          <w:rFonts w:hint="eastAsia" w:ascii="仿宋" w:hAnsi="仿宋" w:eastAsia="仿宋" w:cs="仿宋"/>
          <w:b/>
          <w:i w:val="0"/>
          <w:caps w:val="0"/>
          <w:color w:val="000000" w:themeColor="text1"/>
          <w:spacing w:val="0"/>
          <w:sz w:val="32"/>
          <w:szCs w:val="32"/>
          <w:highlight w:val="none"/>
          <w:shd w:val="clear" w:color="auto" w:fill="FFFFFF"/>
          <w:lang w:val="en-US" w:eastAsia="zh-CN"/>
          <w14:textFill>
            <w14:solidFill>
              <w14:schemeClr w14:val="tx1"/>
            </w14:solidFill>
          </w14:textFill>
        </w:rPr>
        <w:t xml:space="preserve">  </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640" w:firstLineChars="200"/>
        <w:jc w:val="both"/>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640" w:firstLineChars="200"/>
        <w:jc w:val="both"/>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640" w:firstLineChars="200"/>
        <w:jc w:val="both"/>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640" w:firstLineChars="200"/>
        <w:jc w:val="both"/>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640" w:firstLineChars="200"/>
        <w:jc w:val="both"/>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640" w:firstLineChars="200"/>
        <w:jc w:val="both"/>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640" w:firstLineChars="200"/>
        <w:jc w:val="both"/>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640" w:firstLineChars="200"/>
        <w:jc w:val="both"/>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640" w:firstLineChars="200"/>
        <w:jc w:val="both"/>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640" w:firstLineChars="200"/>
        <w:jc w:val="both"/>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640" w:firstLineChars="200"/>
        <w:jc w:val="both"/>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640" w:firstLineChars="200"/>
        <w:jc w:val="both"/>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 w:name="_Toc416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r>
        <w:rPr>
          <w:rFonts w:hint="eastAsia" w:ascii="黑体" w:hAnsi="黑体" w:eastAsia="黑体" w:cs="黑体"/>
          <w:sz w:val="32"/>
          <w:szCs w:val="32"/>
          <w:lang w:val="en-US" w:eastAsia="zh-CN"/>
        </w:rPr>
        <w:t>一、基本职能及主要工作</w:t>
      </w:r>
      <w:bookmarkEnd w:id="1"/>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674"/>
        <w:jc w:val="both"/>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val="en-US" w:eastAsia="zh-CN"/>
        </w:rPr>
        <w:t>单位</w:t>
      </w:r>
      <w:r>
        <w:rPr>
          <w:rFonts w:hint="eastAsia" w:ascii="楷体_GB2312" w:hAnsi="楷体_GB2312" w:eastAsia="楷体_GB2312" w:cs="楷体_GB2312"/>
          <w:sz w:val="32"/>
          <w:szCs w:val="32"/>
        </w:rPr>
        <w:t>职能简介</w:t>
      </w:r>
    </w:p>
    <w:p>
      <w:pPr>
        <w:pStyle w:val="3"/>
        <w:shd w:val="clear" w:color="auto" w:fill="auto"/>
        <w:adjustRightInd w:val="0"/>
        <w:spacing w:beforeLines="0" w:line="500" w:lineRule="exact"/>
        <w:ind w:firstLine="640" w:firstLineChars="200"/>
        <w:outlineLvl w:val="1"/>
        <w:rPr>
          <w:rFonts w:hint="eastAsia" w:ascii="仿宋" w:hAnsi="仿宋" w:eastAsia="仿宋" w:cs="仿宋"/>
          <w:color w:val="000000"/>
          <w:kern w:val="2"/>
          <w:sz w:val="32"/>
          <w:szCs w:val="32"/>
          <w:highlight w:val="none"/>
          <w:shd w:val="clear" w:color="auto" w:fill="auto"/>
        </w:rPr>
      </w:pPr>
      <w:r>
        <w:rPr>
          <w:rFonts w:hint="eastAsia" w:ascii="仿宋" w:hAnsi="仿宋" w:eastAsia="仿宋" w:cs="仿宋"/>
          <w:color w:val="000000"/>
          <w:kern w:val="2"/>
          <w:sz w:val="32"/>
          <w:szCs w:val="32"/>
          <w:highlight w:val="none"/>
          <w:shd w:val="clear" w:color="auto" w:fill="auto"/>
        </w:rPr>
        <w:t>1.贯彻党的教育方针，坚持社会主义办学方向，实行教育与生产劳动相结合，对学生进行德育、智育、体育、美育和劳动等方面的教育。</w:t>
      </w:r>
    </w:p>
    <w:p>
      <w:pPr>
        <w:pStyle w:val="3"/>
        <w:shd w:val="clear" w:color="auto" w:fill="auto"/>
        <w:adjustRightInd w:val="0"/>
        <w:spacing w:beforeLines="0" w:line="500" w:lineRule="exact"/>
        <w:ind w:firstLine="640" w:firstLineChars="200"/>
        <w:outlineLvl w:val="1"/>
        <w:rPr>
          <w:rFonts w:hint="eastAsia" w:ascii="仿宋" w:hAnsi="仿宋" w:eastAsia="仿宋" w:cs="仿宋"/>
          <w:color w:val="000000"/>
          <w:kern w:val="2"/>
          <w:sz w:val="32"/>
          <w:szCs w:val="32"/>
          <w:highlight w:val="none"/>
          <w:shd w:val="clear" w:color="auto" w:fill="auto"/>
        </w:rPr>
      </w:pPr>
      <w:r>
        <w:rPr>
          <w:rFonts w:hint="eastAsia" w:ascii="仿宋" w:hAnsi="仿宋" w:eastAsia="仿宋" w:cs="仿宋"/>
          <w:color w:val="000000"/>
          <w:kern w:val="2"/>
          <w:sz w:val="32"/>
          <w:szCs w:val="32"/>
          <w:highlight w:val="none"/>
          <w:shd w:val="clear" w:color="auto" w:fill="auto"/>
        </w:rPr>
        <w:t>2.用科学的发展观指导教育教学工作。加强教育科研工作，推动校本教育的健康发展。加强教学管理，不断推进新课程改革，全面提高教学质量。</w:t>
      </w:r>
    </w:p>
    <w:p>
      <w:pPr>
        <w:pStyle w:val="3"/>
        <w:shd w:val="clear" w:color="auto" w:fill="auto"/>
        <w:adjustRightInd w:val="0"/>
        <w:spacing w:beforeLines="0" w:line="500" w:lineRule="exact"/>
        <w:ind w:firstLine="640" w:firstLineChars="200"/>
        <w:outlineLvl w:val="1"/>
        <w:rPr>
          <w:rFonts w:hint="eastAsia" w:ascii="仿宋" w:hAnsi="仿宋" w:eastAsia="仿宋" w:cs="仿宋"/>
          <w:color w:val="000000"/>
          <w:kern w:val="2"/>
          <w:sz w:val="32"/>
          <w:szCs w:val="32"/>
          <w:highlight w:val="none"/>
          <w:shd w:val="clear" w:color="auto" w:fill="auto"/>
        </w:rPr>
      </w:pPr>
      <w:r>
        <w:rPr>
          <w:rFonts w:hint="eastAsia" w:ascii="仿宋" w:hAnsi="仿宋" w:eastAsia="仿宋" w:cs="仿宋"/>
          <w:color w:val="000000"/>
          <w:kern w:val="2"/>
          <w:sz w:val="32"/>
          <w:szCs w:val="32"/>
          <w:highlight w:val="none"/>
          <w:shd w:val="clear" w:color="auto" w:fill="auto"/>
        </w:rPr>
        <w:t>3.负责配合政府依法动员、组织适龄儿童、少年入学，严格控制学生辍学，依法保证适龄儿童、少年接受九年义务教育。</w:t>
      </w:r>
    </w:p>
    <w:p>
      <w:pPr>
        <w:pStyle w:val="3"/>
        <w:shd w:val="clear" w:color="auto" w:fill="auto"/>
        <w:adjustRightInd w:val="0"/>
        <w:spacing w:beforeLines="0" w:line="500" w:lineRule="exact"/>
        <w:ind w:firstLine="640" w:firstLineChars="200"/>
        <w:outlineLvl w:val="1"/>
        <w:rPr>
          <w:rFonts w:hint="eastAsia" w:ascii="仿宋" w:hAnsi="仿宋" w:eastAsia="仿宋" w:cs="仿宋"/>
          <w:color w:val="000000"/>
          <w:kern w:val="2"/>
          <w:sz w:val="32"/>
          <w:szCs w:val="32"/>
          <w:highlight w:val="none"/>
          <w:shd w:val="clear" w:color="auto" w:fill="auto"/>
        </w:rPr>
      </w:pPr>
      <w:bookmarkStart w:id="2" w:name="_Toc15340"/>
      <w:r>
        <w:rPr>
          <w:rFonts w:hint="eastAsia" w:ascii="仿宋" w:hAnsi="仿宋" w:eastAsia="仿宋" w:cs="仿宋"/>
          <w:color w:val="000000"/>
          <w:kern w:val="2"/>
          <w:sz w:val="32"/>
          <w:szCs w:val="32"/>
          <w:highlight w:val="none"/>
          <w:shd w:val="clear" w:color="auto" w:fill="auto"/>
        </w:rPr>
        <w:t>4.继续深化人事制度改革，完善学校内部管理，做好后勤保障工作。</w:t>
      </w:r>
      <w:bookmarkEnd w:id="2"/>
    </w:p>
    <w:p>
      <w:pPr>
        <w:pStyle w:val="3"/>
        <w:shd w:val="clear" w:color="auto" w:fill="auto"/>
        <w:adjustRightInd w:val="0"/>
        <w:spacing w:beforeLines="0" w:line="500" w:lineRule="exact"/>
        <w:ind w:firstLine="640" w:firstLineChars="200"/>
        <w:outlineLvl w:val="2"/>
        <w:rPr>
          <w:rFonts w:hint="eastAsia" w:ascii="仿宋" w:hAnsi="仿宋" w:eastAsia="仿宋" w:cs="仿宋"/>
          <w:color w:val="000000"/>
          <w:kern w:val="2"/>
          <w:sz w:val="32"/>
          <w:szCs w:val="32"/>
          <w:highlight w:val="none"/>
          <w:shd w:val="clear" w:color="auto" w:fill="auto"/>
        </w:rPr>
      </w:pPr>
      <w:r>
        <w:rPr>
          <w:rFonts w:hint="eastAsia" w:ascii="仿宋" w:hAnsi="仿宋" w:eastAsia="仿宋" w:cs="仿宋"/>
          <w:color w:val="000000"/>
          <w:kern w:val="2"/>
          <w:sz w:val="32"/>
          <w:szCs w:val="32"/>
          <w:highlight w:val="none"/>
          <w:shd w:val="clear" w:color="auto" w:fill="auto"/>
        </w:rPr>
        <w:t>5.负责维护学校、师生的合法权益，有权拒绝任何组织和个人对教育教学活动进行非法干扰。</w:t>
      </w:r>
    </w:p>
    <w:p>
      <w:pPr>
        <w:pStyle w:val="3"/>
        <w:shd w:val="clear" w:color="auto" w:fill="auto"/>
        <w:adjustRightInd w:val="0"/>
        <w:spacing w:beforeLines="0" w:line="500" w:lineRule="exact"/>
        <w:ind w:firstLine="640" w:firstLineChars="200"/>
        <w:outlineLvl w:val="1"/>
        <w:rPr>
          <w:rFonts w:hint="eastAsia" w:ascii="仿宋" w:hAnsi="仿宋" w:eastAsia="仿宋" w:cs="仿宋"/>
          <w:color w:val="000000"/>
          <w:kern w:val="2"/>
          <w:sz w:val="32"/>
          <w:szCs w:val="32"/>
          <w:highlight w:val="none"/>
          <w:shd w:val="clear" w:color="auto" w:fill="auto"/>
        </w:rPr>
      </w:pPr>
      <w:bookmarkStart w:id="3" w:name="_Toc5735"/>
      <w:r>
        <w:rPr>
          <w:rFonts w:hint="eastAsia" w:ascii="仿宋" w:hAnsi="仿宋" w:eastAsia="仿宋" w:cs="仿宋"/>
          <w:color w:val="000000"/>
          <w:kern w:val="2"/>
          <w:sz w:val="32"/>
          <w:szCs w:val="32"/>
          <w:highlight w:val="none"/>
          <w:shd w:val="clear" w:color="auto" w:fill="auto"/>
        </w:rPr>
        <w:t>6.负责创建绿色校园、文明校园和平安校园。</w:t>
      </w:r>
      <w:bookmarkEnd w:id="3"/>
    </w:p>
    <w:p>
      <w:pPr>
        <w:pStyle w:val="3"/>
        <w:shd w:val="clear" w:color="auto" w:fill="auto"/>
        <w:adjustRightInd w:val="0"/>
        <w:spacing w:beforeLines="0" w:line="500" w:lineRule="exact"/>
        <w:ind w:firstLine="640" w:firstLineChars="200"/>
        <w:outlineLvl w:val="1"/>
        <w:rPr>
          <w:rFonts w:hint="eastAsia" w:ascii="仿宋" w:hAnsi="仿宋" w:eastAsia="仿宋" w:cs="仿宋"/>
          <w:color w:val="000000"/>
          <w:kern w:val="2"/>
          <w:sz w:val="32"/>
          <w:szCs w:val="32"/>
          <w:highlight w:val="none"/>
          <w:shd w:val="clear" w:color="auto" w:fill="auto"/>
        </w:rPr>
      </w:pPr>
      <w:bookmarkStart w:id="4" w:name="_Toc21494"/>
      <w:r>
        <w:rPr>
          <w:rFonts w:hint="eastAsia" w:ascii="仿宋" w:hAnsi="仿宋" w:eastAsia="仿宋" w:cs="仿宋"/>
          <w:color w:val="000000"/>
          <w:kern w:val="2"/>
          <w:sz w:val="32"/>
          <w:szCs w:val="32"/>
          <w:highlight w:val="none"/>
          <w:shd w:val="clear" w:color="auto" w:fill="auto"/>
        </w:rPr>
        <w:t>7.负责关心教职工生活，发挥教代会职能作用。</w:t>
      </w:r>
      <w:bookmarkEnd w:id="4"/>
    </w:p>
    <w:p>
      <w:pPr>
        <w:shd w:val="clear" w:color="auto" w:fill="auto"/>
        <w:ind w:firstLine="640" w:firstLineChars="200"/>
        <w:rPr>
          <w:rFonts w:hint="eastAsia" w:ascii="仿宋" w:hAnsi="仿宋" w:eastAsia="仿宋" w:cs="仿宋"/>
          <w:b/>
          <w:i w:val="0"/>
          <w:caps w:val="0"/>
          <w:color w:val="000000"/>
          <w:spacing w:val="0"/>
          <w:sz w:val="32"/>
          <w:szCs w:val="32"/>
          <w:highlight w:val="none"/>
          <w:shd w:val="clear" w:color="auto" w:fill="auto"/>
        </w:rPr>
      </w:pPr>
      <w:r>
        <w:rPr>
          <w:rFonts w:hint="eastAsia" w:ascii="仿宋" w:hAnsi="仿宋" w:eastAsia="仿宋" w:cs="仿宋"/>
          <w:color w:val="000000"/>
          <w:sz w:val="32"/>
          <w:szCs w:val="32"/>
          <w:highlight w:val="none"/>
          <w:shd w:val="clear" w:color="auto" w:fill="auto"/>
        </w:rPr>
        <w:t>8.承办上级交办的其他事项。</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jc w:val="both"/>
        <w:textAlignment w:val="auto"/>
        <w:rPr>
          <w:rFonts w:hint="eastAsia" w:ascii="仿宋" w:hAnsi="仿宋" w:eastAsia="仿宋" w:cs="仿宋"/>
          <w:b/>
          <w:bCs/>
          <w:sz w:val="44"/>
          <w:szCs w:val="44"/>
          <w:lang w:val="en-US" w:eastAsia="zh-CN"/>
        </w:rPr>
      </w:pPr>
      <w:r>
        <w:rPr>
          <w:rFonts w:hint="eastAsia" w:ascii="楷体_GB2312" w:hAnsi="楷体_GB2312" w:eastAsia="楷体_GB2312" w:cs="楷体_GB2312"/>
          <w:sz w:val="32"/>
          <w:szCs w:val="32"/>
        </w:rPr>
        <w:t>（二）</w:t>
      </w:r>
      <w:r>
        <w:rPr>
          <w:rFonts w:hint="eastAsia" w:ascii="楷体_GB2312" w:hAnsi="楷体_GB2312" w:eastAsia="楷体_GB2312" w:cs="楷体_GB2312"/>
          <w:sz w:val="32"/>
          <w:szCs w:val="32"/>
          <w:lang w:val="en-US" w:eastAsia="zh-CN"/>
        </w:rPr>
        <w:t>单位</w:t>
      </w:r>
      <w:r>
        <w:rPr>
          <w:rFonts w:hint="eastAsia" w:ascii="楷体_GB2312" w:hAnsi="楷体_GB2312" w:eastAsia="楷体_GB2312" w:cs="楷体_GB2312"/>
          <w:sz w:val="32"/>
          <w:szCs w:val="32"/>
          <w:lang w:val="en-US"/>
        </w:rPr>
        <w:t>2024</w:t>
      </w:r>
      <w:r>
        <w:rPr>
          <w:rFonts w:hint="eastAsia" w:ascii="楷体_GB2312" w:hAnsi="楷体_GB2312" w:eastAsia="楷体_GB2312" w:cs="楷体_GB2312"/>
          <w:sz w:val="32"/>
          <w:szCs w:val="32"/>
        </w:rPr>
        <w:t>年重点工作</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320" w:firstLineChars="100"/>
        <w:jc w:val="left"/>
        <w:textAlignment w:val="auto"/>
        <w:outlineLvl w:val="1"/>
        <w:rPr>
          <w:rFonts w:hint="eastAsia" w:ascii="仿宋" w:hAnsi="仿宋" w:eastAsia="仿宋" w:cs="仿宋"/>
          <w:sz w:val="32"/>
          <w:szCs w:val="32"/>
          <w:lang w:val="en-US" w:eastAsia="zh-CN"/>
        </w:rPr>
      </w:pPr>
      <w:bookmarkStart w:id="5" w:name="_Toc17400"/>
      <w:r>
        <w:rPr>
          <w:rFonts w:hint="eastAsia" w:ascii="仿宋" w:hAnsi="仿宋" w:eastAsia="仿宋" w:cs="仿宋"/>
          <w:sz w:val="32"/>
          <w:szCs w:val="32"/>
          <w:lang w:val="en-US" w:eastAsia="zh-CN"/>
        </w:rPr>
        <w:t>1、强党建 增团结</w:t>
      </w:r>
      <w:bookmarkEnd w:id="5"/>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（1）严格履行党组织领导下的校长负责制，完善支部、行政议事规则；凡是关于学校重大项目建设、制度修订、人员安排大型活动安排等事项必须经支部讨论决定后行政执行落实。</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（2）坚持每周政治学习和学习强国天天见。</w:t>
      </w:r>
      <w:r>
        <w:rPr>
          <w:rFonts w:hint="eastAsia" w:ascii="仿宋" w:hAnsi="仿宋" w:eastAsia="仿宋" w:cs="仿宋"/>
          <w:sz w:val="32"/>
          <w:szCs w:val="32"/>
          <w:lang w:eastAsia="zh-CN"/>
        </w:rPr>
        <w:t>深入开展学习贯彻习近平新时代中国特色社会主义思想主题教育</w:t>
      </w:r>
      <w:r>
        <w:rPr>
          <w:rFonts w:hint="eastAsia" w:ascii="仿宋" w:hAnsi="仿宋" w:eastAsia="仿宋" w:cs="仿宋"/>
          <w:sz w:val="32"/>
          <w:szCs w:val="32"/>
        </w:rPr>
        <w:t>，组织广大教职工深入学习党的理论和路线方针政策，不断增强“四个意识”，坚定“四个自信”，做到“两个维护”。</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 w:hAnsi="仿宋" w:eastAsia="仿宋" w:cs="仿宋"/>
          <w:sz w:val="32"/>
          <w:szCs w:val="32"/>
          <w:highlight w:val="none"/>
          <w:lang w:eastAsia="zh-CN"/>
        </w:rPr>
      </w:pPr>
      <w:r>
        <w:rPr>
          <w:rFonts w:hint="eastAsia" w:ascii="仿宋" w:hAnsi="仿宋" w:eastAsia="仿宋" w:cs="仿宋"/>
          <w:sz w:val="32"/>
          <w:szCs w:val="32"/>
          <w:lang w:val="en-US" w:eastAsia="zh-CN"/>
        </w:rPr>
        <w:t>（3）</w:t>
      </w:r>
      <w:r>
        <w:rPr>
          <w:rFonts w:hint="eastAsia" w:ascii="仿宋" w:hAnsi="仿宋" w:eastAsia="仿宋" w:cs="仿宋"/>
          <w:sz w:val="32"/>
          <w:szCs w:val="32"/>
          <w:highlight w:val="none"/>
          <w:lang w:eastAsia="zh-CN"/>
        </w:rPr>
        <w:t>落实党内组织生活制度。组织开展好三会一课、主题党日、组织生活会、运用学习强国平台等。</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val="en-US" w:eastAsia="zh-CN"/>
        </w:rPr>
        <w:t>（4）</w:t>
      </w:r>
      <w:r>
        <w:rPr>
          <w:rFonts w:hint="eastAsia" w:ascii="仿宋" w:hAnsi="仿宋" w:eastAsia="仿宋" w:cs="仿宋"/>
          <w:sz w:val="32"/>
          <w:szCs w:val="32"/>
          <w:highlight w:val="none"/>
          <w:lang w:eastAsia="zh-CN"/>
        </w:rPr>
        <w:t>加强党员队伍建设。党员的评优、退休党员教师的慰问、积极分子的考察等。</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 w:hAnsi="仿宋" w:eastAsia="仿宋" w:cs="仿宋"/>
          <w:sz w:val="32"/>
          <w:szCs w:val="32"/>
          <w:lang w:val="en-US" w:eastAsia="zh-CN"/>
        </w:rPr>
      </w:pPr>
      <w:bookmarkStart w:id="19" w:name="_GoBack"/>
      <w:bookmarkEnd w:id="19"/>
      <w:r>
        <w:rPr>
          <w:rFonts w:hint="eastAsia" w:ascii="仿宋" w:hAnsi="仿宋" w:eastAsia="仿宋" w:cs="仿宋"/>
          <w:sz w:val="32"/>
          <w:szCs w:val="32"/>
          <w:highlight w:val="none"/>
          <w:lang w:val="en-US" w:eastAsia="zh-CN"/>
        </w:rPr>
        <w:t>（5）</w:t>
      </w:r>
      <w:r>
        <w:rPr>
          <w:rFonts w:hint="eastAsia" w:ascii="仿宋" w:hAnsi="仿宋" w:eastAsia="仿宋" w:cs="仿宋"/>
          <w:sz w:val="32"/>
          <w:szCs w:val="32"/>
          <w:highlight w:val="none"/>
          <w:lang w:eastAsia="zh-CN"/>
        </w:rPr>
        <w:t>持续推进党风廉政建设和师德师风建设。</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outlineLvl w:val="1"/>
        <w:rPr>
          <w:rFonts w:hint="eastAsia" w:ascii="仿宋" w:hAnsi="仿宋" w:eastAsia="仿宋" w:cs="仿宋"/>
          <w:sz w:val="32"/>
          <w:szCs w:val="32"/>
          <w:lang w:val="en-US" w:eastAsia="zh-CN"/>
        </w:rPr>
      </w:pPr>
      <w:bookmarkStart w:id="6" w:name="_Toc2771"/>
      <w:r>
        <w:rPr>
          <w:rFonts w:hint="eastAsia" w:ascii="仿宋" w:hAnsi="仿宋" w:eastAsia="仿宋" w:cs="仿宋"/>
          <w:sz w:val="32"/>
          <w:szCs w:val="32"/>
          <w:lang w:val="en-US" w:eastAsia="zh-CN"/>
        </w:rPr>
        <w:t>2、抓安全  保平安</w:t>
      </w:r>
      <w:bookmarkEnd w:id="6"/>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（1）坚持常规安全抓经常。每周集中开展一次安全教育和隐患排查，</w:t>
      </w:r>
      <w:r>
        <w:rPr>
          <w:rFonts w:hint="eastAsia" w:ascii="仿宋" w:hAnsi="仿宋" w:eastAsia="仿宋" w:cs="仿宋"/>
          <w:sz w:val="32"/>
          <w:szCs w:val="32"/>
        </w:rPr>
        <w:t>每月进行一次行为习惯培养</w:t>
      </w:r>
      <w:r>
        <w:rPr>
          <w:rFonts w:hint="eastAsia" w:ascii="仿宋" w:hAnsi="仿宋" w:eastAsia="仿宋" w:cs="仿宋"/>
          <w:sz w:val="32"/>
          <w:szCs w:val="32"/>
          <w:lang w:eastAsia="zh-CN"/>
        </w:rPr>
        <w:t>，</w:t>
      </w:r>
      <w:r>
        <w:rPr>
          <w:rFonts w:hint="eastAsia" w:ascii="仿宋" w:hAnsi="仿宋" w:eastAsia="仿宋" w:cs="仿宋"/>
          <w:sz w:val="32"/>
          <w:szCs w:val="32"/>
        </w:rPr>
        <w:t>每月开展一次安全演练</w:t>
      </w:r>
      <w:r>
        <w:rPr>
          <w:rFonts w:hint="eastAsia" w:ascii="仿宋" w:hAnsi="仿宋" w:eastAsia="仿宋" w:cs="仿宋"/>
          <w:sz w:val="32"/>
          <w:szCs w:val="32"/>
          <w:lang w:eastAsia="zh-CN"/>
        </w:rPr>
        <w:t>，坚持定期在家长群发布防诈骗、森林防火、防溺水教育信息。常态化抓好学校食品卫生工作，严格做到日排查、周管控、月调度，确保师生享用到安全营养的三餐。</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lang w:eastAsia="zh-CN"/>
        </w:rPr>
        <w:t>坚持做好“三操两课”（早操、课间操、眼保健操；体育课、一小时课外体育活动）。</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lang w:eastAsia="zh-CN"/>
        </w:rPr>
        <w:t>开展一次校园足球活动和六一亲子游园活动。</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319" w:leftChars="152" w:firstLine="320" w:firstLineChars="100"/>
        <w:jc w:val="left"/>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(4)</w:t>
      </w:r>
      <w:r>
        <w:rPr>
          <w:rFonts w:hint="eastAsia" w:ascii="仿宋" w:hAnsi="仿宋" w:eastAsia="仿宋" w:cs="仿宋"/>
          <w:sz w:val="32"/>
          <w:szCs w:val="32"/>
        </w:rPr>
        <w:t>开展好主题教育活动</w:t>
      </w:r>
      <w:r>
        <w:rPr>
          <w:rFonts w:hint="eastAsia" w:ascii="仿宋" w:hAnsi="仿宋" w:eastAsia="仿宋" w:cs="仿宋"/>
          <w:sz w:val="32"/>
          <w:szCs w:val="32"/>
          <w:lang w:eastAsia="zh-CN"/>
        </w:rPr>
        <w:t>，做到月月有主题，周周有活动。</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(5)</w:t>
      </w:r>
      <w:r>
        <w:rPr>
          <w:rFonts w:hint="eastAsia" w:ascii="仿宋" w:hAnsi="仿宋" w:eastAsia="仿宋" w:cs="仿宋"/>
          <w:sz w:val="32"/>
          <w:szCs w:val="32"/>
          <w:lang w:eastAsia="zh-CN"/>
        </w:rPr>
        <w:t>加强学生行为养成教育，注重学生学习习惯、卫生习惯、礼仪教育。</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(6)</w:t>
      </w:r>
      <w:r>
        <w:rPr>
          <w:rFonts w:hint="eastAsia" w:ascii="仿宋" w:hAnsi="仿宋" w:eastAsia="仿宋" w:cs="仿宋"/>
          <w:sz w:val="32"/>
          <w:szCs w:val="32"/>
          <w:lang w:eastAsia="zh-CN"/>
        </w:rPr>
        <w:t>开展一次师生心理健康调查。</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(7)</w:t>
      </w:r>
      <w:r>
        <w:rPr>
          <w:rFonts w:hint="eastAsia" w:ascii="仿宋" w:hAnsi="仿宋" w:eastAsia="仿宋" w:cs="仿宋"/>
          <w:sz w:val="32"/>
          <w:szCs w:val="32"/>
          <w:lang w:eastAsia="zh-CN"/>
        </w:rPr>
        <w:t>进一步抓实学校激情德育。</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Chars="200"/>
        <w:textAlignment w:val="auto"/>
        <w:outlineLvl w:val="1"/>
        <w:rPr>
          <w:rFonts w:hint="eastAsia" w:ascii="仿宋" w:hAnsi="仿宋" w:eastAsia="仿宋" w:cs="仿宋"/>
          <w:sz w:val="32"/>
          <w:szCs w:val="32"/>
          <w:highlight w:val="none"/>
          <w:lang w:val="en-US" w:eastAsia="zh-CN"/>
        </w:rPr>
      </w:pPr>
      <w:bookmarkStart w:id="7" w:name="_Toc32462"/>
      <w:r>
        <w:rPr>
          <w:rFonts w:hint="eastAsia" w:ascii="仿宋" w:hAnsi="仿宋" w:eastAsia="仿宋" w:cs="仿宋"/>
          <w:sz w:val="32"/>
          <w:szCs w:val="32"/>
          <w:highlight w:val="none"/>
          <w:lang w:val="en-US" w:eastAsia="zh-CN"/>
        </w:rPr>
        <w:t>3、</w:t>
      </w:r>
      <w:r>
        <w:rPr>
          <w:rFonts w:hint="eastAsia" w:ascii="仿宋" w:hAnsi="仿宋" w:eastAsia="仿宋" w:cs="仿宋"/>
          <w:sz w:val="32"/>
          <w:szCs w:val="32"/>
          <w:highlight w:val="none"/>
          <w:lang w:eastAsia="zh-CN"/>
        </w:rPr>
        <w:t>强课堂</w:t>
      </w:r>
      <w:r>
        <w:rPr>
          <w:rFonts w:hint="eastAsia" w:ascii="仿宋" w:hAnsi="仿宋" w:eastAsia="仿宋" w:cs="仿宋"/>
          <w:sz w:val="32"/>
          <w:szCs w:val="32"/>
          <w:highlight w:val="none"/>
          <w:lang w:val="en-US" w:eastAsia="zh-CN"/>
        </w:rPr>
        <w:t xml:space="preserve">  提质量</w:t>
      </w:r>
      <w:bookmarkEnd w:id="7"/>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val="en-US" w:eastAsia="zh-CN"/>
        </w:rPr>
        <w:t>(</w:t>
      </w:r>
      <w:r>
        <w:rPr>
          <w:rFonts w:hint="eastAsia" w:ascii="仿宋" w:hAnsi="仿宋" w:eastAsia="仿宋" w:cs="仿宋"/>
          <w:sz w:val="32"/>
          <w:szCs w:val="32"/>
          <w:highlight w:val="none"/>
          <w:lang w:eastAsia="zh-CN"/>
        </w:rPr>
        <w:t>1</w:t>
      </w:r>
      <w:r>
        <w:rPr>
          <w:rFonts w:hint="eastAsia" w:ascii="仿宋" w:hAnsi="仿宋" w:eastAsia="仿宋" w:cs="仿宋"/>
          <w:sz w:val="32"/>
          <w:szCs w:val="32"/>
          <w:highlight w:val="none"/>
          <w:lang w:val="en-US" w:eastAsia="zh-CN"/>
        </w:rPr>
        <w:t>)</w:t>
      </w:r>
      <w:r>
        <w:rPr>
          <w:rFonts w:hint="eastAsia" w:ascii="仿宋" w:hAnsi="仿宋" w:eastAsia="仿宋" w:cs="仿宋"/>
          <w:sz w:val="32"/>
          <w:szCs w:val="32"/>
          <w:highlight w:val="none"/>
          <w:lang w:eastAsia="zh-CN"/>
        </w:rPr>
        <w:t>强化质量意识。召开2023年秋季教学质量分析会暨2024年春季教学质量推进会、毕业班及五年级班级教学推进会。</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lang w:val="en-US" w:eastAsia="zh-CN"/>
        </w:rPr>
        <w:t>2)</w:t>
      </w:r>
      <w:r>
        <w:rPr>
          <w:rFonts w:hint="eastAsia" w:ascii="仿宋" w:hAnsi="仿宋" w:eastAsia="仿宋" w:cs="仿宋"/>
          <w:sz w:val="32"/>
          <w:szCs w:val="32"/>
          <w:highlight w:val="none"/>
          <w:lang w:eastAsia="zh-CN"/>
        </w:rPr>
        <w:t>细化教学常规管理。严格落实教学六认真工作（上课、备课、听课、作业批改、辅导等严格要求）；认真学习《昭化区中小学教学工作常规实施细则》；教学常规检查常态化，每周检查一学科，每月一次全面普查；校本教研常态化；</w:t>
      </w:r>
      <w:r>
        <w:rPr>
          <w:rFonts w:hint="eastAsia" w:ascii="仿宋" w:hAnsi="仿宋" w:eastAsia="仿宋" w:cs="仿宋"/>
          <w:sz w:val="32"/>
          <w:szCs w:val="32"/>
          <w:highlight w:val="none"/>
          <w:lang w:val="en-US" w:eastAsia="zh-CN"/>
        </w:rPr>
        <w:t>开展2次全校性的学生作业展评。</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val="en-US" w:eastAsia="zh-CN"/>
        </w:rPr>
        <w:t>(3)</w:t>
      </w:r>
      <w:r>
        <w:rPr>
          <w:rFonts w:hint="eastAsia" w:ascii="仿宋" w:hAnsi="仿宋" w:eastAsia="仿宋" w:cs="仿宋"/>
          <w:sz w:val="32"/>
          <w:szCs w:val="32"/>
          <w:highlight w:val="none"/>
          <w:lang w:eastAsia="zh-CN"/>
        </w:rPr>
        <w:t>加强青年教师培养。注重青蓝结对实效性和青年教师外出培训。</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val="en-US" w:eastAsia="zh-CN"/>
        </w:rPr>
        <w:t>(</w:t>
      </w:r>
      <w:r>
        <w:rPr>
          <w:rFonts w:hint="eastAsia" w:ascii="仿宋" w:hAnsi="仿宋" w:eastAsia="仿宋" w:cs="仿宋"/>
          <w:sz w:val="32"/>
          <w:szCs w:val="32"/>
          <w:highlight w:val="none"/>
          <w:lang w:eastAsia="zh-CN"/>
        </w:rPr>
        <w:t>4</w:t>
      </w:r>
      <w:r>
        <w:rPr>
          <w:rFonts w:hint="eastAsia" w:ascii="仿宋" w:hAnsi="仿宋" w:eastAsia="仿宋" w:cs="仿宋"/>
          <w:sz w:val="32"/>
          <w:szCs w:val="32"/>
          <w:highlight w:val="none"/>
          <w:lang w:val="en-US" w:eastAsia="zh-CN"/>
        </w:rPr>
        <w:t>)</w:t>
      </w:r>
      <w:r>
        <w:rPr>
          <w:rFonts w:hint="eastAsia" w:ascii="仿宋" w:hAnsi="仿宋" w:eastAsia="仿宋" w:cs="仿宋"/>
          <w:sz w:val="32"/>
          <w:szCs w:val="32"/>
          <w:highlight w:val="none"/>
          <w:lang w:eastAsia="zh-CN"/>
        </w:rPr>
        <w:t>做好培优辅差工作。各班明确培优辅差目标，学科教师强化合作意识，争取各年级有一名全科优生，不放弃一个后进生。</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val="en-US" w:eastAsia="zh-CN"/>
        </w:rPr>
        <w:t>(</w:t>
      </w:r>
      <w:r>
        <w:rPr>
          <w:rFonts w:hint="eastAsia" w:ascii="仿宋" w:hAnsi="仿宋" w:eastAsia="仿宋" w:cs="仿宋"/>
          <w:sz w:val="32"/>
          <w:szCs w:val="32"/>
          <w:highlight w:val="none"/>
          <w:lang w:eastAsia="zh-CN"/>
        </w:rPr>
        <w:t>5</w:t>
      </w:r>
      <w:r>
        <w:rPr>
          <w:rFonts w:hint="eastAsia" w:ascii="仿宋" w:hAnsi="仿宋" w:eastAsia="仿宋" w:cs="仿宋"/>
          <w:sz w:val="32"/>
          <w:szCs w:val="32"/>
          <w:highlight w:val="none"/>
          <w:lang w:val="en-US" w:eastAsia="zh-CN"/>
        </w:rPr>
        <w:t>)</w:t>
      </w:r>
      <w:r>
        <w:rPr>
          <w:rFonts w:hint="eastAsia" w:ascii="仿宋" w:hAnsi="仿宋" w:eastAsia="仿宋" w:cs="仿宋"/>
          <w:sz w:val="32"/>
          <w:szCs w:val="32"/>
          <w:highlight w:val="none"/>
          <w:lang w:eastAsia="zh-CN"/>
        </w:rPr>
        <w:t>认真开展课后延时服务活动，力争每一名学生都参与一门社团活动。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val="en-US" w:eastAsia="zh-CN"/>
        </w:rPr>
        <w:t>(</w:t>
      </w:r>
      <w:r>
        <w:rPr>
          <w:rFonts w:hint="eastAsia" w:ascii="仿宋" w:hAnsi="仿宋" w:eastAsia="仿宋" w:cs="仿宋"/>
          <w:sz w:val="32"/>
          <w:szCs w:val="32"/>
          <w:highlight w:val="none"/>
          <w:lang w:eastAsia="zh-CN"/>
        </w:rPr>
        <w:t>6</w:t>
      </w:r>
      <w:r>
        <w:rPr>
          <w:rFonts w:hint="eastAsia" w:ascii="仿宋" w:hAnsi="仿宋" w:eastAsia="仿宋" w:cs="仿宋"/>
          <w:sz w:val="32"/>
          <w:szCs w:val="32"/>
          <w:highlight w:val="none"/>
          <w:lang w:val="en-US" w:eastAsia="zh-CN"/>
        </w:rPr>
        <w:t>)</w:t>
      </w:r>
      <w:r>
        <w:rPr>
          <w:rFonts w:hint="eastAsia" w:ascii="仿宋" w:hAnsi="仿宋" w:eastAsia="仿宋" w:cs="仿宋"/>
          <w:sz w:val="32"/>
          <w:szCs w:val="32"/>
          <w:highlight w:val="none"/>
          <w:lang w:eastAsia="zh-CN"/>
        </w:rPr>
        <w:t>加强学校艺术教育工作，开展一次学生艺术静态作品展，积极参与区级艺术节活动。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w:t>
      </w:r>
      <w:r>
        <w:rPr>
          <w:rFonts w:hint="eastAsia" w:ascii="仿宋" w:hAnsi="仿宋" w:eastAsia="仿宋" w:cs="仿宋"/>
          <w:sz w:val="32"/>
          <w:szCs w:val="32"/>
          <w:highlight w:val="none"/>
          <w:lang w:eastAsia="zh-CN"/>
        </w:rPr>
        <w:t>7</w:t>
      </w:r>
      <w:r>
        <w:rPr>
          <w:rFonts w:hint="eastAsia" w:ascii="仿宋" w:hAnsi="仿宋" w:eastAsia="仿宋" w:cs="仿宋"/>
          <w:sz w:val="32"/>
          <w:szCs w:val="32"/>
          <w:highlight w:val="none"/>
          <w:lang w:val="en-US" w:eastAsia="zh-CN"/>
        </w:rPr>
        <w:t>)</w:t>
      </w:r>
      <w:r>
        <w:rPr>
          <w:rFonts w:hint="eastAsia" w:ascii="仿宋" w:hAnsi="仿宋" w:eastAsia="仿宋" w:cs="仿宋"/>
          <w:sz w:val="32"/>
          <w:szCs w:val="32"/>
          <w:highlight w:val="none"/>
          <w:lang w:eastAsia="zh-CN"/>
        </w:rPr>
        <w:t>做好保生保学工作。稳固幼儿班生源，抓实“千名教师访万家”，确保今年九月新生招生</w:t>
      </w:r>
      <w:r>
        <w:rPr>
          <w:rFonts w:hint="eastAsia" w:ascii="仿宋" w:hAnsi="仿宋" w:eastAsia="仿宋" w:cs="仿宋"/>
          <w:sz w:val="32"/>
          <w:szCs w:val="32"/>
          <w:highlight w:val="none"/>
          <w:lang w:val="en-US" w:eastAsia="zh-CN"/>
        </w:rPr>
        <w:t>5人。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highlight w:val="none"/>
          <w:lang w:val="en-US" w:eastAsia="zh-CN"/>
        </w:rPr>
        <w:t>(8)</w:t>
      </w:r>
      <w:r>
        <w:rPr>
          <w:rFonts w:hint="eastAsia" w:ascii="仿宋" w:hAnsi="仿宋" w:eastAsia="仿宋" w:cs="仿宋"/>
          <w:sz w:val="32"/>
          <w:szCs w:val="32"/>
        </w:rPr>
        <w:t>开展“达标课、示范课、优质课”教研活动，提高教师教学水平</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(9)开展一次区内教学研究交流活动。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(10)做好区级课题研究结题工作。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仿宋" w:hAnsi="仿宋" w:eastAsia="仿宋" w:cs="仿宋"/>
          <w:sz w:val="32"/>
          <w:szCs w:val="32"/>
          <w:lang w:eastAsia="zh-CN"/>
        </w:rPr>
      </w:pPr>
      <w:bookmarkStart w:id="8" w:name="_Toc25001"/>
      <w:r>
        <w:rPr>
          <w:rFonts w:hint="eastAsia" w:ascii="仿宋" w:hAnsi="仿宋" w:eastAsia="仿宋" w:cs="仿宋"/>
          <w:sz w:val="32"/>
          <w:szCs w:val="32"/>
          <w:lang w:val="en-US" w:eastAsia="zh-CN"/>
        </w:rPr>
        <w:t>4</w:t>
      </w:r>
      <w:r>
        <w:rPr>
          <w:rFonts w:hint="eastAsia" w:ascii="仿宋" w:hAnsi="仿宋" w:eastAsia="仿宋" w:cs="仿宋"/>
          <w:sz w:val="32"/>
          <w:szCs w:val="32"/>
          <w:lang w:eastAsia="zh-CN"/>
        </w:rPr>
        <w:t>、工会与后勤</w:t>
      </w:r>
      <w:bookmarkEnd w:id="8"/>
    </w:p>
    <w:p>
      <w:pPr>
        <w:keepNext w:val="0"/>
        <w:keepLines w:val="0"/>
        <w:pageBreakBefore w:val="0"/>
        <w:widowControl w:val="0"/>
        <w:kinsoku/>
        <w:wordWrap/>
        <w:overflowPunct/>
        <w:topLinePunct w:val="0"/>
        <w:autoSpaceDE/>
        <w:autoSpaceDN/>
        <w:bidi w:val="0"/>
        <w:adjustRightInd/>
        <w:snapToGrid/>
        <w:spacing w:line="576" w:lineRule="exact"/>
        <w:ind w:left="319" w:leftChars="152" w:firstLine="320" w:firstLineChars="1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维护教职工合法权益</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①完善教职工代表大会制度，充分发挥其在学校管理中的民主参与和民主监督作用。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②关注教职工的工作和生活，及时了解和反映教职工的诉求，帮助解决实际困难。</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③加强劳动法律法规宣传，提高教职工的法律意识和自我保护能力。</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丰富教职工文体生活</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①组织开展各类文体活动，丰富教职工的业余生活，增强教职工的凝聚力和向心力。</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②加强校园文化建设，营造良好的教书育人环境。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楷体_GB2312" w:hAnsi="楷体_GB2312" w:eastAsia="楷体_GB2312" w:cs="楷体_GB2312"/>
          <w:sz w:val="32"/>
          <w:szCs w:val="32"/>
          <w:lang w:val="en-US"/>
        </w:rPr>
      </w:pPr>
      <w:r>
        <w:rPr>
          <w:rFonts w:hint="eastAsia" w:ascii="仿宋" w:hAnsi="仿宋" w:eastAsia="仿宋" w:cs="仿宋"/>
          <w:sz w:val="32"/>
          <w:szCs w:val="32"/>
          <w:lang w:val="en-US" w:eastAsia="zh-CN"/>
        </w:rPr>
        <w:t>（3）开源节流，维护好学校各类设施设备的硬件维修，做好各类活动的后勤保障，及时处理教职员工报账和票据上交。</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9" w:name="_Toc29535"/>
      <w:r>
        <w:rPr>
          <w:rFonts w:hint="eastAsia" w:ascii="黑体" w:hAnsi="黑体" w:eastAsia="黑体" w:cs="黑体"/>
          <w:sz w:val="32"/>
          <w:szCs w:val="32"/>
          <w:lang w:val="en-US" w:eastAsia="zh-CN"/>
        </w:rPr>
        <w:t>二、单位预算单位构成</w:t>
      </w:r>
      <w:bookmarkEnd w:id="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香溪小学为广元市昭化区教育局下属二级预算单位，本单位无下属机构，属于公益一类事业单位。</w:t>
      </w:r>
    </w:p>
    <w:p>
      <w:pPr>
        <w:keepNext w:val="0"/>
        <w:keepLines w:val="0"/>
        <w:widowControl/>
        <w:numPr>
          <w:ilvl w:val="0"/>
          <w:numId w:val="1"/>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outlineLvl w:val="0"/>
        <w:rPr>
          <w:rFonts w:hint="eastAsia" w:ascii="黑体" w:hAnsi="黑体" w:eastAsia="黑体" w:cs="黑体"/>
          <w:sz w:val="32"/>
          <w:szCs w:val="32"/>
          <w:lang w:val="en-US" w:eastAsia="zh-CN"/>
        </w:rPr>
      </w:pPr>
      <w:bookmarkStart w:id="10" w:name="_Toc27484"/>
      <w:r>
        <w:rPr>
          <w:rFonts w:hint="eastAsia" w:ascii="黑体" w:hAnsi="黑体" w:eastAsia="黑体" w:cs="黑体"/>
          <w:sz w:val="32"/>
          <w:szCs w:val="32"/>
          <w:lang w:val="en-US" w:eastAsia="zh-CN"/>
        </w:rPr>
        <w:t>收支预算情况说明</w:t>
      </w:r>
      <w:bookmarkEnd w:id="1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照综合预算的原则，我校所有收入和支出均纳入部门预算管理。收入包括：一般公共预算拨款收入；支出包括：教育支出、社会保障和就业支出。我校2024年收支总预算275.37万元,比2023年收支预算总数减少5.49万元，主要原因是基本支出和项目支出减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（一）收入预算情况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香溪小学2024年收入预算275.37万元，一般公共预算拨款收入275.37万元，占100%。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（二）支出预算情况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香溪小学2024年支出预算275.37万元，其中：基本支出247.55万元，占89.90%；项目支出27.82万元，占10.10%</w:t>
      </w:r>
      <w:r>
        <w:rPr>
          <w:rFonts w:hint="eastAsia" w:ascii="仿宋_GB2312" w:hAnsi="仿宋_GB2312" w:eastAsia="仿宋_GB2312" w:cs="仿宋_GB2312"/>
          <w:b w:val="0"/>
          <w:bCs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1" w:name="_Toc10299"/>
      <w:r>
        <w:rPr>
          <w:rFonts w:hint="eastAsia" w:ascii="黑体" w:hAnsi="黑体" w:eastAsia="黑体" w:cs="黑体"/>
          <w:sz w:val="32"/>
          <w:szCs w:val="32"/>
          <w:lang w:val="en-US" w:eastAsia="zh-CN"/>
        </w:rPr>
        <w:t>四、财政拨款收支预算情况说明</w:t>
      </w:r>
      <w:bookmarkEnd w:id="1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sz w:val="32"/>
          <w:szCs w:val="32"/>
          <w:lang w:val="en-US" w:eastAsia="zh-CN"/>
        </w:rPr>
        <w:t>香溪小学2024年财政拨款收支预算总数275.37万元,比2023年财政拨款收支预算总数减少5.49万元，</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主要原因是基本支出和项目支出减少。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收入包括：本年一般公共预算拨款收入275.37万元；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支出包括：教育支出237.37万元、社会保障和就业支出38.00万元。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2" w:name="_Toc16006"/>
      <w:r>
        <w:rPr>
          <w:rFonts w:hint="eastAsia" w:ascii="黑体" w:hAnsi="黑体" w:eastAsia="黑体" w:cs="黑体"/>
          <w:sz w:val="32"/>
          <w:szCs w:val="32"/>
          <w:lang w:val="en-US" w:eastAsia="zh-CN"/>
        </w:rPr>
        <w:t>五、一般公共预算当年拨款情况说明</w:t>
      </w:r>
      <w:bookmarkEnd w:id="1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香溪小学2024年一般公共预算当年拨款275.37万元，比2023年预算数减少5.49万元，主要原因是基本支出和项目支出减少。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color w:val="000000" w:themeColor="text1"/>
          <w:sz w:val="32"/>
          <w:szCs w:val="32"/>
          <w:vertAlign w:val="baseline"/>
          <w:lang w:val="en-US" w:eastAsia="zh-CN"/>
          <w14:textFill>
            <w14:solidFill>
              <w14:schemeClr w14:val="tx1"/>
            </w14:solidFill>
          </w14:textFill>
        </w:rPr>
      </w:pPr>
      <w:r>
        <w:rPr>
          <w:rFonts w:hint="eastAsia" w:ascii="楷体_GB2312" w:hAnsi="楷体_GB2312" w:eastAsia="楷体_GB2312" w:cs="楷体_GB2312"/>
          <w:color w:val="000000" w:themeColor="text1"/>
          <w:sz w:val="32"/>
          <w:szCs w:val="32"/>
          <w:vertAlign w:val="baseline"/>
          <w:lang w:val="en-US" w:eastAsia="zh-CN"/>
          <w14:textFill>
            <w14:solidFill>
              <w14:schemeClr w14:val="tx1"/>
            </w14:solidFill>
          </w14:textFill>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教育支出237.37万元，占86.20%。社会保障和就业支出38.00万元，占13.80%。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（三）一般公共预算当年拨款具体使用情况</w:t>
      </w:r>
    </w:p>
    <w:p>
      <w:pPr>
        <w:shd w:val="clear" w:color="auto" w:fill="auto"/>
        <w:spacing w:line="600" w:lineRule="exact"/>
        <w:ind w:firstLine="640" w:firstLineChars="200"/>
        <w:rPr>
          <w:rFonts w:ascii="Times New Roman" w:hAnsi="Times New Roman" w:eastAsia="仿宋_GB2312" w:cs="Times New Roman"/>
          <w:color w:val="000000"/>
          <w:sz w:val="32"/>
          <w:szCs w:val="32"/>
          <w:highlight w:val="none"/>
          <w:shd w:val="clear" w:color="auto" w:fill="auto"/>
        </w:rPr>
      </w:pPr>
      <w:r>
        <w:rPr>
          <w:rFonts w:hint="default" w:ascii="仿宋_GB2312" w:hAnsi="仿宋_GB2312" w:eastAsia="仿宋_GB2312" w:cs="仿宋_GB2312"/>
          <w:sz w:val="32"/>
          <w:szCs w:val="32"/>
          <w:lang w:val="en-US" w:eastAsia="zh-CN"/>
        </w:rPr>
        <w:t>1.</w:t>
      </w:r>
      <w:r>
        <w:rPr>
          <w:rFonts w:hint="eastAsia" w:ascii="Times New Roman" w:hAnsi="Times New Roman" w:eastAsia="仿宋_GB2312"/>
          <w:color w:val="000000"/>
          <w:sz w:val="32"/>
          <w:szCs w:val="32"/>
          <w:highlight w:val="none"/>
          <w:shd w:val="clear" w:color="auto" w:fill="auto"/>
        </w:rPr>
        <w:t>教育支出</w:t>
      </w:r>
      <w:r>
        <w:rPr>
          <w:rFonts w:ascii="Times New Roman" w:hAnsi="Times New Roman" w:eastAsia="仿宋_GB2312"/>
          <w:color w:val="000000"/>
          <w:sz w:val="32"/>
          <w:szCs w:val="32"/>
          <w:highlight w:val="none"/>
          <w:shd w:val="clear" w:color="auto" w:fill="auto"/>
        </w:rPr>
        <w:t>（类）</w:t>
      </w:r>
      <w:r>
        <w:rPr>
          <w:rFonts w:hint="eastAsia" w:ascii="Times New Roman" w:hAnsi="Times New Roman" w:eastAsia="仿宋_GB2312"/>
          <w:color w:val="000000"/>
          <w:sz w:val="32"/>
          <w:szCs w:val="32"/>
          <w:highlight w:val="none"/>
          <w:shd w:val="clear" w:color="auto" w:fill="auto"/>
        </w:rPr>
        <w:t>普通教育</w:t>
      </w:r>
      <w:r>
        <w:rPr>
          <w:rFonts w:ascii="Times New Roman" w:hAnsi="Times New Roman" w:eastAsia="仿宋_GB2312"/>
          <w:color w:val="000000"/>
          <w:sz w:val="32"/>
          <w:szCs w:val="32"/>
          <w:highlight w:val="none"/>
          <w:shd w:val="clear" w:color="auto" w:fill="auto"/>
        </w:rPr>
        <w:t>（款）</w:t>
      </w:r>
      <w:r>
        <w:rPr>
          <w:rFonts w:hint="eastAsia" w:ascii="Times New Roman" w:hAnsi="Times New Roman" w:eastAsia="仿宋_GB2312"/>
          <w:color w:val="000000"/>
          <w:sz w:val="32"/>
          <w:szCs w:val="32"/>
          <w:highlight w:val="none"/>
          <w:shd w:val="clear" w:color="auto" w:fill="auto"/>
        </w:rPr>
        <w:t>学前教育</w:t>
      </w:r>
      <w:r>
        <w:rPr>
          <w:rFonts w:ascii="Times New Roman" w:hAnsi="Times New Roman" w:eastAsia="仿宋_GB2312"/>
          <w:color w:val="000000"/>
          <w:sz w:val="32"/>
          <w:szCs w:val="32"/>
          <w:highlight w:val="none"/>
          <w:shd w:val="clear" w:color="auto" w:fill="auto"/>
        </w:rPr>
        <w:t>（项）202</w:t>
      </w:r>
      <w:r>
        <w:rPr>
          <w:rFonts w:hint="eastAsia" w:ascii="Times New Roman" w:hAnsi="Times New Roman" w:eastAsia="仿宋_GB2312"/>
          <w:color w:val="000000"/>
          <w:sz w:val="32"/>
          <w:szCs w:val="32"/>
          <w:highlight w:val="none"/>
          <w:shd w:val="clear" w:color="auto" w:fill="auto"/>
          <w:lang w:val="en-US" w:eastAsia="zh-CN"/>
        </w:rPr>
        <w:t>4</w:t>
      </w:r>
      <w:r>
        <w:rPr>
          <w:rFonts w:ascii="Times New Roman" w:hAnsi="Times New Roman" w:eastAsia="仿宋_GB2312"/>
          <w:color w:val="000000"/>
          <w:sz w:val="32"/>
          <w:szCs w:val="32"/>
          <w:highlight w:val="none"/>
          <w:shd w:val="clear" w:color="auto" w:fill="auto"/>
        </w:rPr>
        <w:t>年预算数为</w:t>
      </w:r>
      <w:r>
        <w:rPr>
          <w:rFonts w:hint="eastAsia" w:ascii="Times New Roman" w:hAnsi="Times New Roman" w:eastAsia="仿宋_GB2312"/>
          <w:color w:val="000000"/>
          <w:sz w:val="32"/>
          <w:szCs w:val="32"/>
          <w:highlight w:val="none"/>
          <w:shd w:val="clear" w:color="auto" w:fill="auto"/>
          <w:lang w:val="en-US" w:eastAsia="zh-CN"/>
        </w:rPr>
        <w:t>1.42</w:t>
      </w:r>
      <w:r>
        <w:rPr>
          <w:rFonts w:ascii="Times New Roman" w:hAnsi="Times New Roman" w:eastAsia="仿宋_GB2312"/>
          <w:color w:val="000000"/>
          <w:sz w:val="32"/>
          <w:szCs w:val="32"/>
          <w:highlight w:val="none"/>
          <w:shd w:val="clear" w:color="auto" w:fill="auto"/>
        </w:rPr>
        <w:t>万元，主要用于：</w:t>
      </w:r>
      <w:r>
        <w:rPr>
          <w:rFonts w:hint="eastAsia" w:ascii="Times New Roman" w:hAnsi="Times New Roman" w:eastAsia="仿宋_GB2312"/>
          <w:color w:val="000000"/>
          <w:sz w:val="32"/>
          <w:szCs w:val="32"/>
          <w:highlight w:val="none"/>
          <w:shd w:val="clear" w:color="auto" w:fill="auto"/>
          <w:lang w:val="en-US" w:eastAsia="zh-CN"/>
        </w:rPr>
        <w:t>本单位</w:t>
      </w:r>
      <w:r>
        <w:rPr>
          <w:rFonts w:hint="eastAsia" w:ascii="Times New Roman" w:hAnsi="Times New Roman" w:eastAsia="仿宋_GB2312"/>
          <w:color w:val="000000"/>
          <w:sz w:val="32"/>
          <w:szCs w:val="32"/>
          <w:highlight w:val="none"/>
          <w:shd w:val="clear" w:color="auto" w:fill="auto"/>
        </w:rPr>
        <w:t>学前教育发展的基本支出，</w:t>
      </w:r>
      <w:r>
        <w:rPr>
          <w:rFonts w:ascii="Times New Roman" w:hAnsi="Times New Roman" w:eastAsia="仿宋_GB2312"/>
          <w:color w:val="000000"/>
          <w:sz w:val="32"/>
          <w:szCs w:val="32"/>
          <w:highlight w:val="none"/>
          <w:shd w:val="clear" w:color="auto" w:fill="auto"/>
        </w:rPr>
        <w:t>包括办公费、印刷费、水电费等日常</w:t>
      </w:r>
      <w:r>
        <w:rPr>
          <w:rFonts w:ascii="Times New Roman" w:hAnsi="Times New Roman" w:eastAsia="仿宋_GB2312" w:cs="Times New Roman"/>
          <w:color w:val="000000"/>
          <w:sz w:val="32"/>
          <w:szCs w:val="32"/>
          <w:highlight w:val="none"/>
          <w:shd w:val="clear" w:color="auto" w:fill="auto"/>
        </w:rPr>
        <w:t>公用经费</w:t>
      </w:r>
      <w:r>
        <w:rPr>
          <w:rFonts w:hint="eastAsia" w:ascii="Times New Roman" w:hAnsi="Times New Roman" w:eastAsia="仿宋_GB2312" w:cs="Times New Roman"/>
          <w:color w:val="000000"/>
          <w:sz w:val="32"/>
          <w:szCs w:val="32"/>
          <w:highlight w:val="none"/>
          <w:shd w:val="clear" w:color="auto" w:fill="auto"/>
        </w:rPr>
        <w:t>。</w:t>
      </w:r>
    </w:p>
    <w:p>
      <w:pPr>
        <w:shd w:val="clear" w:color="auto" w:fill="auto"/>
        <w:spacing w:line="600" w:lineRule="exact"/>
        <w:ind w:firstLine="640" w:firstLineChars="200"/>
        <w:rPr>
          <w:rFonts w:hint="eastAsia" w:ascii="Times New Roman" w:hAnsi="Times New Roman" w:eastAsia="仿宋_GB2312" w:cs="Times New Roman"/>
          <w:color w:val="000000"/>
          <w:sz w:val="32"/>
          <w:szCs w:val="32"/>
          <w:highlight w:val="none"/>
          <w:shd w:val="clear" w:color="auto" w:fill="auto"/>
          <w:lang w:eastAsia="zh-CN"/>
        </w:rPr>
      </w:pPr>
      <w:r>
        <w:rPr>
          <w:rFonts w:hint="default" w:ascii="Times New Roman" w:hAnsi="Times New Roman" w:eastAsia="仿宋_GB2312" w:cs="Times New Roman"/>
          <w:color w:val="000000"/>
          <w:sz w:val="32"/>
          <w:szCs w:val="32"/>
          <w:highlight w:val="none"/>
          <w:shd w:val="clear" w:color="auto" w:fill="auto"/>
          <w:lang w:val="en-US" w:eastAsia="zh-CN"/>
        </w:rPr>
        <w:t>2.</w:t>
      </w:r>
      <w:r>
        <w:rPr>
          <w:rFonts w:hint="eastAsia" w:ascii="Times New Roman" w:hAnsi="Times New Roman" w:eastAsia="仿宋_GB2312" w:cs="Times New Roman"/>
          <w:color w:val="000000"/>
          <w:sz w:val="32"/>
          <w:szCs w:val="32"/>
          <w:highlight w:val="none"/>
          <w:shd w:val="clear" w:color="auto" w:fill="auto"/>
        </w:rPr>
        <w:t>教育支出</w:t>
      </w:r>
      <w:r>
        <w:rPr>
          <w:rFonts w:ascii="Times New Roman" w:hAnsi="Times New Roman" w:eastAsia="仿宋_GB2312" w:cs="Times New Roman"/>
          <w:color w:val="000000"/>
          <w:sz w:val="32"/>
          <w:szCs w:val="32"/>
          <w:highlight w:val="none"/>
          <w:shd w:val="clear" w:color="auto" w:fill="auto"/>
        </w:rPr>
        <w:t>（类）</w:t>
      </w:r>
      <w:r>
        <w:rPr>
          <w:rFonts w:hint="eastAsia" w:ascii="Times New Roman" w:hAnsi="Times New Roman" w:eastAsia="仿宋_GB2312" w:cs="Times New Roman"/>
          <w:color w:val="000000"/>
          <w:sz w:val="32"/>
          <w:szCs w:val="32"/>
          <w:highlight w:val="none"/>
          <w:shd w:val="clear" w:color="auto" w:fill="auto"/>
        </w:rPr>
        <w:t>普通教育</w:t>
      </w:r>
      <w:r>
        <w:rPr>
          <w:rFonts w:ascii="Times New Roman" w:hAnsi="Times New Roman" w:eastAsia="仿宋_GB2312" w:cs="Times New Roman"/>
          <w:color w:val="000000"/>
          <w:sz w:val="32"/>
          <w:szCs w:val="32"/>
          <w:highlight w:val="none"/>
          <w:shd w:val="clear" w:color="auto" w:fill="auto"/>
        </w:rPr>
        <w:t>（款）</w:t>
      </w:r>
      <w:r>
        <w:rPr>
          <w:rFonts w:hint="eastAsia" w:ascii="Times New Roman" w:hAnsi="Times New Roman" w:eastAsia="仿宋_GB2312" w:cs="Times New Roman"/>
          <w:color w:val="000000"/>
          <w:sz w:val="32"/>
          <w:szCs w:val="32"/>
          <w:highlight w:val="none"/>
          <w:shd w:val="clear" w:color="auto" w:fill="auto"/>
        </w:rPr>
        <w:t>小学教育</w:t>
      </w:r>
      <w:r>
        <w:rPr>
          <w:rFonts w:ascii="Times New Roman" w:hAnsi="Times New Roman" w:eastAsia="仿宋_GB2312" w:cs="Times New Roman"/>
          <w:color w:val="000000"/>
          <w:sz w:val="32"/>
          <w:szCs w:val="32"/>
          <w:highlight w:val="none"/>
          <w:shd w:val="clear" w:color="auto" w:fill="auto"/>
        </w:rPr>
        <w:t>（项）202</w:t>
      </w:r>
      <w:r>
        <w:rPr>
          <w:rFonts w:hint="eastAsia" w:ascii="Times New Roman" w:hAnsi="Times New Roman" w:eastAsia="仿宋_GB2312" w:cs="Times New Roman"/>
          <w:color w:val="000000"/>
          <w:sz w:val="32"/>
          <w:szCs w:val="32"/>
          <w:highlight w:val="none"/>
          <w:shd w:val="clear" w:color="auto" w:fill="auto"/>
          <w:lang w:val="en-US" w:eastAsia="zh-CN"/>
        </w:rPr>
        <w:t>4</w:t>
      </w:r>
      <w:r>
        <w:rPr>
          <w:rFonts w:ascii="Times New Roman" w:hAnsi="Times New Roman" w:eastAsia="仿宋_GB2312" w:cs="Times New Roman"/>
          <w:color w:val="000000"/>
          <w:sz w:val="32"/>
          <w:szCs w:val="32"/>
          <w:highlight w:val="none"/>
          <w:shd w:val="clear" w:color="auto" w:fill="auto"/>
        </w:rPr>
        <w:t>年预算数为</w:t>
      </w:r>
      <w:r>
        <w:rPr>
          <w:rFonts w:hint="eastAsia" w:ascii="Times New Roman" w:hAnsi="Times New Roman" w:eastAsia="仿宋_GB2312" w:cs="Times New Roman"/>
          <w:color w:val="000000"/>
          <w:sz w:val="32"/>
          <w:szCs w:val="32"/>
          <w:highlight w:val="none"/>
          <w:shd w:val="clear" w:color="auto" w:fill="auto"/>
          <w:lang w:val="en-US" w:eastAsia="zh-CN"/>
        </w:rPr>
        <w:t>235.95</w:t>
      </w:r>
      <w:r>
        <w:rPr>
          <w:rFonts w:ascii="Times New Roman" w:hAnsi="Times New Roman" w:eastAsia="仿宋_GB2312" w:cs="Times New Roman"/>
          <w:color w:val="000000"/>
          <w:sz w:val="32"/>
          <w:szCs w:val="32"/>
          <w:highlight w:val="none"/>
          <w:shd w:val="clear" w:color="auto" w:fill="auto"/>
        </w:rPr>
        <w:t>万元，主要用于：</w:t>
      </w:r>
      <w:r>
        <w:rPr>
          <w:rFonts w:hint="eastAsia" w:ascii="Times New Roman" w:hAnsi="Times New Roman" w:eastAsia="仿宋_GB2312" w:cs="Times New Roman"/>
          <w:color w:val="000000"/>
          <w:sz w:val="32"/>
          <w:szCs w:val="32"/>
          <w:highlight w:val="none"/>
          <w:shd w:val="clear" w:color="auto" w:fill="auto"/>
          <w:lang w:val="en-US" w:eastAsia="zh-CN"/>
        </w:rPr>
        <w:t>本单位基本支出，包括基本工资、津贴补贴、基础绩效奖等人员经费以及机构运行所需的办公费、印刷费、维修（护）费、工会经费等运行补助经费。</w:t>
      </w:r>
    </w:p>
    <w:p>
      <w:pPr>
        <w:shd w:val="clear" w:color="auto" w:fill="auto"/>
        <w:spacing w:line="600" w:lineRule="exact"/>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Times New Roman" w:hAnsi="Times New Roman" w:eastAsia="仿宋_GB2312" w:cs="Times New Roman"/>
          <w:color w:val="000000"/>
          <w:sz w:val="32"/>
          <w:szCs w:val="32"/>
          <w:highlight w:val="none"/>
          <w:shd w:val="clear" w:color="auto" w:fill="auto"/>
          <w:lang w:val="en-US" w:eastAsia="zh-CN"/>
        </w:rPr>
        <w:t>3.社会保障和就业（类）行政事业单位养老支出（款）事业</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单位离退休（项）2024年预算数为38.00万元，主要用于：本单位离退休人员经费支出。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3" w:name="_Toc8862"/>
      <w:r>
        <w:rPr>
          <w:rFonts w:hint="eastAsia" w:ascii="黑体" w:hAnsi="黑体" w:eastAsia="黑体" w:cs="黑体"/>
          <w:sz w:val="32"/>
          <w:szCs w:val="32"/>
          <w:lang w:val="en-US" w:eastAsia="zh-CN"/>
        </w:rPr>
        <w:t>六、一般公共预算基本支出情况说明</w:t>
      </w:r>
      <w:bookmarkEnd w:id="1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香溪小学2024年一般公共预算基本支出247.55万元，其中：</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人员经费247.55万元，主要包括：基本工资、津贴补贴、奖金、社会保险缴费、住房公积金、遗属等支出。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4" w:name="_Toc6236"/>
      <w:r>
        <w:rPr>
          <w:rFonts w:hint="eastAsia" w:ascii="黑体" w:hAnsi="黑体" w:eastAsia="黑体" w:cs="黑体"/>
          <w:sz w:val="32"/>
          <w:szCs w:val="32"/>
          <w:lang w:val="en-US" w:eastAsia="zh-CN"/>
        </w:rPr>
        <w:t>七、“三公”经费财政拨款预算安排情况说明</w:t>
      </w:r>
      <w:bookmarkEnd w:id="1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香溪小学2024年“三公”经费财政拨款预算数0.20万元，其中：公务接待费0.20万元，公务用车购置及运行维护费0万元，因公出国（境）经费0万元。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（一）公务接待费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公务接待费与2023年预算相比持平。</w:t>
      </w:r>
    </w:p>
    <w:p>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公务用车购置及运行维护费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公务用车购置及运行维护费与2023年预算相比持平。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单位现有公务用车0辆。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2024年未安排公务用车购置费。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2024年安排公务用车运行维护费0万元。</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楷体_GB2312" w:hAnsi="楷体_GB2312" w:eastAsia="楷体_GB2312" w:cs="楷体_GB2312"/>
          <w:sz w:val="32"/>
          <w:szCs w:val="32"/>
          <w:lang w:val="en-US" w:eastAsia="zh-CN"/>
        </w:rPr>
        <w:t>三）因公出国（境）经费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因公出国（境）经费与2023年预算相比持平。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5" w:name="_Toc19523"/>
      <w:r>
        <w:rPr>
          <w:rFonts w:hint="eastAsia" w:ascii="黑体" w:hAnsi="黑体" w:eastAsia="黑体" w:cs="黑体"/>
          <w:sz w:val="32"/>
          <w:szCs w:val="32"/>
          <w:lang w:val="en-US" w:eastAsia="zh-CN"/>
        </w:rPr>
        <w:t>八、政府性基金预算支出情况说明</w:t>
      </w:r>
      <w:bookmarkEnd w:id="15"/>
    </w:p>
    <w:p>
      <w:pPr>
        <w:keepNext w:val="0"/>
        <w:keepLines w:val="0"/>
        <w:pageBreakBefore w:val="0"/>
        <w:widowControl w:val="0"/>
        <w:kinsoku/>
        <w:wordWrap/>
        <w:overflowPunct/>
        <w:topLinePunct w:val="0"/>
        <w:autoSpaceDE/>
        <w:autoSpaceDN/>
        <w:bidi w:val="0"/>
        <w:adjustRightInd/>
        <w:snapToGrid/>
        <w:spacing w:line="576" w:lineRule="exact"/>
        <w:ind w:left="638" w:leftChars="304" w:firstLine="0" w:firstLineChars="0"/>
        <w:textAlignment w:val="auto"/>
        <w:rPr>
          <w:rFonts w:hint="eastAsia" w:ascii="黑体" w:hAnsi="黑体" w:eastAsia="黑体" w:cs="黑体"/>
          <w:sz w:val="32"/>
          <w:szCs w:val="32"/>
          <w:lang w:val="en-US" w:eastAsia="zh-CN"/>
        </w:rPr>
      </w:pPr>
      <w:r>
        <w:rPr>
          <w:rFonts w:hint="eastAsia" w:ascii="仿宋_GB2312" w:hAnsi="仿宋_GB2312" w:eastAsia="仿宋_GB2312" w:cs="仿宋_GB2312"/>
          <w:sz w:val="32"/>
          <w:szCs w:val="32"/>
          <w:lang w:val="en-US" w:eastAsia="zh-CN"/>
        </w:rPr>
        <w:t>香溪小学2024年无政府性基金预算拨款安排的支出0万元。</w:t>
      </w:r>
      <w:r>
        <w:rPr>
          <w:rFonts w:hint="eastAsia" w:ascii="黑体" w:hAnsi="黑体" w:eastAsia="黑体" w:cs="黑体"/>
          <w:sz w:val="32"/>
          <w:szCs w:val="32"/>
          <w:lang w:val="en-US" w:eastAsia="zh-CN"/>
        </w:rPr>
        <w:t>九、国有资本经营预算支出情况说明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香溪小学2024年无国有资本经营预算拨款安排的支出。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6" w:name="_Toc16282"/>
      <w:r>
        <w:rPr>
          <w:rFonts w:hint="eastAsia" w:ascii="黑体" w:hAnsi="黑体" w:eastAsia="黑体" w:cs="黑体"/>
          <w:sz w:val="32"/>
          <w:szCs w:val="32"/>
          <w:lang w:val="en-US" w:eastAsia="zh-CN"/>
        </w:rPr>
        <w:t>十、其他重要事项的情况说明</w:t>
      </w:r>
      <w:bookmarkEnd w:id="1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（一）机关运行经费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2024年，本单位属于公益一类事业单位，无机关运行经费。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（二）政府采购情况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2024年，香溪小学未安排政府采购预算。</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（三）国有资产占有使用情况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截至2023年底，香溪小学共有车辆0辆，本单位无价值200万元以上大型设备。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2024年本单位预算未安排车辆购置经费，本单位无价值200万元以上大型设备购置。</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val="en-US" w:eastAsia="zh-CN"/>
        </w:rPr>
        <w:t>（四）绩效目标设置情况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2024年香溪小学开展绩效目标管理的项目4个，涉及预算27.82万元。其中：人员类项目0个，涉及预算 0万元；运转类项目4个，涉及预算27.82万元；特定目标类项目0个，涉及预算0万元。因部分项目内容涉密，不予公开。</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7" w:name="_Toc3358"/>
      <w:r>
        <w:rPr>
          <w:rFonts w:hint="eastAsia" w:ascii="黑体" w:hAnsi="黑体" w:eastAsia="黑体" w:cs="黑体"/>
          <w:sz w:val="32"/>
          <w:szCs w:val="32"/>
          <w:lang w:val="en-US" w:eastAsia="zh-CN"/>
        </w:rPr>
        <w:t>十一、名词解释</w:t>
      </w:r>
      <w:bookmarkEnd w:id="17"/>
    </w:p>
    <w:p>
      <w:pPr>
        <w:keepNext w:val="0"/>
        <w:keepLines w:val="0"/>
        <w:pageBreakBefore w:val="0"/>
        <w:widowControl w:val="0"/>
        <w:numPr>
          <w:ilvl w:val="0"/>
          <w:numId w:val="3"/>
        </w:numPr>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财政拨款收入:指财政当年安排的财政预算收入。按现行管理制度,</w:t>
      </w:r>
      <w:r>
        <w:rPr>
          <w:rFonts w:hint="eastAsia" w:ascii="仿宋" w:hAnsi="仿宋" w:eastAsia="仿宋" w:cs="仿宋"/>
          <w:sz w:val="32"/>
          <w:szCs w:val="32"/>
          <w:lang w:val="en-US" w:eastAsia="zh-CN"/>
        </w:rPr>
        <w:t>单位</w:t>
      </w:r>
      <w:r>
        <w:rPr>
          <w:rFonts w:hint="eastAsia" w:ascii="仿宋" w:hAnsi="仿宋" w:eastAsia="仿宋" w:cs="仿宋"/>
          <w:sz w:val="32"/>
          <w:szCs w:val="32"/>
        </w:rPr>
        <w:t>预算中反映的财政拨款包括一般公共预算拨款和政府性基金预算拨款。</w:t>
      </w:r>
    </w:p>
    <w:p>
      <w:pPr>
        <w:keepNext w:val="0"/>
        <w:keepLines w:val="0"/>
        <w:pageBreakBefore w:val="0"/>
        <w:widowControl w:val="0"/>
        <w:numPr>
          <w:ilvl w:val="0"/>
          <w:numId w:val="3"/>
        </w:numPr>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教育支出（类）普通教育（款）学前教育（项）：指</w:t>
      </w:r>
      <w:r>
        <w:rPr>
          <w:rFonts w:hint="eastAsia" w:ascii="仿宋" w:hAnsi="仿宋" w:eastAsia="仿宋" w:cs="仿宋"/>
          <w:sz w:val="32"/>
          <w:szCs w:val="32"/>
          <w:lang w:val="en-US" w:eastAsia="zh-CN"/>
        </w:rPr>
        <w:t>本单位</w:t>
      </w:r>
      <w:r>
        <w:rPr>
          <w:rFonts w:hint="eastAsia" w:ascii="仿宋" w:hAnsi="仿宋" w:eastAsia="仿宋" w:cs="仿宋"/>
          <w:sz w:val="32"/>
          <w:szCs w:val="32"/>
        </w:rPr>
        <w:t>学前教育发展的基本支出，包括办公费、印刷费、水电费等日常公用经费。</w:t>
      </w:r>
    </w:p>
    <w:p>
      <w:pPr>
        <w:keepNext w:val="0"/>
        <w:keepLines w:val="0"/>
        <w:pageBreakBefore w:val="0"/>
        <w:widowControl w:val="0"/>
        <w:numPr>
          <w:ilvl w:val="0"/>
          <w:numId w:val="3"/>
        </w:numPr>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教育支出（类）普通教育（款）小学教育（项）：指</w:t>
      </w:r>
      <w:r>
        <w:rPr>
          <w:rFonts w:hint="eastAsia" w:ascii="仿宋" w:hAnsi="仿宋" w:eastAsia="仿宋" w:cs="仿宋"/>
          <w:sz w:val="32"/>
          <w:szCs w:val="32"/>
          <w:lang w:val="en-US" w:eastAsia="zh-CN"/>
        </w:rPr>
        <w:t>本单位</w:t>
      </w:r>
      <w:r>
        <w:rPr>
          <w:rFonts w:hint="eastAsia" w:ascii="仿宋" w:hAnsi="仿宋" w:eastAsia="仿宋" w:cs="仿宋"/>
          <w:sz w:val="32"/>
          <w:szCs w:val="32"/>
        </w:rPr>
        <w:t>小学教育发展的基本支出，包括基本工资、津贴补贴等人员经费以及办公费、印刷费、水电费等日常公用经费。</w:t>
      </w:r>
    </w:p>
    <w:p>
      <w:pPr>
        <w:keepNext w:val="0"/>
        <w:keepLines w:val="0"/>
        <w:pageBreakBefore w:val="0"/>
        <w:widowControl w:val="0"/>
        <w:numPr>
          <w:ilvl w:val="0"/>
          <w:numId w:val="3"/>
        </w:numPr>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社会保障和就业（类）行政事业单位养老支出（款）事业单位离退休（项）：指</w:t>
      </w:r>
      <w:r>
        <w:rPr>
          <w:rFonts w:hint="eastAsia" w:ascii="仿宋" w:hAnsi="仿宋" w:eastAsia="仿宋" w:cs="仿宋"/>
          <w:sz w:val="32"/>
          <w:szCs w:val="32"/>
          <w:lang w:val="en-US" w:eastAsia="zh-CN"/>
        </w:rPr>
        <w:t>本</w:t>
      </w:r>
      <w:r>
        <w:rPr>
          <w:rFonts w:hint="eastAsia" w:ascii="仿宋" w:hAnsi="仿宋" w:eastAsia="仿宋" w:cs="仿宋"/>
          <w:sz w:val="32"/>
          <w:szCs w:val="32"/>
        </w:rPr>
        <w:t>单位离退休人员的支出。</w:t>
      </w:r>
    </w:p>
    <w:p>
      <w:pPr>
        <w:keepNext w:val="0"/>
        <w:keepLines w:val="0"/>
        <w:pageBreakBefore w:val="0"/>
        <w:widowControl w:val="0"/>
        <w:numPr>
          <w:ilvl w:val="0"/>
          <w:numId w:val="3"/>
        </w:numPr>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基本支出：指为保证机构正常运转，完成日常工作任务而发生的人员支出和公用支出。</w:t>
      </w:r>
    </w:p>
    <w:p>
      <w:pPr>
        <w:keepNext w:val="0"/>
        <w:keepLines w:val="0"/>
        <w:pageBreakBefore w:val="0"/>
        <w:widowControl w:val="0"/>
        <w:numPr>
          <w:ilvl w:val="0"/>
          <w:numId w:val="3"/>
        </w:numPr>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项目支出：指在基本支出之外为完成特定行政任务和事业发展目标所发生的支出。</w:t>
      </w:r>
    </w:p>
    <w:p>
      <w:pPr>
        <w:keepNext w:val="0"/>
        <w:keepLines w:val="0"/>
        <w:pageBreakBefore w:val="0"/>
        <w:widowControl w:val="0"/>
        <w:numPr>
          <w:ilvl w:val="0"/>
          <w:numId w:val="3"/>
        </w:numPr>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公”经费：纳入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textAlignment w:val="auto"/>
        <w:rPr>
          <w:rFonts w:hint="eastAsia" w:ascii="仿宋" w:hAnsi="仿宋" w:eastAsia="仿宋" w:cs="仿宋"/>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附件：1.预算公开报表</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960" w:firstLineChars="300"/>
        <w:textAlignment w:val="auto"/>
        <w:outlineLvl w:val="1"/>
        <w:rPr>
          <w:rFonts w:hint="eastAsia" w:ascii="仿宋" w:hAnsi="仿宋" w:eastAsia="仿宋" w:cs="仿宋"/>
          <w:sz w:val="32"/>
          <w:szCs w:val="32"/>
          <w:lang w:val="en-US" w:eastAsia="zh-CN"/>
        </w:rPr>
      </w:pPr>
      <w:bookmarkStart w:id="18" w:name="_Toc28650"/>
      <w:r>
        <w:rPr>
          <w:rFonts w:hint="eastAsia" w:ascii="仿宋" w:hAnsi="仿宋" w:eastAsia="仿宋" w:cs="仿宋"/>
          <w:sz w:val="32"/>
          <w:szCs w:val="32"/>
          <w:lang w:val="en-US" w:eastAsia="zh-CN"/>
        </w:rPr>
        <w:t>2.项目支出绩效目标表</w:t>
      </w:r>
      <w:bookmarkEnd w:id="18"/>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 w:hAnsi="仿宋" w:eastAsia="仿宋" w:cs="仿宋"/>
          <w:b/>
          <w:bCs/>
          <w:sz w:val="32"/>
          <w:szCs w:val="32"/>
          <w:lang w:eastAsia="zh-CN"/>
        </w:rPr>
      </w:pPr>
    </w:p>
    <w:sectPr>
      <w:footerReference r:id="rId3" w:type="default"/>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65C5FC5-8886-4092-93ED-72FEAE8B7DE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Liberation Sans">
    <w:altName w:val="Segoe Print"/>
    <w:panose1 w:val="020B0604020202020204"/>
    <w:charset w:val="00"/>
    <w:family w:val="swiss"/>
    <w:pitch w:val="default"/>
    <w:sig w:usb0="00000000" w:usb1="00000000" w:usb2="00000000" w:usb3="00000000" w:csb0="6000009F" w:csb1="DFD70000"/>
  </w:font>
  <w:font w:name="Noto Sans CJK SC Regular">
    <w:altName w:val="宋体"/>
    <w:panose1 w:val="020B0500000000000000"/>
    <w:charset w:val="86"/>
    <w:family w:val="auto"/>
    <w:pitch w:val="default"/>
    <w:sig w:usb0="00000000" w:usb1="00000000" w:usb2="00000016" w:usb3="00000000" w:csb0="602E0107" w:csb1="00000000"/>
  </w:font>
  <w:font w:name="方正小标宋简体">
    <w:panose1 w:val="02000000000000000000"/>
    <w:charset w:val="86"/>
    <w:family w:val="auto"/>
    <w:pitch w:val="default"/>
    <w:sig w:usb0="00000001" w:usb1="08000000" w:usb2="00000000" w:usb3="00000000" w:csb0="00040000" w:csb1="00000000"/>
    <w:embedRegular r:id="rId2" w:fontKey="{8D5E4D1C-9F75-4D99-A921-F281175D78C3}"/>
  </w:font>
  <w:font w:name="仿宋">
    <w:panose1 w:val="02010609060101010101"/>
    <w:charset w:val="86"/>
    <w:family w:val="auto"/>
    <w:pitch w:val="default"/>
    <w:sig w:usb0="800002BF" w:usb1="38CF7CFA" w:usb2="00000016" w:usb3="00000000" w:csb0="00040001" w:csb1="00000000"/>
    <w:embedRegular r:id="rId3" w:fontKey="{F89E4BE3-BD3E-4018-A17D-7036F0890074}"/>
  </w:font>
  <w:font w:name="楷体_GB2312">
    <w:panose1 w:val="02010609030101010101"/>
    <w:charset w:val="86"/>
    <w:family w:val="auto"/>
    <w:pitch w:val="default"/>
    <w:sig w:usb0="00000001" w:usb1="080E0000" w:usb2="00000000" w:usb3="00000000" w:csb0="00040000" w:csb1="00000000"/>
    <w:embedRegular r:id="rId4" w:fontKey="{174A83E5-5BD0-414A-800C-98B1E2EED4B7}"/>
  </w:font>
  <w:font w:name="仿宋_GB2312">
    <w:altName w:val="仿宋"/>
    <w:panose1 w:val="02010609030101010101"/>
    <w:charset w:val="86"/>
    <w:family w:val="auto"/>
    <w:pitch w:val="default"/>
    <w:sig w:usb0="00000000" w:usb1="00000000" w:usb2="00000000" w:usb3="00000000" w:csb0="00040000" w:csb1="00000000"/>
    <w:embedRegular r:id="rId5" w:fontKey="{F3D565F8-BAB0-4C9E-9ADE-5C0E5573C921}"/>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07879B"/>
    <w:multiLevelType w:val="singleLevel"/>
    <w:tmpl w:val="C007879B"/>
    <w:lvl w:ilvl="0" w:tentative="0">
      <w:start w:val="3"/>
      <w:numFmt w:val="chineseCounting"/>
      <w:suff w:val="nothing"/>
      <w:lvlText w:val="%1、"/>
      <w:lvlJc w:val="left"/>
      <w:rPr>
        <w:rFonts w:hint="eastAsia"/>
      </w:rPr>
    </w:lvl>
  </w:abstractNum>
  <w:abstractNum w:abstractNumId="1">
    <w:nsid w:val="4BED1483"/>
    <w:multiLevelType w:val="singleLevel"/>
    <w:tmpl w:val="4BED1483"/>
    <w:lvl w:ilvl="0" w:tentative="0">
      <w:start w:val="1"/>
      <w:numFmt w:val="chineseCounting"/>
      <w:suff w:val="nothing"/>
      <w:lvlText w:val="（%1）"/>
      <w:lvlJc w:val="left"/>
      <w:rPr>
        <w:rFonts w:hint="eastAsia"/>
      </w:rPr>
    </w:lvl>
  </w:abstractNum>
  <w:abstractNum w:abstractNumId="2">
    <w:nsid w:val="5BFCE1D6"/>
    <w:multiLevelType w:val="singleLevel"/>
    <w:tmpl w:val="5BFCE1D6"/>
    <w:lvl w:ilvl="0" w:tentative="0">
      <w:start w:val="2"/>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VhYTg4NGNkZWJkODFjNzcyZDRjM2M4Y2UzNjI5ZmUifQ=="/>
  </w:docVars>
  <w:rsids>
    <w:rsidRoot w:val="00000000"/>
    <w:rsid w:val="002410F1"/>
    <w:rsid w:val="008878D1"/>
    <w:rsid w:val="01203FAE"/>
    <w:rsid w:val="012352D1"/>
    <w:rsid w:val="01DD3C4D"/>
    <w:rsid w:val="01E8102D"/>
    <w:rsid w:val="02223D56"/>
    <w:rsid w:val="02A1111E"/>
    <w:rsid w:val="02C646E1"/>
    <w:rsid w:val="039E11BA"/>
    <w:rsid w:val="04180DE2"/>
    <w:rsid w:val="05073E9B"/>
    <w:rsid w:val="05997E8B"/>
    <w:rsid w:val="076D7821"/>
    <w:rsid w:val="07BF4985"/>
    <w:rsid w:val="090B5543"/>
    <w:rsid w:val="094A233F"/>
    <w:rsid w:val="0A6F565E"/>
    <w:rsid w:val="0B2621C1"/>
    <w:rsid w:val="0C2C6AB1"/>
    <w:rsid w:val="0DED6FC6"/>
    <w:rsid w:val="0DF540CC"/>
    <w:rsid w:val="0DFE7425"/>
    <w:rsid w:val="0E8536A2"/>
    <w:rsid w:val="0F1C531D"/>
    <w:rsid w:val="0F1D1B2D"/>
    <w:rsid w:val="10141FC2"/>
    <w:rsid w:val="11C049F1"/>
    <w:rsid w:val="120174E4"/>
    <w:rsid w:val="124949E7"/>
    <w:rsid w:val="1391117C"/>
    <w:rsid w:val="140E5EE8"/>
    <w:rsid w:val="144D7147"/>
    <w:rsid w:val="146124BC"/>
    <w:rsid w:val="16585B40"/>
    <w:rsid w:val="16D42822"/>
    <w:rsid w:val="19341F6C"/>
    <w:rsid w:val="197113F3"/>
    <w:rsid w:val="19B52EF5"/>
    <w:rsid w:val="1A345F7C"/>
    <w:rsid w:val="1B8E3349"/>
    <w:rsid w:val="1C0F0A4F"/>
    <w:rsid w:val="1CB87339"/>
    <w:rsid w:val="1DC15D79"/>
    <w:rsid w:val="1DC51D0D"/>
    <w:rsid w:val="1E972EAB"/>
    <w:rsid w:val="1EF36406"/>
    <w:rsid w:val="1F7BF06F"/>
    <w:rsid w:val="1FEE4B73"/>
    <w:rsid w:val="21820E73"/>
    <w:rsid w:val="22370618"/>
    <w:rsid w:val="22A243CB"/>
    <w:rsid w:val="23CE9849"/>
    <w:rsid w:val="23E44D62"/>
    <w:rsid w:val="23EA19A0"/>
    <w:rsid w:val="25CB7718"/>
    <w:rsid w:val="276D7AF2"/>
    <w:rsid w:val="28081174"/>
    <w:rsid w:val="287B22E2"/>
    <w:rsid w:val="28CA708D"/>
    <w:rsid w:val="29C0782D"/>
    <w:rsid w:val="29FD638B"/>
    <w:rsid w:val="2A6428AE"/>
    <w:rsid w:val="2C0D5453"/>
    <w:rsid w:val="2CBA67B5"/>
    <w:rsid w:val="2D6A1F89"/>
    <w:rsid w:val="2EDA6C9B"/>
    <w:rsid w:val="2F1F6DA3"/>
    <w:rsid w:val="2FE91722"/>
    <w:rsid w:val="301B2A00"/>
    <w:rsid w:val="31880C30"/>
    <w:rsid w:val="32AE2918"/>
    <w:rsid w:val="34A02734"/>
    <w:rsid w:val="37AE6F16"/>
    <w:rsid w:val="39BC3B6C"/>
    <w:rsid w:val="39F304DD"/>
    <w:rsid w:val="3B220A43"/>
    <w:rsid w:val="3B6C511E"/>
    <w:rsid w:val="3CB33B11"/>
    <w:rsid w:val="3E1675C3"/>
    <w:rsid w:val="3F0F0BE2"/>
    <w:rsid w:val="3FB377C0"/>
    <w:rsid w:val="40BC4452"/>
    <w:rsid w:val="416568A6"/>
    <w:rsid w:val="41E41EB2"/>
    <w:rsid w:val="42B931F5"/>
    <w:rsid w:val="43195B8C"/>
    <w:rsid w:val="4400700F"/>
    <w:rsid w:val="44E70F92"/>
    <w:rsid w:val="4501362C"/>
    <w:rsid w:val="45B16894"/>
    <w:rsid w:val="46096AFC"/>
    <w:rsid w:val="467F03FC"/>
    <w:rsid w:val="47C87B80"/>
    <w:rsid w:val="49161BC9"/>
    <w:rsid w:val="49417701"/>
    <w:rsid w:val="49BF6D61"/>
    <w:rsid w:val="4DC20F88"/>
    <w:rsid w:val="4DF0305C"/>
    <w:rsid w:val="4F1638C7"/>
    <w:rsid w:val="510E0AA9"/>
    <w:rsid w:val="52D7511B"/>
    <w:rsid w:val="52F42171"/>
    <w:rsid w:val="53130849"/>
    <w:rsid w:val="54244390"/>
    <w:rsid w:val="54662A63"/>
    <w:rsid w:val="58064E12"/>
    <w:rsid w:val="588B0E82"/>
    <w:rsid w:val="58913FBE"/>
    <w:rsid w:val="5B7756EE"/>
    <w:rsid w:val="5BFEE015"/>
    <w:rsid w:val="5C1D0043"/>
    <w:rsid w:val="5D1A4582"/>
    <w:rsid w:val="5D3A3148"/>
    <w:rsid w:val="5D415FB3"/>
    <w:rsid w:val="5D8772F7"/>
    <w:rsid w:val="5DAD189A"/>
    <w:rsid w:val="5E0C4813"/>
    <w:rsid w:val="60275934"/>
    <w:rsid w:val="6062696C"/>
    <w:rsid w:val="612C2AD6"/>
    <w:rsid w:val="61493688"/>
    <w:rsid w:val="63312626"/>
    <w:rsid w:val="63EDCF55"/>
    <w:rsid w:val="63FBFBCF"/>
    <w:rsid w:val="64C51278"/>
    <w:rsid w:val="650F4B9B"/>
    <w:rsid w:val="65E10333"/>
    <w:rsid w:val="669360FD"/>
    <w:rsid w:val="6701304C"/>
    <w:rsid w:val="6830392E"/>
    <w:rsid w:val="688651C2"/>
    <w:rsid w:val="688D3FAD"/>
    <w:rsid w:val="68FF6A83"/>
    <w:rsid w:val="694806C9"/>
    <w:rsid w:val="69BA7F58"/>
    <w:rsid w:val="6A554E4C"/>
    <w:rsid w:val="6C445178"/>
    <w:rsid w:val="6D836174"/>
    <w:rsid w:val="6DC02244"/>
    <w:rsid w:val="6DEF5C2B"/>
    <w:rsid w:val="6EF33E14"/>
    <w:rsid w:val="6F6D3E20"/>
    <w:rsid w:val="6FBBC9CF"/>
    <w:rsid w:val="700C2451"/>
    <w:rsid w:val="70F4528F"/>
    <w:rsid w:val="71D40D4C"/>
    <w:rsid w:val="725140CD"/>
    <w:rsid w:val="72BDE561"/>
    <w:rsid w:val="731C12BF"/>
    <w:rsid w:val="73707C81"/>
    <w:rsid w:val="73DC038C"/>
    <w:rsid w:val="747F17F8"/>
    <w:rsid w:val="74A4534E"/>
    <w:rsid w:val="75EF084A"/>
    <w:rsid w:val="77E54A28"/>
    <w:rsid w:val="78462278"/>
    <w:rsid w:val="785B21C7"/>
    <w:rsid w:val="78D855C6"/>
    <w:rsid w:val="7997EA6C"/>
    <w:rsid w:val="79D42231"/>
    <w:rsid w:val="79DB5B4B"/>
    <w:rsid w:val="7AEAE675"/>
    <w:rsid w:val="7BA17F98"/>
    <w:rsid w:val="7BAFCE5D"/>
    <w:rsid w:val="7C523723"/>
    <w:rsid w:val="7C8D4118"/>
    <w:rsid w:val="7CE87DA1"/>
    <w:rsid w:val="7D46598C"/>
    <w:rsid w:val="7DAC0DCF"/>
    <w:rsid w:val="7DFB240B"/>
    <w:rsid w:val="7E0935ED"/>
    <w:rsid w:val="7FCF2AF7"/>
    <w:rsid w:val="9FEF033D"/>
    <w:rsid w:val="A27FF1E5"/>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AE4EFE1"/>
    <w:rsid w:val="FB9B6F12"/>
    <w:rsid w:val="FBB66A4A"/>
    <w:rsid w:val="FDEE6989"/>
    <w:rsid w:val="FF5E7DB8"/>
    <w:rsid w:val="FF77E367"/>
    <w:rsid w:val="FFD576EB"/>
    <w:rsid w:val="FFFBE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11">
    <w:name w:val="Default Paragraph Font"/>
    <w:autoRedefine/>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2">
    <w:name w:val="caption"/>
    <w:basedOn w:val="1"/>
    <w:autoRedefine/>
    <w:qFormat/>
    <w:uiPriority w:val="0"/>
    <w:pPr>
      <w:widowControl w:val="0"/>
      <w:suppressLineNumbers/>
      <w:suppressAutoHyphens/>
      <w:spacing w:before="120" w:after="120"/>
    </w:pPr>
    <w:rPr>
      <w:i/>
      <w:iCs/>
      <w:sz w:val="24"/>
      <w:szCs w:val="24"/>
    </w:rPr>
  </w:style>
  <w:style w:type="paragraph" w:styleId="3">
    <w:name w:val="Body Text"/>
    <w:basedOn w:val="1"/>
    <w:autoRedefine/>
    <w:qFormat/>
    <w:uiPriority w:val="0"/>
    <w:pPr>
      <w:spacing w:before="0" w:after="140" w:line="276" w:lineRule="auto"/>
    </w:p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autoRedefine/>
    <w:qFormat/>
    <w:uiPriority w:val="0"/>
  </w:style>
  <w:style w:type="paragraph" w:styleId="7">
    <w:name w:val="List"/>
    <w:basedOn w:val="3"/>
    <w:autoRedefine/>
    <w:qFormat/>
    <w:uiPriority w:val="0"/>
  </w:style>
  <w:style w:type="paragraph" w:styleId="8">
    <w:name w:val="toc 2"/>
    <w:basedOn w:val="1"/>
    <w:next w:val="1"/>
    <w:autoRedefine/>
    <w:qFormat/>
    <w:uiPriority w:val="0"/>
    <w:pPr>
      <w:ind w:left="420" w:leftChars="200"/>
    </w:pPr>
  </w:style>
  <w:style w:type="paragraph" w:styleId="9">
    <w:name w:val="Normal (Web)"/>
    <w:basedOn w:val="1"/>
    <w:autoRedefine/>
    <w:qFormat/>
    <w:uiPriority w:val="0"/>
    <w:rPr>
      <w:sz w:val="24"/>
    </w:rPr>
  </w:style>
  <w:style w:type="character" w:customStyle="1" w:styleId="12">
    <w:name w:val="默认段落字体1"/>
    <w:autoRedefine/>
    <w:qFormat/>
    <w:uiPriority w:val="0"/>
  </w:style>
  <w:style w:type="paragraph" w:customStyle="1" w:styleId="13">
    <w:name w:val="Heading"/>
    <w:basedOn w:val="1"/>
    <w:next w:val="3"/>
    <w:autoRedefine/>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4">
    <w:name w:val="Index"/>
    <w:basedOn w:val="1"/>
    <w:autoRedefine/>
    <w:qFormat/>
    <w:uiPriority w:val="0"/>
    <w:pPr>
      <w:widowControl w:val="0"/>
      <w:suppressLineNumbers/>
      <w:suppressAutoHyphens/>
    </w:pPr>
  </w:style>
  <w:style w:type="paragraph" w:customStyle="1" w:styleId="15">
    <w:name w:val="WPSOffice手动目录 1"/>
    <w:autoRedefine/>
    <w:qFormat/>
    <w:uiPriority w:val="0"/>
    <w:pPr>
      <w:ind w:leftChars="0"/>
    </w:pPr>
    <w:rPr>
      <w:rFonts w:ascii="Times New Roman" w:hAnsi="Times New Roman" w:eastAsia="宋体" w:cs="Times New Roman"/>
      <w:sz w:val="20"/>
      <w:szCs w:val="20"/>
    </w:rPr>
  </w:style>
  <w:style w:type="paragraph" w:customStyle="1" w:styleId="16">
    <w:name w:val="WPSOffice手动目录 2"/>
    <w:autoRedefine/>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Office_12.1.0.16388_F1E327BC-269C-435d-A152-05C5408002CA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昭化融媒体</cp:lastModifiedBy>
  <dcterms:modified xsi:type="dcterms:W3CDTF">2024-04-11T07:45:07Z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96081F72B7444D3C8C1C7DDAED24732C_13</vt:lpwstr>
  </property>
</Properties>
</file>