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ind w:firstLine="0" w:firstLineChars="0"/>
        <w:jc w:val="center"/>
        <w:rPr>
          <w:rFonts w:ascii="方正小标宋简体" w:hAnsi="方正小标宋简体" w:eastAsia="方正小标宋简体" w:cs="方正小标宋简体"/>
          <w:color w:val="000000" w:themeColor="text1"/>
          <w:kern w:val="0"/>
          <w:sz w:val="44"/>
          <w:szCs w:val="44"/>
          <w:shd w:val="clear" w:color="auto" w:fill="FFFFFF"/>
        </w:rPr>
      </w:pPr>
      <w:bookmarkStart w:id="0" w:name="_Toc26382"/>
      <w:r>
        <w:rPr>
          <w:rFonts w:hint="eastAsia" w:ascii="方正小标宋简体" w:hAnsi="方正小标宋简体" w:eastAsia="方正小标宋简体" w:cs="方正小标宋简体"/>
          <w:color w:val="000000" w:themeColor="text1"/>
          <w:kern w:val="0"/>
          <w:sz w:val="44"/>
          <w:szCs w:val="44"/>
          <w:shd w:val="clear" w:color="auto" w:fill="FFFFFF"/>
        </w:rPr>
        <w:t>广元市昭化区清水镇张家小学</w:t>
      </w:r>
      <w:bookmarkEnd w:id="0"/>
    </w:p>
    <w:p>
      <w:pPr>
        <w:widowControl/>
        <w:shd w:val="clear" w:color="auto" w:fill="FFFFFF"/>
        <w:spacing w:line="580" w:lineRule="atLeast"/>
        <w:ind w:firstLine="0" w:firstLineChars="0"/>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sdt>
      <w:sdtPr>
        <w:rPr>
          <w:rFonts w:ascii="方正小标宋简体" w:hAnsi="方正小标宋简体" w:eastAsia="方正小标宋简体" w:cs="方正小标宋简体"/>
          <w:color w:val="000000" w:themeColor="text1"/>
          <w:kern w:val="0"/>
          <w:sz w:val="44"/>
          <w:szCs w:val="44"/>
          <w:shd w:val="clear" w:color="auto" w:fill="FFFFFF"/>
        </w:rPr>
        <w:id w:val="147452336"/>
        <w:docPartObj>
          <w:docPartGallery w:val="Table of Contents"/>
          <w:docPartUnique/>
        </w:docPartObj>
      </w:sdtPr>
      <w:sdtEndPr>
        <w:rPr>
          <w:rFonts w:hint="eastAsia" w:ascii="楷体" w:hAnsi="楷体" w:eastAsia="楷体" w:cs="楷体_GB2312"/>
          <w:b/>
          <w:color w:val="333333"/>
          <w:kern w:val="0"/>
          <w:sz w:val="32"/>
          <w:szCs w:val="32"/>
          <w:shd w:val="clear" w:color="auto" w:fill="FFFFFF"/>
        </w:rPr>
      </w:sdtEndPr>
      <w:sdtContent>
        <w:p>
          <w:pPr>
            <w:widowControl/>
            <w:shd w:val="clear" w:color="auto" w:fill="FFFFFF"/>
            <w:spacing w:line="580" w:lineRule="atLeast"/>
            <w:ind w:firstLine="0" w:firstLineChars="0"/>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目录</w:t>
          </w:r>
        </w:p>
        <w:p>
          <w:pPr>
            <w:pStyle w:val="20"/>
            <w:tabs>
              <w:tab w:val="right" w:leader="dot" w:pos="8845"/>
            </w:tabs>
            <w:rPr>
              <w:rFonts w:ascii="仿宋" w:hAnsi="仿宋" w:eastAsia="仿宋" w:cs="仿宋"/>
              <w:b/>
              <w:sz w:val="32"/>
              <w:szCs w:val="32"/>
            </w:rPr>
          </w:pPr>
          <w:r>
            <w:rPr>
              <w:rFonts w:hint="eastAsia" w:ascii="仿宋" w:hAnsi="仿宋" w:eastAsia="仿宋" w:cs="仿宋"/>
              <w:color w:val="000000" w:themeColor="text1"/>
              <w:sz w:val="32"/>
              <w:szCs w:val="32"/>
              <w:shd w:val="clear" w:color="auto" w:fill="FFFFFF"/>
            </w:rPr>
            <w:fldChar w:fldCharType="begin"/>
          </w:r>
          <w:r>
            <w:rPr>
              <w:rFonts w:hint="eastAsia" w:ascii="仿宋" w:hAnsi="仿宋" w:eastAsia="仿宋" w:cs="仿宋"/>
              <w:color w:val="000000" w:themeColor="text1"/>
              <w:sz w:val="32"/>
              <w:szCs w:val="32"/>
              <w:shd w:val="clear" w:color="auto" w:fill="FFFFFF"/>
            </w:rPr>
            <w:instrText xml:space="preserve">TOC \o "1-2" \h \u </w:instrText>
          </w:r>
          <w:r>
            <w:rPr>
              <w:rFonts w:hint="eastAsia" w:ascii="仿宋" w:hAnsi="仿宋" w:eastAsia="仿宋" w:cs="仿宋"/>
              <w:color w:val="000000" w:themeColor="text1"/>
              <w:sz w:val="32"/>
              <w:szCs w:val="32"/>
              <w:shd w:val="clear" w:color="auto" w:fill="FFFFFF"/>
            </w:rPr>
            <w:fldChar w:fldCharType="separate"/>
          </w:r>
          <w:r>
            <w:fldChar w:fldCharType="begin"/>
          </w:r>
          <w:r>
            <w:instrText xml:space="preserve"> HYPERLINK \l "_Toc6459" </w:instrText>
          </w:r>
          <w:r>
            <w:fldChar w:fldCharType="separate"/>
          </w:r>
          <w:r>
            <w:rPr>
              <w:rFonts w:hint="eastAsia" w:ascii="仿宋" w:hAnsi="仿宋" w:eastAsia="仿宋" w:cs="仿宋"/>
              <w:b/>
              <w:sz w:val="32"/>
              <w:szCs w:val="32"/>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_Toc6459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"_Toc29994" </w:instrText>
          </w:r>
          <w:r>
            <w:fldChar w:fldCharType="separate"/>
          </w:r>
          <w:r>
            <w:rPr>
              <w:rFonts w:hint="eastAsia" w:ascii="仿宋" w:hAnsi="仿宋" w:eastAsia="仿宋" w:cs="仿宋"/>
              <w:sz w:val="32"/>
              <w:szCs w:val="32"/>
              <w:shd w:val="clear" w:color="auto" w:fill="FFFFFF"/>
            </w:rPr>
            <w:t>（一）职能简介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_Toc29994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"_Toc16423" </w:instrText>
          </w:r>
          <w:r>
            <w:fldChar w:fldCharType="separate"/>
          </w:r>
          <w:r>
            <w:rPr>
              <w:rFonts w:hint="eastAsia" w:ascii="仿宋" w:hAnsi="仿宋" w:eastAsia="仿宋" w:cs="仿宋"/>
              <w:sz w:val="32"/>
              <w:szCs w:val="32"/>
            </w:rPr>
            <w:t>（二）2024年重点工作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_Toc16423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"_Toc24646" </w:instrText>
          </w:r>
          <w:r>
            <w:fldChar w:fldCharType="separate"/>
          </w:r>
          <w:r>
            <w:rPr>
              <w:rFonts w:hint="eastAsia" w:ascii="仿宋" w:hAnsi="仿宋" w:eastAsia="仿宋" w:cs="仿宋"/>
              <w:b/>
              <w:sz w:val="32"/>
              <w:szCs w:val="32"/>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_Toc24646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"_Toc25687" </w:instrText>
          </w:r>
          <w:r>
            <w:fldChar w:fldCharType="separate"/>
          </w:r>
          <w:r>
            <w:rPr>
              <w:rFonts w:hint="eastAsia" w:ascii="仿宋" w:hAnsi="仿宋" w:eastAsia="仿宋" w:cs="仿宋"/>
              <w:b/>
              <w:sz w:val="32"/>
              <w:szCs w:val="32"/>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_Toc25687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"_Toc13260" </w:instrText>
          </w:r>
          <w:r>
            <w:fldChar w:fldCharType="separate"/>
          </w:r>
          <w:r>
            <w:rPr>
              <w:rFonts w:hint="eastAsia" w:ascii="仿宋" w:hAnsi="仿宋" w:eastAsia="仿宋" w:cs="仿宋"/>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_Toc13260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"_Toc22438" </w:instrText>
          </w:r>
          <w:r>
            <w:fldChar w:fldCharType="separate"/>
          </w:r>
          <w:r>
            <w:rPr>
              <w:rFonts w:hint="eastAsia" w:ascii="仿宋" w:hAnsi="仿宋" w:eastAsia="仿宋" w:cs="仿宋"/>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_Toc22438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"_Toc1500" </w:instrText>
          </w:r>
          <w:r>
            <w:fldChar w:fldCharType="separate"/>
          </w:r>
          <w:r>
            <w:rPr>
              <w:rFonts w:hint="eastAsia" w:ascii="仿宋" w:hAnsi="仿宋" w:eastAsia="仿宋" w:cs="仿宋"/>
              <w:b/>
              <w:sz w:val="32"/>
              <w:szCs w:val="32"/>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_Toc1500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"_Toc31901" </w:instrText>
          </w:r>
          <w:r>
            <w:fldChar w:fldCharType="separate"/>
          </w:r>
          <w:r>
            <w:rPr>
              <w:rFonts w:hint="eastAsia" w:ascii="仿宋" w:hAnsi="仿宋" w:eastAsia="仿宋" w:cs="仿宋"/>
              <w:b/>
              <w:sz w:val="32"/>
              <w:szCs w:val="32"/>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_Toc31901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"_Toc26652" </w:instrText>
          </w:r>
          <w:r>
            <w:fldChar w:fldCharType="separate"/>
          </w:r>
          <w:r>
            <w:rPr>
              <w:rFonts w:hint="eastAsia" w:ascii="仿宋" w:hAnsi="仿宋" w:eastAsia="仿宋" w:cs="仿宋"/>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_Toc26652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"_Toc31367" </w:instrText>
          </w:r>
          <w:r>
            <w:fldChar w:fldCharType="separate"/>
          </w:r>
          <w:r>
            <w:rPr>
              <w:rFonts w:hint="eastAsia" w:ascii="仿宋" w:hAnsi="仿宋" w:eastAsia="仿宋" w:cs="仿宋"/>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_Toc31367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1"/>
            <w:tabs>
              <w:tab w:val="right" w:leader="dot" w:pos="8845"/>
            </w:tabs>
            <w:ind w:left="640"/>
            <w:rPr>
              <w:rFonts w:ascii="仿宋" w:hAnsi="仿宋" w:eastAsia="仿宋" w:cs="仿宋"/>
              <w:sz w:val="32"/>
              <w:szCs w:val="32"/>
            </w:rPr>
          </w:pPr>
          <w:r>
            <w:fldChar w:fldCharType="begin"/>
          </w:r>
          <w:r>
            <w:instrText xml:space="preserve"> HYPERLINK \l "_Toc14340" </w:instrText>
          </w:r>
          <w:r>
            <w:fldChar w:fldCharType="separate"/>
          </w:r>
          <w:r>
            <w:rPr>
              <w:rFonts w:hint="eastAsia" w:ascii="仿宋" w:hAnsi="仿宋" w:eastAsia="仿宋" w:cs="仿宋"/>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_Toc14340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"_Toc1796" </w:instrText>
          </w:r>
          <w:r>
            <w:fldChar w:fldCharType="separate"/>
          </w:r>
          <w:r>
            <w:rPr>
              <w:rFonts w:hint="eastAsia" w:ascii="仿宋" w:hAnsi="仿宋" w:eastAsia="仿宋" w:cs="仿宋"/>
              <w:b/>
              <w:sz w:val="32"/>
              <w:szCs w:val="32"/>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_Toc1796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"_Toc4752" </w:instrText>
          </w:r>
          <w:r>
            <w:fldChar w:fldCharType="separate"/>
          </w:r>
          <w:r>
            <w:rPr>
              <w:rFonts w:hint="eastAsia" w:ascii="仿宋" w:hAnsi="仿宋" w:eastAsia="仿宋" w:cs="仿宋"/>
              <w:b/>
              <w:sz w:val="32"/>
              <w:szCs w:val="32"/>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_Toc4752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1"/>
            <w:tabs>
              <w:tab w:val="right" w:leader="dot" w:pos="8845"/>
            </w:tabs>
            <w:ind w:left="640"/>
            <w:rPr>
              <w:rFonts w:ascii="仿宋" w:hAnsi="仿宋" w:eastAsia="仿宋" w:cs="仿宋"/>
              <w:sz w:val="32"/>
              <w:szCs w:val="32"/>
            </w:rPr>
          </w:pPr>
        </w:p>
        <w:p>
          <w:pPr>
            <w:pStyle w:val="20"/>
            <w:tabs>
              <w:tab w:val="right" w:leader="dot" w:pos="8845"/>
            </w:tabs>
            <w:rPr>
              <w:rFonts w:ascii="仿宋" w:hAnsi="仿宋" w:eastAsia="仿宋" w:cs="仿宋"/>
              <w:b/>
              <w:sz w:val="32"/>
              <w:szCs w:val="32"/>
            </w:rPr>
          </w:pPr>
          <w:r>
            <w:fldChar w:fldCharType="begin"/>
          </w:r>
          <w:r>
            <w:instrText xml:space="preserve"> HYPERLINK \l "_Toc14721" </w:instrText>
          </w:r>
          <w:r>
            <w:fldChar w:fldCharType="separate"/>
          </w:r>
          <w:r>
            <w:rPr>
              <w:rFonts w:hint="eastAsia" w:ascii="仿宋" w:hAnsi="仿宋" w:eastAsia="仿宋" w:cs="仿宋"/>
              <w:b/>
              <w:sz w:val="32"/>
              <w:szCs w:val="32"/>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_Toc14721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"_Toc14465" </w:instrText>
          </w:r>
          <w:r>
            <w:fldChar w:fldCharType="separate"/>
          </w:r>
          <w:r>
            <w:rPr>
              <w:rFonts w:hint="eastAsia" w:ascii="仿宋" w:hAnsi="仿宋" w:eastAsia="仿宋" w:cs="仿宋"/>
              <w:b/>
              <w:sz w:val="32"/>
              <w:szCs w:val="32"/>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_Toc14465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"_Toc30742" </w:instrText>
          </w:r>
          <w:r>
            <w:fldChar w:fldCharType="separate"/>
          </w:r>
          <w:r>
            <w:rPr>
              <w:rFonts w:hint="eastAsia" w:ascii="仿宋" w:hAnsi="仿宋" w:eastAsia="仿宋" w:cs="仿宋"/>
              <w:b/>
              <w:sz w:val="32"/>
              <w:szCs w:val="32"/>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_Toc30742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0"/>
            <w:tabs>
              <w:tab w:val="right" w:leader="dot" w:pos="8845"/>
            </w:tabs>
            <w:rPr>
              <w:rFonts w:ascii="仿宋" w:hAnsi="仿宋" w:eastAsia="仿宋" w:cs="仿宋"/>
              <w:b/>
              <w:sz w:val="32"/>
              <w:szCs w:val="32"/>
            </w:rPr>
          </w:pPr>
          <w:r>
            <w:fldChar w:fldCharType="begin"/>
          </w:r>
          <w:r>
            <w:instrText xml:space="preserve"> HYPERLINK \l "_Toc28914" </w:instrText>
          </w:r>
          <w:r>
            <w:fldChar w:fldCharType="separate"/>
          </w:r>
          <w:r>
            <w:rPr>
              <w:rFonts w:hint="eastAsia" w:ascii="仿宋" w:hAnsi="仿宋" w:eastAsia="仿宋" w:cs="仿宋"/>
              <w:b/>
              <w:sz w:val="32"/>
              <w:szCs w:val="32"/>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_Toc28914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0"/>
            <w:rPr>
              <w:kern w:val="0"/>
            </w:rPr>
          </w:pPr>
          <w:r>
            <w:rPr>
              <w:rFonts w:hint="eastAsia"/>
              <w:kern w:val="0"/>
            </w:rPr>
            <w:fldChar w:fldCharType="end"/>
          </w:r>
        </w:p>
      </w:sdtContent>
    </w:sdt>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
      <w:pPr>
        <w:rPr>
          <w:rFonts w:hint="eastAsia"/>
        </w:rPr>
      </w:pPr>
      <w:bookmarkStart w:id="1" w:name="_Toc6459"/>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r>
        <w:rPr>
          <w:rFonts w:hint="eastAsia" w:ascii="黑体" w:hAnsi="黑体" w:eastAsia="黑体" w:cs="黑体"/>
        </w:rPr>
        <w:t>一、基本职能及主要工作</w:t>
      </w:r>
      <w:bookmarkEnd w:id="1"/>
    </w:p>
    <w:p>
      <w:pPr>
        <w:pStyle w:val="10"/>
      </w:pPr>
      <w:bookmarkStart w:id="2" w:name="_Toc29994"/>
      <w:r>
        <w:t>（一）</w:t>
      </w:r>
      <w:r>
        <w:rPr>
          <w:rFonts w:hint="eastAsia" w:cs="宋体"/>
        </w:rPr>
        <w:t>单位</w:t>
      </w:r>
      <w:r>
        <w:rPr>
          <w:rFonts w:hint="eastAsia"/>
        </w:rPr>
        <w:t>职能简介</w:t>
      </w:r>
      <w:bookmarkEnd w:id="2"/>
    </w:p>
    <w:p>
      <w:pPr>
        <w:pStyle w:val="4"/>
      </w:pPr>
      <w:r>
        <w:rPr>
          <w:rFonts w:hint="eastAsia"/>
        </w:rPr>
        <w:t>1.贯彻党的教育方针，坚持社会主义办学方向，实行教育与生产劳动相结合，对学生进行德育、智育、体育、美育和劳动等方面的教育。</w:t>
      </w:r>
    </w:p>
    <w:p>
      <w:pPr>
        <w:pStyle w:val="4"/>
      </w:pPr>
      <w:r>
        <w:rPr>
          <w:rFonts w:hint="eastAsia"/>
        </w:rPr>
        <w:t>2.用科学的发展观指导教育教学工作。加强教育科研工作，推动校本教育的健康发展。加强教学管理，不断推进新课程改革，全面提高教学质量。</w:t>
      </w:r>
    </w:p>
    <w:p>
      <w:pPr>
        <w:pStyle w:val="4"/>
      </w:pPr>
      <w:r>
        <w:rPr>
          <w:rFonts w:hint="eastAsia"/>
        </w:rPr>
        <w:t>3.负责配合政府依法动员、组织适龄儿童、少年入学，严格控制学生辍学，依法保证适龄儿童、少年接受九年义务教育。</w:t>
      </w:r>
    </w:p>
    <w:p>
      <w:pPr>
        <w:pStyle w:val="4"/>
      </w:pPr>
      <w:r>
        <w:rPr>
          <w:rFonts w:hint="eastAsia"/>
        </w:rPr>
        <w:t>4.继续深化人事制度改革，完善学校内部管理，做好后勤保障工作。</w:t>
      </w:r>
    </w:p>
    <w:p>
      <w:pPr>
        <w:pStyle w:val="4"/>
      </w:pPr>
      <w:r>
        <w:rPr>
          <w:rFonts w:hint="eastAsia"/>
        </w:rPr>
        <w:t>5.负责维护学校、师生的合法权益，有权拒绝任何组织和个人对教育教学活动进行非法干扰。</w:t>
      </w:r>
    </w:p>
    <w:p>
      <w:pPr>
        <w:pStyle w:val="4"/>
      </w:pPr>
      <w:r>
        <w:rPr>
          <w:rFonts w:hint="eastAsia"/>
        </w:rPr>
        <w:t>6.负责创建绿色校园、文明校园和平安校园。</w:t>
      </w:r>
    </w:p>
    <w:p>
      <w:pPr>
        <w:pStyle w:val="4"/>
      </w:pPr>
      <w:r>
        <w:rPr>
          <w:rFonts w:hint="eastAsia"/>
        </w:rPr>
        <w:t>7.负责关心教职工生活，发挥教代会职能作用。</w:t>
      </w:r>
    </w:p>
    <w:p>
      <w:pPr>
        <w:rPr>
          <w:rFonts w:ascii="楷体_GB2312" w:eastAsia="楷体_GB2312" w:cs="楷体_GB2312"/>
          <w:b/>
        </w:rPr>
      </w:pPr>
      <w:r>
        <w:rPr>
          <w:rFonts w:hint="eastAsia"/>
        </w:rPr>
        <w:t>8.承办上级交办的其他事项。</w:t>
      </w:r>
    </w:p>
    <w:p>
      <w:pPr>
        <w:pStyle w:val="10"/>
      </w:pPr>
      <w:bookmarkStart w:id="3" w:name="_Toc16423"/>
      <w:r>
        <w:rPr>
          <w:rFonts w:hint="eastAsia"/>
        </w:rPr>
        <w:t>（二）2024年重点工作</w:t>
      </w:r>
      <w:bookmarkEnd w:id="3"/>
    </w:p>
    <w:p>
      <w:r>
        <w:rPr>
          <w:rFonts w:hint="eastAsia"/>
        </w:rPr>
        <w:t xml:space="preserve"> 全面实施生命教育，以认识生命，敬畏生命、发现生命、尊重生命、热爱生命、保护生命、激扬生命，完善生命为内容，从学校管理，队伍建设，教学工作，德育工作，体、艺、安全教育活动五个维度建构生命教育体系，实现捍卫生命尊严，激发生命潜能，提升生命品质，实现生命价值的目标追求。</w:t>
      </w:r>
    </w:p>
    <w:p>
      <w:r>
        <w:rPr>
          <w:rFonts w:hint="eastAsia"/>
        </w:rPr>
        <w:t xml:space="preserve"> 1、学校管理人性化、精细化、科学化学习借鉴现代先进的管理理论，秉持以人为本的管理理念，为师生生命成长创造安全、和谐的学校环境，彰显师生的生命活力和价值。继续深入开展学校文化的大学习、大讨论活动，进一步丰富学校文化内涵，提升学校文化品味，使“关怀生命”的核心价值观真正成为师生的思想和共识，成为师生的自觉行动。</w:t>
      </w:r>
    </w:p>
    <w:p>
      <w:pPr>
        <w:rPr>
          <w:rFonts w:hint="eastAsia"/>
        </w:rPr>
      </w:pPr>
      <w:r>
        <w:rPr>
          <w:rFonts w:hint="eastAsia"/>
        </w:rPr>
        <w:t>2、队伍建设思路清、目标明、效果好。依据生命教育的理念，站在生命的高度，重新思考队伍建设的思路与策略，激活教师自身生命意识的觉醒，引领教师在教育教学实践中用生命去温暖生命，用生命去激活生命，用生命滋润生命。扎实并创造性地执行名师工程方案。为教师的生命成长搭台、铺路，在活动中提升教师的德性与技能，在活动中彰显教师的生命魅力与价值，坚定教师的职业理想，增强教师职业幸福指数，成就教师幸福、有价值的人生。</w:t>
      </w:r>
    </w:p>
    <w:p>
      <w:r>
        <w:rPr>
          <w:rFonts w:hint="eastAsia"/>
        </w:rPr>
        <w:t>3、德育工作回归学生生活本真，突出生命感悟与体验。认真学习生命教育的相关理论，从生命教育的角度不断丰富，创新德育工作的内容与途径，牢固树立“全员育人、全程育人”的思想，提高德育工作的针对性，实效性，培养学生良好的行为习惯，提高学生珍爱生命，尊重生命，保护生命的意识和能力，提高学生的生命质量，为学生幸福人生奠基。</w:t>
      </w:r>
    </w:p>
    <w:p>
      <w:r>
        <w:rPr>
          <w:rFonts w:hint="eastAsia"/>
        </w:rPr>
        <w:t>4、教学工作规范、创新、反璞归真，让课堂焕发出生命的活力。进一步规范教学常规，严格执行课程计划，把生命教育落实到教学活动的全部。加大备课改革的力度，积极探索年级组电子协同备课制，积极建构充满生命活力的学科课堂教学模式，彰显我校“轻负担、高质量”的办学特色。坚定校本研修指导思想，认真落实校本研修操作模式，确保校本研修的实效性，逐步形成本校的工作特色。</w:t>
      </w:r>
    </w:p>
    <w:p>
      <w:r>
        <w:rPr>
          <w:rFonts w:hint="eastAsia"/>
        </w:rPr>
        <w:t>5、体、艺、卫、安全教育要创新活动思路，丰富活动内容且成绩优异要以促进肉体生命的强健和精神生命的形成，激扬生命活力为目标整体设计体、艺、卫、安全教育活动，在认真落实“33211”工程，“学生阳光体育运动”、“三名活动”和防震、防火防传染病常规工作的基础上，依据生命教育的内容创新性开展工作。认真抓好各训练团队训练活动，确保在昭化区的各种比赛中取得优异成绩。</w:t>
      </w:r>
    </w:p>
    <w:p>
      <w:pPr>
        <w:rPr>
          <w:rFonts w:ascii="黑体" w:hAnsi="黑体" w:eastAsia="黑体" w:cs="黑体"/>
        </w:rPr>
      </w:pPr>
      <w:bookmarkStart w:id="4" w:name="_Toc24646"/>
      <w:r>
        <w:rPr>
          <w:rFonts w:hint="eastAsia" w:ascii="黑体" w:hAnsi="黑体" w:eastAsia="黑体" w:cs="黑体"/>
        </w:rPr>
        <w:t>二、部门预算单位构成</w:t>
      </w:r>
      <w:bookmarkEnd w:id="4"/>
    </w:p>
    <w:p>
      <w:pPr>
        <w:rPr>
          <w:rFonts w:ascii="仿宋_GB2312" w:hAnsi="仿宋_GB2312" w:eastAsia="仿宋_GB2312"/>
        </w:rPr>
      </w:pPr>
      <w:r>
        <w:rPr>
          <w:rFonts w:hint="eastAsia"/>
        </w:rPr>
        <w:t>我单位为广元市昭化区教育局下属二级预算单位，本单位无下属机构，属于公益一类事业单位。</w:t>
      </w:r>
    </w:p>
    <w:p>
      <w:pPr>
        <w:rPr>
          <w:rFonts w:ascii="黑体" w:hAnsi="黑体" w:eastAsia="黑体"/>
        </w:rPr>
      </w:pPr>
      <w:bookmarkStart w:id="5" w:name="_Toc25687"/>
      <w:r>
        <w:rPr>
          <w:rFonts w:hint="eastAsia" w:ascii="黑体" w:hAnsi="黑体" w:eastAsia="黑体"/>
        </w:rPr>
        <w:t>三、收支预算情况说明</w:t>
      </w:r>
      <w:bookmarkEnd w:id="5"/>
    </w:p>
    <w:p>
      <w:r>
        <w:rPr>
          <w:rFonts w:hint="eastAsia"/>
        </w:rPr>
        <w:t>按照综合预算的原则，张家小学所有收入和支出均纳入部门预算管理。收入包括：一般公共预算拨款收入；支出包括：教育支出。张家小学2024年收支预算总数399.37万元,比2023年收支预算总数减少18.61万元，主要原因是基本支出减少。</w:t>
      </w:r>
    </w:p>
    <w:p>
      <w:bookmarkStart w:id="6" w:name="_Toc13260"/>
      <w:r>
        <w:rPr>
          <w:rFonts w:hint="eastAsia"/>
        </w:rPr>
        <w:t>（一）收入预算情况</w:t>
      </w:r>
      <w:bookmarkEnd w:id="6"/>
    </w:p>
    <w:p>
      <w:pPr>
        <w:rPr>
          <w:b/>
          <w:bCs/>
        </w:rPr>
      </w:pPr>
      <w:r>
        <w:rPr>
          <w:rFonts w:hint="eastAsia"/>
        </w:rPr>
        <w:t>张家小学2024年收入预算399.37万元，其中：一般公共预算拨款收入399.37万元，占100%。</w:t>
      </w:r>
    </w:p>
    <w:p>
      <w:bookmarkStart w:id="7" w:name="_Toc22438"/>
      <w:r>
        <w:rPr>
          <w:rFonts w:hint="eastAsia"/>
        </w:rPr>
        <w:t>（二）支出预算情况</w:t>
      </w:r>
      <w:bookmarkEnd w:id="7"/>
    </w:p>
    <w:p>
      <w:pPr>
        <w:rPr>
          <w:b/>
          <w:bCs/>
        </w:rPr>
      </w:pPr>
      <w:r>
        <w:rPr>
          <w:rFonts w:hint="eastAsia"/>
        </w:rPr>
        <w:t>张家小学2024年支出预算399.37万元，其中：基本支出</w:t>
      </w:r>
      <w:r>
        <w:t>371.81</w:t>
      </w:r>
      <w:r>
        <w:rPr>
          <w:rFonts w:hint="eastAsia"/>
        </w:rPr>
        <w:t>万元，占93.1%；项目支出</w:t>
      </w:r>
      <w:r>
        <w:t>27.56</w:t>
      </w:r>
      <w:r>
        <w:rPr>
          <w:rFonts w:hint="eastAsia"/>
        </w:rPr>
        <w:t>万元，占6.9%。</w:t>
      </w:r>
    </w:p>
    <w:p>
      <w:pPr>
        <w:rPr>
          <w:rFonts w:ascii="黑体" w:hAnsi="黑体" w:eastAsia="黑体"/>
        </w:rPr>
      </w:pPr>
      <w:bookmarkStart w:id="8" w:name="_Toc1500"/>
      <w:r>
        <w:rPr>
          <w:rFonts w:hint="eastAsia" w:ascii="黑体" w:hAnsi="黑体" w:eastAsia="黑体"/>
        </w:rPr>
        <w:t>四、财政拨款收支预算情况说明</w:t>
      </w:r>
      <w:bookmarkEnd w:id="8"/>
    </w:p>
    <w:p>
      <w:r>
        <w:rPr>
          <w:rFonts w:hint="eastAsia"/>
        </w:rPr>
        <w:t>张家小学2024年财政拨款收支预算总数399.37万元,比2023年财政拨款收支预算总数减少18.61万元，主要原因是基本支出减少。</w:t>
      </w:r>
    </w:p>
    <w:p>
      <w:r>
        <w:rPr>
          <w:rFonts w:hint="eastAsia"/>
        </w:rPr>
        <w:t>收入包括：本年一般公共预算拨款收入399.37万元；支出包括：教育支出399.37万元。</w:t>
      </w:r>
    </w:p>
    <w:p>
      <w:pPr>
        <w:rPr>
          <w:rFonts w:ascii="黑体" w:hAnsi="黑体" w:eastAsia="黑体"/>
        </w:rPr>
      </w:pPr>
      <w:bookmarkStart w:id="9" w:name="_Toc31901"/>
      <w:r>
        <w:rPr>
          <w:rFonts w:hint="eastAsia" w:ascii="黑体" w:hAnsi="黑体" w:eastAsia="黑体"/>
        </w:rPr>
        <w:t>五、一般公共预算当年拨款情况说明</w:t>
      </w:r>
      <w:bookmarkEnd w:id="9"/>
    </w:p>
    <w:p>
      <w:bookmarkStart w:id="10" w:name="_Toc26652"/>
      <w:r>
        <w:rPr>
          <w:rFonts w:hint="eastAsia"/>
        </w:rPr>
        <w:t>（一）一般公共预算当年拨款规模变化情况</w:t>
      </w:r>
      <w:bookmarkEnd w:id="10"/>
    </w:p>
    <w:p>
      <w:r>
        <w:rPr>
          <w:rFonts w:hint="eastAsia"/>
        </w:rPr>
        <w:t>张家小学2024年一般公共预算当年拨款399.37万元，比2023年预算数减少18.61万元，主要原因是基本支出减少。</w:t>
      </w:r>
    </w:p>
    <w:p>
      <w:bookmarkStart w:id="11" w:name="_Toc31367"/>
      <w:r>
        <w:rPr>
          <w:rFonts w:hint="eastAsia"/>
        </w:rPr>
        <w:t>（二）一般公共预算当年拨款结构情况</w:t>
      </w:r>
      <w:bookmarkEnd w:id="11"/>
    </w:p>
    <w:p>
      <w:r>
        <w:rPr>
          <w:rFonts w:hint="eastAsia"/>
        </w:rPr>
        <w:t>教育支出399.37万元，占100%。</w:t>
      </w:r>
    </w:p>
    <w:p>
      <w:bookmarkStart w:id="12" w:name="_Toc14340"/>
      <w:r>
        <w:rPr>
          <w:rFonts w:hint="eastAsia"/>
        </w:rPr>
        <w:t>（三）一般公共预算当年拨款具体使用情况</w:t>
      </w:r>
      <w:bookmarkEnd w:id="12"/>
    </w:p>
    <w:p>
      <w:pPr>
        <w:rPr>
          <w:rFonts w:ascii="仿宋_GB2312" w:hAnsi="仿宋_GB2312" w:eastAsia="仿宋_GB2312"/>
        </w:rPr>
      </w:pPr>
      <w:r>
        <w:rPr>
          <w:rFonts w:hint="eastAsia"/>
        </w:rPr>
        <w:t>教育支出（类）普通教育（款）小学教育（项）2024年预算数为399.37万元，主要用于：本单位基本支出，包括</w:t>
      </w:r>
      <w:r>
        <w:t>包括基本工资、津贴补贴、基础绩效奖等人员经费以及机构运行所需的办公费、印刷费、维修（护）费、工会经费等运行补助经费。</w:t>
      </w:r>
    </w:p>
    <w:p>
      <w:pPr>
        <w:rPr>
          <w:rFonts w:ascii="黑体" w:hAnsi="黑体" w:eastAsia="黑体"/>
        </w:rPr>
      </w:pPr>
      <w:bookmarkStart w:id="13" w:name="_Toc1796"/>
      <w:r>
        <w:rPr>
          <w:rFonts w:hint="eastAsia" w:ascii="黑体" w:hAnsi="黑体" w:eastAsia="黑体"/>
        </w:rPr>
        <w:t>六、一般公共预算基本支出情况说明</w:t>
      </w:r>
      <w:bookmarkEnd w:id="13"/>
    </w:p>
    <w:p>
      <w:r>
        <w:rPr>
          <w:rFonts w:hint="eastAsia"/>
        </w:rPr>
        <w:t>张家小学2024年一般公共预算基本支出371.81万元，其中：</w:t>
      </w:r>
    </w:p>
    <w:p>
      <w:r>
        <w:rPr>
          <w:rFonts w:hint="eastAsia"/>
        </w:rPr>
        <w:t>人员经费371.81万元，主要包括：基本工资、津贴补贴、奖金、社会保险缴费、住房公积金、抚恤金等支出。</w:t>
      </w:r>
    </w:p>
    <w:p>
      <w:pPr>
        <w:rPr>
          <w:rFonts w:ascii="黑体" w:hAnsi="黑体" w:eastAsia="黑体"/>
        </w:rPr>
      </w:pPr>
      <w:bookmarkStart w:id="14" w:name="_Toc4752"/>
      <w:r>
        <w:rPr>
          <w:rFonts w:hint="eastAsia" w:ascii="黑体" w:hAnsi="黑体" w:eastAsia="黑体"/>
        </w:rPr>
        <w:t>七、“三公”经费财政拨款预算安排情况说明</w:t>
      </w:r>
      <w:bookmarkEnd w:id="14"/>
    </w:p>
    <w:p>
      <w:r>
        <w:rPr>
          <w:rFonts w:hint="eastAsia"/>
        </w:rPr>
        <w:t>张家小学2024年“三公”经费财政拨款预算数0万元。</w:t>
      </w:r>
    </w:p>
    <w:p>
      <w:bookmarkStart w:id="15" w:name="_Toc6522"/>
      <w:r>
        <w:rPr>
          <w:rFonts w:hint="eastAsia"/>
        </w:rPr>
        <w:t>（一）公务接待费</w:t>
      </w:r>
      <w:bookmarkEnd w:id="15"/>
    </w:p>
    <w:p>
      <w:r>
        <w:rPr>
          <w:rFonts w:hint="eastAsia"/>
        </w:rPr>
        <w:t>公务接待费与2023年预算相比持平。</w:t>
      </w:r>
    </w:p>
    <w:p>
      <w:bookmarkStart w:id="16" w:name="_Toc3709"/>
      <w:r>
        <w:rPr>
          <w:rFonts w:hint="eastAsia"/>
        </w:rPr>
        <w:t>公务用车购置及运行维护费</w:t>
      </w:r>
      <w:bookmarkEnd w:id="16"/>
    </w:p>
    <w:p>
      <w:pPr>
        <w:rPr>
          <w:rFonts w:hint="eastAsia"/>
        </w:rPr>
      </w:pPr>
      <w:r>
        <w:t>公务用车购置及运行维护费与2023年预算持平。</w:t>
      </w:r>
    </w:p>
    <w:p>
      <w:pPr>
        <w:rPr>
          <w:rFonts w:hint="eastAsia"/>
        </w:rPr>
      </w:pPr>
      <w:r>
        <w:t>单位现有公务用车0辆。</w:t>
      </w:r>
      <w:r>
        <w:rPr>
          <w:rFonts w:hint="eastAsia"/>
        </w:rPr>
        <w:t xml:space="preserve">    </w:t>
      </w:r>
    </w:p>
    <w:p>
      <w:pPr>
        <w:rPr>
          <w:rFonts w:hint="eastAsia"/>
        </w:rPr>
      </w:pPr>
      <w:r>
        <w:t>2024年未安排公务用车购置费。</w:t>
      </w:r>
    </w:p>
    <w:p>
      <w:r>
        <w:t>2024年安排公务用车运行维护费0万元</w:t>
      </w:r>
      <w:r>
        <w:rPr>
          <w:rFonts w:hint="eastAsia"/>
        </w:rPr>
        <w:t>。</w:t>
      </w:r>
    </w:p>
    <w:p>
      <w:pPr>
        <w:ind w:firstLine="0" w:firstLineChars="0"/>
        <w:rPr>
          <w:rFonts w:ascii="仿宋_GB2312" w:hAnsi="仿宋_GB2312" w:eastAsia="仿宋_GB2312"/>
        </w:rPr>
      </w:pPr>
      <w:bookmarkStart w:id="17" w:name="_Toc16091"/>
      <w:r>
        <w:rPr>
          <w:rFonts w:hint="eastAsia" w:ascii="仿宋_GB2312" w:hAnsi="仿宋_GB2312" w:eastAsia="仿宋_GB2312"/>
        </w:rPr>
        <w:t xml:space="preserve">    （</w:t>
      </w:r>
      <w:r>
        <w:rPr>
          <w:rFonts w:hint="eastAsia"/>
        </w:rPr>
        <w:t>三）因公出国（境）经费</w:t>
      </w:r>
      <w:bookmarkEnd w:id="17"/>
    </w:p>
    <w:p>
      <w:pPr>
        <w:rPr>
          <w:b/>
          <w:bCs/>
        </w:rPr>
      </w:pPr>
      <w:r>
        <w:rPr>
          <w:rFonts w:hint="eastAsia"/>
        </w:rPr>
        <w:t>因公出国（境）经费与2022年预算相比持平。</w:t>
      </w:r>
    </w:p>
    <w:p>
      <w:pPr>
        <w:rPr>
          <w:rFonts w:ascii="黑体" w:hAnsi="黑体" w:eastAsia="黑体"/>
        </w:rPr>
      </w:pPr>
      <w:bookmarkStart w:id="18" w:name="_Toc14721"/>
      <w:r>
        <w:rPr>
          <w:rFonts w:hint="eastAsia" w:ascii="黑体" w:hAnsi="黑体" w:eastAsia="黑体"/>
        </w:rPr>
        <w:t>八、政府性基金预算支出情况说明</w:t>
      </w:r>
      <w:bookmarkEnd w:id="18"/>
    </w:p>
    <w:p>
      <w:r>
        <w:rPr>
          <w:rFonts w:hint="eastAsia"/>
        </w:rPr>
        <w:t>张家小学2024年政府性基金预算拨款安排支出0万元。</w:t>
      </w:r>
    </w:p>
    <w:p>
      <w:pPr>
        <w:rPr>
          <w:rFonts w:ascii="黑体" w:hAnsi="黑体" w:eastAsia="黑体"/>
        </w:rPr>
      </w:pPr>
      <w:bookmarkStart w:id="19" w:name="_Toc14465"/>
      <w:r>
        <w:rPr>
          <w:rFonts w:hint="eastAsia" w:ascii="黑体" w:hAnsi="黑体" w:eastAsia="黑体"/>
        </w:rPr>
        <w:t>九、国有资本经营预算支出情况说明</w:t>
      </w:r>
      <w:bookmarkEnd w:id="19"/>
    </w:p>
    <w:p>
      <w:r>
        <w:rPr>
          <w:rFonts w:hint="eastAsia"/>
        </w:rPr>
        <w:t>张家小学2024年无国有资本经营预算拨款安排的支出。</w:t>
      </w:r>
    </w:p>
    <w:p>
      <w:pPr>
        <w:rPr>
          <w:rFonts w:ascii="黑体" w:hAnsi="黑体" w:eastAsia="黑体"/>
        </w:rPr>
      </w:pPr>
      <w:bookmarkStart w:id="20" w:name="_Toc30742"/>
      <w:r>
        <w:rPr>
          <w:rFonts w:hint="eastAsia" w:ascii="黑体" w:hAnsi="黑体" w:eastAsia="黑体"/>
        </w:rPr>
        <w:t>十、其他重要事项的情况说明</w:t>
      </w:r>
      <w:bookmarkEnd w:id="20"/>
    </w:p>
    <w:p>
      <w:bookmarkStart w:id="21" w:name="_Toc10055"/>
      <w:r>
        <w:rPr>
          <w:rFonts w:hint="eastAsia"/>
        </w:rPr>
        <w:t>（一）机关运行经费</w:t>
      </w:r>
      <w:bookmarkEnd w:id="21"/>
    </w:p>
    <w:p>
      <w:r>
        <w:rPr>
          <w:rFonts w:hint="eastAsia"/>
        </w:rPr>
        <w:t>2024年，本单位属于公益一类事业单位无机关运行经费。</w:t>
      </w:r>
    </w:p>
    <w:p>
      <w:bookmarkStart w:id="22" w:name="_Toc9429"/>
      <w:r>
        <w:rPr>
          <w:rFonts w:hint="eastAsia"/>
        </w:rPr>
        <w:t>（二）政府采购情况</w:t>
      </w:r>
      <w:bookmarkEnd w:id="22"/>
    </w:p>
    <w:p>
      <w:r>
        <w:rPr>
          <w:rFonts w:hint="eastAsia"/>
        </w:rPr>
        <w:t>2024年，张家小学未安排政府采购预算。</w:t>
      </w:r>
    </w:p>
    <w:p>
      <w:bookmarkStart w:id="23" w:name="_Toc19455"/>
      <w:r>
        <w:rPr>
          <w:rFonts w:hint="eastAsia"/>
        </w:rPr>
        <w:t>（三）国有资产占有使用情况</w:t>
      </w:r>
      <w:bookmarkEnd w:id="23"/>
    </w:p>
    <w:p>
      <w:r>
        <w:rPr>
          <w:rFonts w:hint="eastAsia"/>
        </w:rPr>
        <w:t>截至2023年底，张家小学共有车辆0辆，单位无价值200万元以上的大型设备。</w:t>
      </w:r>
    </w:p>
    <w:p>
      <w:r>
        <w:rPr>
          <w:rFonts w:hint="eastAsia"/>
        </w:rPr>
        <w:t>2024年单位预算未安排购置车辆及单位价值200万元以上大型设备）。</w:t>
      </w:r>
    </w:p>
    <w:p>
      <w:bookmarkStart w:id="24" w:name="_Toc29554"/>
      <w:r>
        <w:rPr>
          <w:rFonts w:hint="eastAsia"/>
        </w:rPr>
        <w:t>（四）绩效目标设置情况</w:t>
      </w:r>
      <w:bookmarkEnd w:id="24"/>
    </w:p>
    <w:p>
      <w:r>
        <w:rPr>
          <w:rFonts w:hint="eastAsia"/>
        </w:rPr>
        <w:t>2024年张家小学开展绩效目标管理的项目4个，涉及预算27.56万元。其中：人员类项目0个，涉及预算 0万元；运转类项目4个，涉及预算27.56万元；特定目标类项目0个，涉及预算0万元。因部分项目内容涉密，不予公开。</w:t>
      </w:r>
    </w:p>
    <w:p>
      <w:pPr>
        <w:rPr>
          <w:rFonts w:ascii="黑体" w:hAnsi="黑体" w:eastAsia="黑体"/>
        </w:rPr>
      </w:pPr>
      <w:bookmarkStart w:id="25" w:name="_Toc28914"/>
      <w:r>
        <w:rPr>
          <w:rFonts w:hint="eastAsia" w:ascii="黑体" w:hAnsi="黑体" w:eastAsia="黑体"/>
        </w:rPr>
        <w:t>十一、名词解释</w:t>
      </w:r>
      <w:bookmarkEnd w:id="25"/>
    </w:p>
    <w:p>
      <w:r>
        <w:rPr>
          <w:rFonts w:hint="eastAsia"/>
        </w:rPr>
        <w:t>（一）财政拨款收入</w:t>
      </w:r>
      <w:r>
        <w:t>:</w:t>
      </w:r>
      <w:r>
        <w:rPr>
          <w:rFonts w:hint="eastAsia"/>
        </w:rPr>
        <w:t>指</w:t>
      </w:r>
      <w:bookmarkStart w:id="27" w:name="_GoBack"/>
      <w:bookmarkEnd w:id="27"/>
      <w:r>
        <w:rPr>
          <w:rFonts w:hint="eastAsia"/>
        </w:rPr>
        <w:t>财政当年安排的财政预算收入。按现行管理制度</w:t>
      </w:r>
      <w:r>
        <w:t>,</w:t>
      </w:r>
      <w:r>
        <w:rPr>
          <w:rFonts w:hint="eastAsia"/>
        </w:rPr>
        <w:t>部门预算中反映的财政拨款包括一般公共预算拨款和政府性基金预算拨款。</w:t>
      </w:r>
    </w:p>
    <w:p>
      <w:r>
        <w:rPr>
          <w:rFonts w:hint="eastAsia"/>
        </w:rPr>
        <w:t>（二）</w:t>
      </w:r>
      <w:r>
        <w:t>教育支出（类）普通教育（款）小学教育（项）：指</w:t>
      </w:r>
      <w:r>
        <w:rPr>
          <w:rFonts w:hint="eastAsia"/>
        </w:rPr>
        <w:t>本单位</w:t>
      </w:r>
      <w:r>
        <w:t>的基本支出，包括基本工资、津贴补贴等人员经费以及办公费、印刷费、水电费等日常公用经费。</w:t>
      </w:r>
    </w:p>
    <w:p>
      <w:pPr>
        <w:rPr>
          <w:rFonts w:hint="eastAsia"/>
        </w:rPr>
      </w:pPr>
      <w:r>
        <w:rPr>
          <w:rFonts w:hint="eastAsia"/>
        </w:rPr>
        <w:t>（三）基本支出：指为保证机构正常运转，完成日常工作任务而发生的人员支出和公用支出。　　</w:t>
      </w:r>
    </w:p>
    <w:p>
      <w:r>
        <w:rPr>
          <w:rFonts w:hint="eastAsia"/>
        </w:rPr>
        <w:t>（四）项目支出：指在基本支出之外为完成特定行政任务和事业发展目标所发生的支出。</w:t>
      </w:r>
    </w:p>
    <w:p/>
    <w:p/>
    <w:p/>
    <w:p/>
    <w:p/>
    <w:p/>
    <w:p/>
    <w:p/>
    <w:p/>
    <w:p/>
    <w:p>
      <w:pPr>
        <w:ind w:firstLine="0" w:firstLineChars="0"/>
        <w:rPr>
          <w:rFonts w:hint="eastAsia"/>
        </w:rPr>
      </w:pPr>
      <w:r>
        <w:rPr>
          <w:rFonts w:hint="eastAsia"/>
        </w:rPr>
        <w:t xml:space="preserve">    附件：1.预算公开报表</w:t>
      </w:r>
      <w:bookmarkStart w:id="26" w:name="_Toc31963"/>
    </w:p>
    <w:p>
      <w:pPr>
        <w:ind w:firstLine="0" w:firstLineChars="0"/>
      </w:pPr>
      <w:r>
        <w:rPr>
          <w:rFonts w:hint="eastAsia"/>
        </w:rPr>
        <w:t xml:space="preserve">          2.项目支出绩效目标表</w:t>
      </w:r>
      <w:bookmarkEnd w:id="26"/>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720" w:footer="1559"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F5DFD9-91F8-4632-8862-789697F5537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4930E002-FDB2-4306-85C8-5E4B02DBAB9F}"/>
  </w:font>
  <w:font w:name="仿宋_GB2312">
    <w:altName w:val="仿宋"/>
    <w:panose1 w:val="00000000000000000000"/>
    <w:charset w:val="86"/>
    <w:family w:val="auto"/>
    <w:pitch w:val="default"/>
    <w:sig w:usb0="00000000" w:usb1="00000000" w:usb2="00000000" w:usb3="00000000" w:csb0="00040000" w:csb1="00000000"/>
    <w:embedRegular r:id="rId3" w:fontKey="{95DE5DD6-3827-4D6E-AA10-C558A8741614}"/>
  </w:font>
  <w:font w:name="楷体">
    <w:panose1 w:val="02010609060101010101"/>
    <w:charset w:val="86"/>
    <w:family w:val="modern"/>
    <w:pitch w:val="default"/>
    <w:sig w:usb0="800002BF" w:usb1="38CF7CFA" w:usb2="00000016" w:usb3="00000000" w:csb0="00040001" w:csb1="00000000"/>
    <w:embedRegular r:id="rId4" w:fontKey="{5D701515-2095-4C9F-B6A7-446839B3235B}"/>
  </w:font>
  <w:font w:name="楷体_GB2312">
    <w:altName w:val="楷体"/>
    <w:panose1 w:val="00000000000000000000"/>
    <w:charset w:val="86"/>
    <w:family w:val="auto"/>
    <w:pitch w:val="default"/>
    <w:sig w:usb0="00000000" w:usb1="00000000" w:usb2="00000000" w:usb3="00000000" w:csb0="00040000" w:csb1="00000000"/>
    <w:embedRegular r:id="rId5" w:fontKey="{9EAF24EF-5666-4CFE-90A3-694E155AC00C}"/>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Cambria">
    <w:panose1 w:val="02040503050406030204"/>
    <w:charset w:val="00"/>
    <w:family w:val="roman"/>
    <w:pitch w:val="default"/>
    <w:sig w:usb0="E00002FF" w:usb1="400004FF" w:usb2="00000000" w:usb3="00000000" w:csb0="2000019F" w:csb1="00000000"/>
  </w:font>
  <w:font w:name="方正小标宋简体">
    <w:panose1 w:val="02000000000000000000"/>
    <w:charset w:val="86"/>
    <w:family w:val="auto"/>
    <w:pitch w:val="default"/>
    <w:sig w:usb0="00000001" w:usb1="080E0000" w:usb2="00000000" w:usb3="00000000" w:csb0="00040000" w:csb1="00000000"/>
    <w:embedRegular r:id="rId6" w:fontKey="{9B1BD708-A08D-42A5-9626-2BC06A77FD32}"/>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7"/>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TrueTypeFonts/>
  <w:saveSubsetFonts/>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lhNTlmMWMwY2NkZGNhOTM0ZTIzOTMwM2UwMjVlYzgifQ=="/>
  </w:docVars>
  <w:rsids>
    <w:rsidRoot w:val="009458ED"/>
    <w:rsid w:val="00013FC9"/>
    <w:rsid w:val="0006232D"/>
    <w:rsid w:val="0009096B"/>
    <w:rsid w:val="000C1A9C"/>
    <w:rsid w:val="003B5E1B"/>
    <w:rsid w:val="00445B65"/>
    <w:rsid w:val="00592DF7"/>
    <w:rsid w:val="005C0D8C"/>
    <w:rsid w:val="006648CE"/>
    <w:rsid w:val="00701921"/>
    <w:rsid w:val="00784245"/>
    <w:rsid w:val="008048FE"/>
    <w:rsid w:val="00882147"/>
    <w:rsid w:val="008E604B"/>
    <w:rsid w:val="009458ED"/>
    <w:rsid w:val="00B02AA6"/>
    <w:rsid w:val="00B8185E"/>
    <w:rsid w:val="00C43342"/>
    <w:rsid w:val="00D723A2"/>
    <w:rsid w:val="00E0593F"/>
    <w:rsid w:val="00EC62E6"/>
    <w:rsid w:val="00ED3DF1"/>
    <w:rsid w:val="00F87759"/>
    <w:rsid w:val="012352D1"/>
    <w:rsid w:val="19143CEC"/>
    <w:rsid w:val="1F7BF06F"/>
    <w:rsid w:val="1FEE4B73"/>
    <w:rsid w:val="23766A76"/>
    <w:rsid w:val="23CE9849"/>
    <w:rsid w:val="35F0523B"/>
    <w:rsid w:val="39F304DD"/>
    <w:rsid w:val="54244390"/>
    <w:rsid w:val="54662A63"/>
    <w:rsid w:val="58064E12"/>
    <w:rsid w:val="5BFEE015"/>
    <w:rsid w:val="5E100ECD"/>
    <w:rsid w:val="63EDCF55"/>
    <w:rsid w:val="63FBFBCF"/>
    <w:rsid w:val="669360FD"/>
    <w:rsid w:val="68FF6A83"/>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spacing w:line="576" w:lineRule="exact"/>
      <w:ind w:firstLine="640" w:firstLineChars="200"/>
      <w:jc w:val="both"/>
    </w:pPr>
    <w:rPr>
      <w:rFonts w:ascii="仿宋" w:hAnsi="仿宋" w:eastAsia="仿宋" w:cs="仿宋_GB2312"/>
      <w:kern w:val="2"/>
      <w:sz w:val="32"/>
      <w:szCs w:val="3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toc 3"/>
    <w:basedOn w:val="1"/>
    <w:next w:val="1"/>
    <w:autoRedefine/>
    <w:qFormat/>
    <w:uiPriority w:val="39"/>
    <w:pPr>
      <w:ind w:left="840" w:leftChars="400"/>
    </w:pPr>
  </w:style>
  <w:style w:type="paragraph" w:styleId="6">
    <w:name w:val="Balloon Text"/>
    <w:basedOn w:val="1"/>
    <w:link w:val="19"/>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4"/>
    <w:autoRedefine/>
    <w:qFormat/>
    <w:uiPriority w:val="0"/>
  </w:style>
  <w:style w:type="paragraph" w:styleId="10">
    <w:name w:val="Normal (Web)"/>
    <w:basedOn w:val="1"/>
    <w:autoRedefine/>
    <w:qFormat/>
    <w:uiPriority w:val="0"/>
    <w:pPr>
      <w:ind w:firstLine="643"/>
    </w:pPr>
    <w:rPr>
      <w:rFonts w:ascii="楷体" w:hAnsi="楷体" w:eastAsia="楷体" w:cs="楷体_GB2312"/>
      <w:b/>
      <w:color w:val="333333"/>
      <w:shd w:val="clear" w:color="auto" w:fill="FFFFFF"/>
    </w:rPr>
  </w:style>
  <w:style w:type="character" w:styleId="13">
    <w:name w:val="Hyperlink"/>
    <w:basedOn w:val="12"/>
    <w:autoRedefine/>
    <w:unhideWhenUsed/>
    <w:uiPriority w:val="99"/>
    <w:rPr>
      <w:color w:val="0000FF" w:themeColor="hyperlink"/>
      <w:u w:val="single"/>
    </w:rPr>
  </w:style>
  <w:style w:type="character" w:customStyle="1" w:styleId="14">
    <w:name w:val="默认段落字体1"/>
    <w:autoRedefine/>
    <w:qFormat/>
    <w:uiPriority w:val="0"/>
  </w:style>
  <w:style w:type="paragraph" w:customStyle="1" w:styleId="15">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autoRedefine/>
    <w:qFormat/>
    <w:uiPriority w:val="0"/>
    <w:pPr>
      <w:suppressLineNumbers/>
    </w:pPr>
  </w:style>
  <w:style w:type="character" w:customStyle="1" w:styleId="17">
    <w:name w:val="标题 1 Char"/>
    <w:basedOn w:val="12"/>
    <w:link w:val="2"/>
    <w:qFormat/>
    <w:uiPriority w:val="0"/>
    <w:rPr>
      <w:rFonts w:ascii="Calibri" w:hAnsi="Calibri"/>
      <w:b/>
      <w:bCs/>
      <w:kern w:val="44"/>
      <w:sz w:val="44"/>
      <w:szCs w:val="44"/>
    </w:rPr>
  </w:style>
  <w:style w:type="paragraph" w:customStyle="1" w:styleId="18">
    <w:name w:val="TOC 标题1"/>
    <w:basedOn w:val="2"/>
    <w:next w:val="1"/>
    <w:autoRedefine/>
    <w:semiHidden/>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9">
    <w:name w:val="批注框文本 Char"/>
    <w:basedOn w:val="12"/>
    <w:link w:val="6"/>
    <w:qFormat/>
    <w:uiPriority w:val="0"/>
    <w:rPr>
      <w:rFonts w:ascii="Calibri" w:hAnsi="Calibri"/>
      <w:kern w:val="2"/>
      <w:sz w:val="18"/>
      <w:szCs w:val="18"/>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autoRedefine/>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BA747-1F8F-43E4-8DCA-735E29DE3FBC}">
  <ds:schemaRefs/>
</ds:datastoreItem>
</file>

<file path=docProps/app.xml><?xml version="1.0" encoding="utf-8"?>
<Properties xmlns="http://schemas.openxmlformats.org/officeDocument/2006/extended-properties" xmlns:vt="http://schemas.openxmlformats.org/officeDocument/2006/docPropsVTypes">
  <Template>Normal.dotm</Template>
  <Pages>9</Pages>
  <Words>721</Words>
  <Characters>4111</Characters>
  <Lines>34</Lines>
  <Paragraphs>9</Paragraphs>
  <TotalTime>21</TotalTime>
  <ScaleCrop>false</ScaleCrop>
  <LinksUpToDate>false</LinksUpToDate>
  <CharactersWithSpaces>4823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2024-04-08T07:20:17Z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