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i w:val="0"/>
          <w:caps w:val="0"/>
          <w:color w:val="333333"/>
          <w:spacing w:val="0"/>
          <w:kern w:val="0"/>
          <w:sz w:val="44"/>
          <w:szCs w:val="44"/>
          <w:shd w:val="clear" w:color="auto" w:fill="FFFFFF"/>
          <w:lang w:val="en-US" w:eastAsia="zh-CN" w:bidi="ar"/>
        </w:rPr>
      </w:pPr>
      <w:bookmarkStart w:id="0" w:name="_Toc17121"/>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i w:val="0"/>
          <w:caps w:val="0"/>
          <w:color w:val="333333"/>
          <w:spacing w:val="0"/>
          <w:kern w:val="0"/>
          <w:sz w:val="44"/>
          <w:szCs w:val="44"/>
          <w:shd w:val="clear" w:color="auto"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i w:val="0"/>
          <w:caps w:val="0"/>
          <w:color w:val="333333"/>
          <w:spacing w:val="0"/>
          <w:kern w:val="0"/>
          <w:sz w:val="44"/>
          <w:szCs w:val="44"/>
          <w:shd w:val="clear" w:color="auto"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default" w:ascii="Times New Roman" w:hAnsi="Times New Roman" w:cs="Times New Roman"/>
          <w:i w:val="0"/>
          <w:caps w:val="0"/>
          <w:color w:val="333333"/>
          <w:spacing w:val="0"/>
          <w:sz w:val="32"/>
          <w:szCs w:val="32"/>
          <w:lang w:val="en-US"/>
        </w:rPr>
      </w:pPr>
      <w:r>
        <w:rPr>
          <w:rFonts w:hint="eastAsia" w:ascii="方正小标宋简体" w:hAnsi="方正小标宋简体" w:eastAsia="方正小标宋简体" w:cs="方正小标宋简体"/>
          <w:i w:val="0"/>
          <w:caps w:val="0"/>
          <w:color w:val="333333"/>
          <w:spacing w:val="0"/>
          <w:kern w:val="0"/>
          <w:sz w:val="44"/>
          <w:szCs w:val="44"/>
          <w:shd w:val="clear" w:color="auto" w:fill="FFFFFF"/>
          <w:lang w:val="en-US" w:eastAsia="zh-CN" w:bidi="ar"/>
        </w:rPr>
        <w:t>广元市昭化区柏林沟镇小学</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default" w:ascii="Times New Roman" w:hAnsi="Times New Roman" w:cs="Times New Roman"/>
          <w:i w:val="0"/>
          <w:caps w:val="0"/>
          <w:color w:val="333333"/>
          <w:spacing w:val="0"/>
          <w:sz w:val="32"/>
          <w:szCs w:val="32"/>
        </w:rPr>
      </w:pPr>
      <w:r>
        <w:rPr>
          <w:rFonts w:hint="eastAsia" w:ascii="方正小标宋简体" w:hAnsi="方正小标宋简体" w:eastAsia="方正小标宋简体" w:cs="方正小标宋简体"/>
          <w:i w:val="0"/>
          <w:caps w:val="0"/>
          <w:color w:val="333333"/>
          <w:spacing w:val="0"/>
          <w:kern w:val="0"/>
          <w:sz w:val="44"/>
          <w:szCs w:val="44"/>
          <w:shd w:val="clear" w:color="auto" w:fill="FFFFFF"/>
          <w:lang w:val="en-US" w:eastAsia="zh-CN" w:bidi="ar"/>
        </w:rPr>
        <w:t>2024年部门预算编制说明</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center"/>
        <w:rPr>
          <w:rFonts w:hint="eastAsia" w:ascii="宋体" w:hAnsi="宋体" w:eastAsia="宋体" w:cs="宋体"/>
          <w:b/>
          <w:i w:val="0"/>
          <w:caps w:val="0"/>
          <w:color w:val="333333"/>
          <w:spacing w:val="0"/>
          <w:sz w:val="32"/>
          <w:szCs w:val="32"/>
          <w:shd w:val="clear" w:color="auto" w:fill="FFFFFF"/>
        </w:rPr>
      </w:pP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center"/>
        <w:rPr>
          <w:rFonts w:hint="eastAsia" w:ascii="宋体" w:hAnsi="宋体" w:eastAsia="宋体" w:cs="宋体"/>
          <w:b/>
          <w:i w:val="0"/>
          <w:caps w:val="0"/>
          <w:color w:val="333333"/>
          <w:spacing w:val="0"/>
          <w:sz w:val="32"/>
          <w:szCs w:val="32"/>
          <w:shd w:val="clear" w:color="auto" w:fill="FFFFFF"/>
        </w:rPr>
      </w:pP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center"/>
        <w:rPr>
          <w:rFonts w:hint="eastAsia" w:ascii="宋体" w:hAnsi="宋体" w:eastAsia="宋体" w:cs="宋体"/>
          <w:b/>
          <w:i w:val="0"/>
          <w:caps w:val="0"/>
          <w:color w:val="333333"/>
          <w:spacing w:val="0"/>
          <w:sz w:val="32"/>
          <w:szCs w:val="32"/>
          <w:shd w:val="clear" w:color="auto" w:fill="FFFFFF"/>
        </w:rPr>
      </w:pP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center"/>
        <w:rPr>
          <w:rFonts w:hint="eastAsia" w:ascii="宋体" w:hAnsi="宋体" w:eastAsia="宋体" w:cs="宋体"/>
          <w:b/>
          <w:i w:val="0"/>
          <w:caps w:val="0"/>
          <w:color w:val="333333"/>
          <w:spacing w:val="0"/>
          <w:sz w:val="32"/>
          <w:szCs w:val="32"/>
          <w:shd w:val="clear" w:color="auto" w:fill="FFFFFF"/>
        </w:rPr>
      </w:pP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center"/>
        <w:rPr>
          <w:rFonts w:hint="eastAsia" w:ascii="宋体" w:hAnsi="宋体" w:eastAsia="宋体" w:cs="宋体"/>
          <w:b/>
          <w:i w:val="0"/>
          <w:caps w:val="0"/>
          <w:color w:val="333333"/>
          <w:spacing w:val="0"/>
          <w:sz w:val="32"/>
          <w:szCs w:val="32"/>
          <w:shd w:val="clear" w:color="auto" w:fill="FFFFFF"/>
        </w:rPr>
      </w:pP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center"/>
        <w:rPr>
          <w:rFonts w:hint="eastAsia" w:ascii="宋体" w:hAnsi="宋体" w:eastAsia="宋体" w:cs="宋体"/>
          <w:b/>
          <w:i w:val="0"/>
          <w:caps w:val="0"/>
          <w:color w:val="333333"/>
          <w:spacing w:val="0"/>
          <w:sz w:val="32"/>
          <w:szCs w:val="32"/>
          <w:shd w:val="clear" w:color="auto" w:fill="FFFFFF"/>
        </w:rPr>
      </w:pP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center"/>
        <w:rPr>
          <w:rFonts w:hint="eastAsia" w:ascii="宋体" w:hAnsi="宋体" w:eastAsia="宋体" w:cs="宋体"/>
          <w:b/>
          <w:i w:val="0"/>
          <w:caps w:val="0"/>
          <w:color w:val="333333"/>
          <w:spacing w:val="0"/>
          <w:sz w:val="32"/>
          <w:szCs w:val="32"/>
          <w:shd w:val="clear" w:color="auto" w:fill="FFFFFF"/>
        </w:rPr>
      </w:pP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center"/>
        <w:rPr>
          <w:rFonts w:hint="eastAsia" w:ascii="宋体" w:hAnsi="宋体" w:eastAsia="宋体" w:cs="宋体"/>
          <w:b/>
          <w:i w:val="0"/>
          <w:caps w:val="0"/>
          <w:color w:val="333333"/>
          <w:spacing w:val="0"/>
          <w:sz w:val="32"/>
          <w:szCs w:val="32"/>
          <w:shd w:val="clear" w:color="auto" w:fill="FFFFFF"/>
        </w:rPr>
      </w:pP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center"/>
        <w:rPr>
          <w:rFonts w:hint="eastAsia" w:ascii="宋体" w:hAnsi="宋体" w:eastAsia="宋体" w:cs="宋体"/>
          <w:b/>
          <w:i w:val="0"/>
          <w:caps w:val="0"/>
          <w:color w:val="333333"/>
          <w:spacing w:val="0"/>
          <w:sz w:val="32"/>
          <w:szCs w:val="32"/>
          <w:shd w:val="clear" w:color="auto" w:fill="FFFFFF"/>
        </w:rPr>
      </w:pP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center"/>
        <w:rPr>
          <w:rFonts w:hint="eastAsia" w:ascii="宋体" w:hAnsi="宋体" w:eastAsia="宋体" w:cs="宋体"/>
          <w:b/>
          <w:i w:val="0"/>
          <w:caps w:val="0"/>
          <w:color w:val="333333"/>
          <w:spacing w:val="0"/>
          <w:sz w:val="32"/>
          <w:szCs w:val="32"/>
          <w:shd w:val="clear" w:color="auto" w:fill="FFFFFF"/>
        </w:rPr>
      </w:pP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center"/>
        <w:rPr>
          <w:rFonts w:hint="eastAsia" w:ascii="宋体" w:hAnsi="宋体" w:eastAsia="宋体" w:cs="宋体"/>
          <w:b/>
          <w:i w:val="0"/>
          <w:caps w:val="0"/>
          <w:color w:val="333333"/>
          <w:spacing w:val="0"/>
          <w:sz w:val="32"/>
          <w:szCs w:val="32"/>
          <w:shd w:val="clear" w:color="auto" w:fill="FFFFFF"/>
        </w:rPr>
      </w:pPr>
      <w:r>
        <w:rPr>
          <w:rFonts w:hint="eastAsia" w:ascii="宋体" w:hAnsi="宋体" w:eastAsia="宋体" w:cs="宋体"/>
          <w:b/>
          <w:i w:val="0"/>
          <w:caps w:val="0"/>
          <w:color w:val="333333"/>
          <w:spacing w:val="0"/>
          <w:sz w:val="32"/>
          <w:szCs w:val="32"/>
          <w:shd w:val="clear" w:color="auto" w:fill="FFFFFF"/>
        </w:rPr>
        <w:t>   </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center"/>
        <w:rPr>
          <w:rFonts w:hint="eastAsia" w:ascii="宋体" w:hAnsi="宋体" w:eastAsia="宋体" w:cs="宋体"/>
          <w:b/>
          <w:i w:val="0"/>
          <w:caps w:val="0"/>
          <w:color w:val="333333"/>
          <w:spacing w:val="0"/>
          <w:sz w:val="32"/>
          <w:szCs w:val="32"/>
          <w:shd w:val="clear" w:color="auto" w:fill="FFFFFF"/>
          <w:lang w:val="en-US" w:eastAsia="zh-CN"/>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outlineLvl w:val="0"/>
        <w:rPr>
          <w:rFonts w:hint="eastAsia" w:ascii="方正小标宋简体" w:hAnsi="方正小标宋简体" w:eastAsia="方正小标宋简体" w:cs="方正小标宋简体"/>
          <w:b w:val="0"/>
          <w:bCs w:val="0"/>
          <w:i w:val="0"/>
          <w:caps w:val="0"/>
          <w:color w:val="000000" w:themeColor="text1"/>
          <w:spacing w:val="0"/>
          <w:sz w:val="44"/>
          <w:szCs w:val="44"/>
          <w:highlight w:val="none"/>
          <w:lang w:val="en-US"/>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广元市昭化区柏林沟镇小学</w:t>
      </w:r>
      <w:bookmarkEnd w:id="0"/>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2024年部门预算编制说明</w:t>
      </w:r>
    </w:p>
    <w:p>
      <w:pPr>
        <w:jc w:val="center"/>
        <w:rPr>
          <w:rFonts w:hint="eastAsia" w:ascii="黑体" w:hAnsi="黑体" w:eastAsia="黑体" w:cs="黑体"/>
          <w:b/>
          <w:bCs/>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目   录</w:t>
      </w:r>
    </w:p>
    <w:sdt>
      <w:sdtPr>
        <w:rPr>
          <w:rFonts w:ascii="宋体" w:hAnsi="宋体" w:eastAsia="宋体" w:cs="Times New Roman"/>
          <w:color w:val="auto"/>
          <w:kern w:val="2"/>
          <w:sz w:val="21"/>
          <w:szCs w:val="24"/>
          <w:lang w:val="en-US" w:eastAsia="zh-CN" w:bidi="ar-SA"/>
        </w:rPr>
        <w:id w:val="147455076"/>
        <w15:color w:val="DBDBDB"/>
        <w:docPartObj>
          <w:docPartGallery w:val="Table of Contents"/>
          <w:docPartUnique/>
        </w:docPartObj>
      </w:sdtPr>
      <w:sdtEndPr>
        <w:rPr>
          <w:rFonts w:ascii="宋体" w:hAnsi="宋体" w:eastAsia="宋体" w:cs="Times New Roman"/>
          <w:b/>
          <w:color w:val="auto"/>
          <w:kern w:val="2"/>
          <w:sz w:val="21"/>
          <w:szCs w:val="24"/>
          <w:lang w:val="en-US" w:eastAsia="zh-CN" w:bidi="ar-SA"/>
        </w:rPr>
      </w:sdtEndPr>
      <w:sdtContent>
        <w:p>
          <w:pPr>
            <w:spacing w:before="0" w:beforeLines="0" w:after="0" w:afterLines="0" w:line="240" w:lineRule="auto"/>
            <w:ind w:left="0" w:leftChars="0" w:right="0" w:rightChars="0" w:firstLine="0" w:firstLineChars="0"/>
            <w:jc w:val="center"/>
            <w:rPr>
              <w:rFonts w:hint="eastAsia" w:ascii="仿宋" w:hAnsi="仿宋" w:eastAsia="仿宋" w:cs="仿宋"/>
              <w:sz w:val="32"/>
              <w:szCs w:val="32"/>
            </w:rPr>
          </w:pPr>
        </w:p>
        <w:p>
          <w:pPr>
            <w:pStyle w:val="16"/>
            <w:tabs>
              <w:tab w:val="right" w:leader="dot" w:pos="8845"/>
            </w:tabs>
            <w:rPr>
              <w:rFonts w:hint="eastAsia" w:ascii="仿宋" w:hAnsi="仿宋" w:eastAsia="仿宋" w:cs="仿宋"/>
              <w:b/>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TOC \o "1-2" \h \u </w:instrText>
          </w:r>
          <w:r>
            <w:rPr>
              <w:rFonts w:hint="eastAsia" w:ascii="仿宋" w:hAnsi="仿宋" w:eastAsia="仿宋" w:cs="仿宋"/>
              <w:sz w:val="32"/>
              <w:szCs w:val="32"/>
            </w:rPr>
            <w:fldChar w:fldCharType="separate"/>
          </w:r>
        </w:p>
        <w:p>
          <w:pPr>
            <w:pStyle w:val="16"/>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_Toc615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一、基本职能及主要工作</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_Toc615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4</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pPr>
            <w:pStyle w:val="17"/>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_Toc2097 </w:instrText>
          </w:r>
          <w:r>
            <w:rPr>
              <w:rFonts w:hint="eastAsia" w:ascii="仿宋" w:hAnsi="仿宋" w:eastAsia="仿宋" w:cs="仿宋"/>
              <w:sz w:val="32"/>
              <w:szCs w:val="32"/>
            </w:rPr>
            <w:fldChar w:fldCharType="separate"/>
          </w:r>
          <w:r>
            <w:rPr>
              <w:rFonts w:hint="eastAsia" w:ascii="仿宋" w:hAnsi="仿宋" w:eastAsia="仿宋" w:cs="仿宋"/>
              <w:sz w:val="32"/>
              <w:szCs w:val="32"/>
            </w:rPr>
            <w:t>（一）职能简介</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_Toc2097 \h </w:instrText>
          </w:r>
          <w:r>
            <w:rPr>
              <w:rFonts w:hint="eastAsia" w:ascii="仿宋" w:hAnsi="仿宋" w:eastAsia="仿宋" w:cs="仿宋"/>
              <w:sz w:val="32"/>
              <w:szCs w:val="32"/>
            </w:rPr>
            <w:fldChar w:fldCharType="separate"/>
          </w:r>
          <w:r>
            <w:rPr>
              <w:rFonts w:hint="eastAsia" w:ascii="仿宋" w:hAnsi="仿宋" w:eastAsia="仿宋" w:cs="仿宋"/>
              <w:sz w:val="32"/>
              <w:szCs w:val="32"/>
            </w:rPr>
            <w:t>4</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7"/>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_Toc19954 </w:instrText>
          </w:r>
          <w:r>
            <w:rPr>
              <w:rFonts w:hint="eastAsia" w:ascii="仿宋" w:hAnsi="仿宋" w:eastAsia="仿宋" w:cs="仿宋"/>
              <w:sz w:val="32"/>
              <w:szCs w:val="32"/>
            </w:rPr>
            <w:fldChar w:fldCharType="separate"/>
          </w:r>
          <w:r>
            <w:rPr>
              <w:rFonts w:hint="eastAsia" w:ascii="仿宋" w:hAnsi="仿宋" w:eastAsia="仿宋" w:cs="仿宋"/>
              <w:sz w:val="32"/>
              <w:szCs w:val="32"/>
            </w:rPr>
            <w:t>（二）</w:t>
          </w:r>
          <w:r>
            <w:rPr>
              <w:rFonts w:hint="eastAsia" w:ascii="仿宋" w:hAnsi="仿宋" w:eastAsia="仿宋" w:cs="仿宋"/>
              <w:sz w:val="32"/>
              <w:szCs w:val="32"/>
              <w:lang w:val="en-US"/>
            </w:rPr>
            <w:t>2024</w:t>
          </w:r>
          <w:r>
            <w:rPr>
              <w:rFonts w:hint="eastAsia" w:ascii="仿宋" w:hAnsi="仿宋" w:eastAsia="仿宋" w:cs="仿宋"/>
              <w:sz w:val="32"/>
              <w:szCs w:val="32"/>
            </w:rPr>
            <w:t>年重点工作</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_Toc19954 \h </w:instrText>
          </w:r>
          <w:r>
            <w:rPr>
              <w:rFonts w:hint="eastAsia" w:ascii="仿宋" w:hAnsi="仿宋" w:eastAsia="仿宋" w:cs="仿宋"/>
              <w:sz w:val="32"/>
              <w:szCs w:val="32"/>
            </w:rPr>
            <w:fldChar w:fldCharType="separate"/>
          </w:r>
          <w:r>
            <w:rPr>
              <w:rFonts w:hint="eastAsia" w:ascii="仿宋" w:hAnsi="仿宋" w:eastAsia="仿宋" w:cs="仿宋"/>
              <w:sz w:val="32"/>
              <w:szCs w:val="32"/>
            </w:rPr>
            <w:t>5</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6"/>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_Toc19140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二、部门预算单位构成</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_Toc19140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5</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pPr>
            <w:pStyle w:val="16"/>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_Toc12222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三、收支预算情况说明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_Toc12222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5</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pPr>
            <w:pStyle w:val="17"/>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_Toc23923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（一）收入预算情况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_Toc23923 \h </w:instrText>
          </w:r>
          <w:r>
            <w:rPr>
              <w:rFonts w:hint="eastAsia" w:ascii="仿宋" w:hAnsi="仿宋" w:eastAsia="仿宋" w:cs="仿宋"/>
              <w:sz w:val="32"/>
              <w:szCs w:val="32"/>
            </w:rPr>
            <w:fldChar w:fldCharType="separate"/>
          </w:r>
          <w:r>
            <w:rPr>
              <w:rFonts w:hint="eastAsia" w:ascii="仿宋" w:hAnsi="仿宋" w:eastAsia="仿宋" w:cs="仿宋"/>
              <w:sz w:val="32"/>
              <w:szCs w:val="32"/>
            </w:rPr>
            <w:t>6</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7"/>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_Toc12697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（二）支出预算情况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_Toc12697 \h </w:instrText>
          </w:r>
          <w:r>
            <w:rPr>
              <w:rFonts w:hint="eastAsia" w:ascii="仿宋" w:hAnsi="仿宋" w:eastAsia="仿宋" w:cs="仿宋"/>
              <w:sz w:val="32"/>
              <w:szCs w:val="32"/>
            </w:rPr>
            <w:fldChar w:fldCharType="separate"/>
          </w:r>
          <w:r>
            <w:rPr>
              <w:rFonts w:hint="eastAsia" w:ascii="仿宋" w:hAnsi="仿宋" w:eastAsia="仿宋" w:cs="仿宋"/>
              <w:sz w:val="32"/>
              <w:szCs w:val="32"/>
            </w:rPr>
            <w:t>6</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6"/>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_Toc962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四、财政拨款收支预算情况说明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_Toc962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6</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pPr>
            <w:pStyle w:val="16"/>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_Toc11814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五、一般公共预算当年拨款情况说明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_Toc11814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6</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pPr>
            <w:pStyle w:val="17"/>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_Toc26194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（一）一般公共预算当年拨款规模变化情况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_Toc26194 \h </w:instrText>
          </w:r>
          <w:r>
            <w:rPr>
              <w:rFonts w:hint="eastAsia" w:ascii="仿宋" w:hAnsi="仿宋" w:eastAsia="仿宋" w:cs="仿宋"/>
              <w:sz w:val="32"/>
              <w:szCs w:val="32"/>
            </w:rPr>
            <w:fldChar w:fldCharType="separate"/>
          </w:r>
          <w:r>
            <w:rPr>
              <w:rFonts w:hint="eastAsia" w:ascii="仿宋" w:hAnsi="仿宋" w:eastAsia="仿宋" w:cs="仿宋"/>
              <w:sz w:val="32"/>
              <w:szCs w:val="32"/>
            </w:rPr>
            <w:t>6</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7"/>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_Toc2552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（二）一般公共预算当年拨款结构情况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_Toc2552 \h </w:instrText>
          </w:r>
          <w:r>
            <w:rPr>
              <w:rFonts w:hint="eastAsia" w:ascii="仿宋" w:hAnsi="仿宋" w:eastAsia="仿宋" w:cs="仿宋"/>
              <w:sz w:val="32"/>
              <w:szCs w:val="32"/>
            </w:rPr>
            <w:fldChar w:fldCharType="separate"/>
          </w:r>
          <w:r>
            <w:rPr>
              <w:rFonts w:hint="eastAsia" w:ascii="仿宋" w:hAnsi="仿宋" w:eastAsia="仿宋" w:cs="仿宋"/>
              <w:sz w:val="32"/>
              <w:szCs w:val="32"/>
            </w:rPr>
            <w:t>6</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7"/>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_Toc9203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（三）一般公共预算当年拨款具体使用情况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_Toc9203 \h </w:instrText>
          </w:r>
          <w:r>
            <w:rPr>
              <w:rFonts w:hint="eastAsia" w:ascii="仿宋" w:hAnsi="仿宋" w:eastAsia="仿宋" w:cs="仿宋"/>
              <w:sz w:val="32"/>
              <w:szCs w:val="32"/>
            </w:rPr>
            <w:fldChar w:fldCharType="separate"/>
          </w:r>
          <w:r>
            <w:rPr>
              <w:rFonts w:hint="eastAsia" w:ascii="仿宋" w:hAnsi="仿宋" w:eastAsia="仿宋" w:cs="仿宋"/>
              <w:sz w:val="32"/>
              <w:szCs w:val="32"/>
            </w:rPr>
            <w:t>7</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pPr>
            <w:pStyle w:val="16"/>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_Toc19179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六、一般公共预算基本支出情况说明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_Toc19179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7</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pPr>
            <w:pStyle w:val="16"/>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_Toc11321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七、“三公”经费财政拨款预算安排情况说明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_Toc11321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7</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pPr>
            <w:pStyle w:val="16"/>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_Toc4994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八、政府性基金预算支出情况说明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_Toc4994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7</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pPr>
            <w:pStyle w:val="16"/>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_Toc3143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九、国有资本经营预算支出情况说明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_Toc3143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8</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pPr>
            <w:pStyle w:val="16"/>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_Toc24555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十、其他重要事项的情况说明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_Toc24555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8</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pPr>
            <w:pStyle w:val="16"/>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_Toc17084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十一、名词解释</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_Toc17084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8</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r>
            <w:rPr>
              <w:rFonts w:hint="eastAsia" w:ascii="仿宋" w:hAnsi="仿宋" w:eastAsia="仿宋" w:cs="仿宋"/>
              <w:b/>
              <w:sz w:val="32"/>
              <w:szCs w:val="32"/>
            </w:rPr>
            <w:fldChar w:fldCharType="end"/>
          </w:r>
        </w:p>
      </w:sdtContent>
    </w:sdt>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both"/>
        <w:rPr>
          <w:rFonts w:hint="default" w:ascii="宋体" w:hAnsi="宋体" w:eastAsia="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pPr>
      <w:r>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t xml:space="preserve">   </w:t>
      </w: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 w:name="_Toc615"/>
      <w:r>
        <w:rPr>
          <w:rFonts w:hint="eastAsia" w:ascii="黑体" w:hAnsi="黑体" w:eastAsia="黑体" w:cs="黑体"/>
          <w:sz w:val="32"/>
          <w:szCs w:val="32"/>
          <w:lang w:val="en-US" w:eastAsia="zh-CN"/>
        </w:rPr>
        <w:t>一、基本职能及主要工作</w:t>
      </w:r>
      <w:bookmarkEnd w:id="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 w:name="_Toc2097"/>
      <w:r>
        <w:rPr>
          <w:rFonts w:hint="eastAsia" w:ascii="楷体_GB2312" w:hAnsi="楷体_GB2312" w:eastAsia="楷体_GB2312" w:cs="楷体_GB2312"/>
          <w:sz w:val="32"/>
          <w:szCs w:val="32"/>
        </w:rPr>
        <w:t>（一）职能简介</w:t>
      </w:r>
      <w:bookmarkEnd w:id="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1.认真贯彻党的教育方针，坚持社会主义办学方向，实行教育与生产劳动相结合，对学生进行德育、智育、体育、美育和劳动等方面的教育。</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2.用科学的发展观指导教育教学工作。加强教育科研工作，推动校本教育的健康发展。加强教学管理，不断推进新课程改革，全面提高教学质量。</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3.负责配合各级人民政府依法动员、组织适龄儿童、少年入学，严格控制学生辍学，依法保证适龄儿童、少年接受九年义务教育。</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4.继续深化人事制度改革，完善学校内部管理，做好后勤保障工作。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5.负责科学管理、合理使用学校的设施和经费，并积极筹措资金，改善办学条件。</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6.负责维护学校、师生的合法权益，有权拒绝任何组织和个人对教育教学活动进行非法干扰。</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7.负责创建绿色校园、文明校园和平安校园。</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8.负责关心教职工生活，发挥教代会职能作用。依法制定本校教师及其他职工出任办法并对教师及其他员工实施包括奖励、处分在内的具体管理活动。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9.承办上级交办的其他事项。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3" w:name="_Toc19954"/>
      <w:r>
        <w:rPr>
          <w:rFonts w:hint="eastAsia" w:ascii="楷体_GB2312" w:hAnsi="楷体_GB2312" w:eastAsia="楷体_GB2312" w:cs="楷体_GB2312"/>
          <w:sz w:val="32"/>
          <w:szCs w:val="32"/>
        </w:rPr>
        <w:t>（二）</w:t>
      </w:r>
      <w:r>
        <w:rPr>
          <w:rFonts w:hint="eastAsia" w:ascii="楷体_GB2312" w:hAnsi="楷体_GB2312" w:eastAsia="楷体_GB2312" w:cs="楷体_GB2312"/>
          <w:sz w:val="32"/>
          <w:szCs w:val="32"/>
          <w:lang w:val="en-US"/>
        </w:rPr>
        <w:t>2024</w:t>
      </w:r>
      <w:r>
        <w:rPr>
          <w:rFonts w:hint="eastAsia" w:ascii="楷体_GB2312" w:hAnsi="楷体_GB2312" w:eastAsia="楷体_GB2312" w:cs="楷体_GB2312"/>
          <w:sz w:val="32"/>
          <w:szCs w:val="32"/>
        </w:rPr>
        <w:t>年重点工作</w:t>
      </w:r>
      <w:bookmarkEnd w:id="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将继续致力于育人模式变革探索，“五育”并举，引导学生全面发展。</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继续致力于精细管理、内涵发展，把学校建成师生幸福成长的摇篮。</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继续致力于文化立魂、特色发展，培育校园精神，做靓学校名片。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继续致力于办好老百姓家门口的学校，提升办学条件，提高办学效益，做好民生服务工程，稳定生源。</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对新一年的工作，我们将全力完成上级下达的所有年度目标任务，倾力做好控辍保学及生源巩固工作，稳步推进学校工作持续健康发展。</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4" w:name="_Toc19140"/>
      <w:r>
        <w:rPr>
          <w:rFonts w:hint="eastAsia" w:ascii="黑体" w:hAnsi="黑体" w:eastAsia="黑体" w:cs="黑体"/>
          <w:sz w:val="32"/>
          <w:szCs w:val="32"/>
          <w:lang w:val="en-US" w:eastAsia="zh-CN"/>
        </w:rPr>
        <w:t>二、部门预算单位构成</w:t>
      </w:r>
      <w:bookmarkEnd w:id="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我单位为广元市昭化区教育局的下属二级预算单位，本单位无下属机构，属于公益一类事业单位。</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5" w:name="_Toc12222"/>
      <w:r>
        <w:rPr>
          <w:rFonts w:hint="eastAsia" w:ascii="黑体" w:hAnsi="黑体" w:eastAsia="黑体" w:cs="黑体"/>
          <w:sz w:val="32"/>
          <w:szCs w:val="32"/>
          <w:lang w:val="en-US" w:eastAsia="zh-CN"/>
        </w:rPr>
        <w:t>三、收支预算情况说明</w:t>
      </w:r>
      <w:bookmarkEnd w:id="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综合预算的原则，广元市昭化区柏林沟镇小学所有收入和支出均纳入部门预算管理。收入包括：一般公共预算拨款收入；支出包括：教育支出。广元市昭化区柏林沟镇小学2024年收支预算总数为571.75万元,比2023年收支预算总数增加61.65万元，主要原因是新增招聘、区内外调入人员7人；社保缴费基数上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6" w:name="_Toc23923"/>
      <w:r>
        <w:rPr>
          <w:rFonts w:hint="eastAsia" w:ascii="楷体_GB2312" w:hAnsi="楷体_GB2312" w:eastAsia="楷体_GB2312" w:cs="楷体_GB2312"/>
          <w:sz w:val="32"/>
          <w:szCs w:val="32"/>
          <w:lang w:val="en-US" w:eastAsia="zh-CN"/>
        </w:rPr>
        <w:t>（一）收入预算情况</w:t>
      </w:r>
      <w:bookmarkEnd w:id="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广元市昭化区柏林沟镇小学2024年收入预算571.75万元，其中：上年结转0万元，占0%；一般公共预算拨款收入571.75万元，占100%。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7" w:name="_Toc12697"/>
      <w:r>
        <w:rPr>
          <w:rFonts w:hint="eastAsia" w:ascii="楷体_GB2312" w:hAnsi="楷体_GB2312" w:eastAsia="楷体_GB2312" w:cs="楷体_GB2312"/>
          <w:sz w:val="32"/>
          <w:szCs w:val="32"/>
          <w:lang w:val="en-US" w:eastAsia="zh-CN"/>
        </w:rPr>
        <w:t>（二）支出预算情况</w:t>
      </w:r>
      <w:bookmarkEnd w:id="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广元市昭化区柏林沟镇小学2024年支出预算571.75万元，其中：基本支出532.23万元，占93%；项目支出39.52万元，占7%。</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8" w:name="_Toc962"/>
      <w:r>
        <w:rPr>
          <w:rFonts w:hint="eastAsia" w:ascii="黑体" w:hAnsi="黑体" w:eastAsia="黑体" w:cs="黑体"/>
          <w:sz w:val="32"/>
          <w:szCs w:val="32"/>
          <w:lang w:val="en-US" w:eastAsia="zh-CN"/>
        </w:rPr>
        <w:t>四、财政拨款收支预算情况说明</w:t>
      </w:r>
      <w:bookmarkEnd w:id="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广元市昭化区柏林沟镇小学2024年财政拨款收支预算总数571.75万元,比2023年财政拨款收支预算总数增加61.65万元，主要原因是新增招聘、区内外调入人员7人；社保基数增加；单位临聘人员用人成本上涨。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收入包括：本年一般公共预算拨款收入571.75万元；支出包括：教育支出571.75万元。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9" w:name="_Toc11814"/>
      <w:r>
        <w:rPr>
          <w:rFonts w:hint="eastAsia" w:ascii="黑体" w:hAnsi="黑体" w:eastAsia="黑体" w:cs="黑体"/>
          <w:sz w:val="32"/>
          <w:szCs w:val="32"/>
          <w:lang w:val="en-US" w:eastAsia="zh-CN"/>
        </w:rPr>
        <w:t>五、一般公共预算当年拨款情况说明</w:t>
      </w:r>
      <w:bookmarkEnd w:id="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0" w:name="_Toc26194"/>
      <w:r>
        <w:rPr>
          <w:rFonts w:hint="eastAsia" w:ascii="楷体_GB2312" w:hAnsi="楷体_GB2312" w:eastAsia="楷体_GB2312" w:cs="楷体_GB2312"/>
          <w:sz w:val="32"/>
          <w:szCs w:val="32"/>
          <w:lang w:val="en-US" w:eastAsia="zh-CN"/>
        </w:rPr>
        <w:t>（一）一般公共预算当年拨款规模变化情况</w:t>
      </w:r>
      <w:bookmarkEnd w:id="1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广元市昭化区柏林沟镇小学2024年一般公共预算当年拨款571.75万元，比2023年收支预算总数增加61.65万元，主要原因是新增招聘、区内外调入人员7人。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1" w:name="_Toc2552"/>
      <w:r>
        <w:rPr>
          <w:rFonts w:hint="eastAsia" w:ascii="楷体_GB2312" w:hAnsi="楷体_GB2312" w:eastAsia="楷体_GB2312" w:cs="楷体_GB2312"/>
          <w:sz w:val="32"/>
          <w:szCs w:val="32"/>
          <w:lang w:val="en-US" w:eastAsia="zh-CN"/>
        </w:rPr>
        <w:t>（二）一般公共预算当年拨款结构情况</w:t>
      </w:r>
      <w:bookmarkEnd w:id="1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教育支出571.75万元，占100%。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2" w:name="_Toc9203"/>
      <w:r>
        <w:rPr>
          <w:rFonts w:hint="eastAsia" w:ascii="楷体_GB2312" w:hAnsi="楷体_GB2312" w:eastAsia="楷体_GB2312" w:cs="楷体_GB2312"/>
          <w:sz w:val="32"/>
          <w:szCs w:val="32"/>
          <w:lang w:val="en-US" w:eastAsia="zh-CN"/>
        </w:rPr>
        <w:t>（三）一般公共预算当年拨款具体使用情况</w:t>
      </w:r>
      <w:bookmarkEnd w:id="1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bCs/>
          <w:sz w:val="32"/>
          <w:szCs w:val="32"/>
          <w:lang w:val="en-US" w:eastAsia="zh-CN"/>
        </w:rPr>
      </w:pPr>
      <w:r>
        <w:rPr>
          <w:rFonts w:hint="eastAsia" w:ascii="Times New Roman" w:hAnsi="Times New Roman" w:eastAsia="仿宋_GB2312"/>
          <w:sz w:val="32"/>
          <w:szCs w:val="32"/>
        </w:rPr>
        <w:t>教育支出</w:t>
      </w:r>
      <w:r>
        <w:rPr>
          <w:rFonts w:ascii="Times New Roman" w:hAnsi="Times New Roman" w:eastAsia="仿宋_GB2312"/>
          <w:sz w:val="32"/>
          <w:szCs w:val="32"/>
        </w:rPr>
        <w:t>（类）</w:t>
      </w:r>
      <w:r>
        <w:rPr>
          <w:rFonts w:hint="eastAsia" w:ascii="Times New Roman" w:hAnsi="Times New Roman" w:eastAsia="仿宋_GB2312"/>
          <w:sz w:val="32"/>
          <w:szCs w:val="32"/>
        </w:rPr>
        <w:t>普通教育</w:t>
      </w:r>
      <w:r>
        <w:rPr>
          <w:rFonts w:ascii="Times New Roman" w:hAnsi="Times New Roman" w:eastAsia="仿宋_GB2312"/>
          <w:sz w:val="32"/>
          <w:szCs w:val="32"/>
        </w:rPr>
        <w:t>（款）</w:t>
      </w:r>
      <w:r>
        <w:rPr>
          <w:rFonts w:hint="eastAsia" w:ascii="Times New Roman" w:hAnsi="Times New Roman" w:eastAsia="仿宋_GB2312"/>
          <w:sz w:val="32"/>
          <w:szCs w:val="32"/>
        </w:rPr>
        <w:t>小学教育</w:t>
      </w:r>
      <w:r>
        <w:rPr>
          <w:rFonts w:ascii="Times New Roman" w:hAnsi="Times New Roman" w:eastAsia="仿宋_GB2312"/>
          <w:sz w:val="32"/>
          <w:szCs w:val="32"/>
        </w:rPr>
        <w:t>（项</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）2024年预算数为</w:t>
      </w:r>
      <w:r>
        <w:rPr>
          <w:rFonts w:hint="eastAsia" w:ascii="仿宋_GB2312" w:hAnsi="仿宋_GB2312" w:eastAsia="仿宋_GB2312" w:cs="仿宋_GB2312"/>
          <w:sz w:val="32"/>
          <w:szCs w:val="32"/>
          <w:lang w:val="en-US" w:eastAsia="zh-CN"/>
        </w:rPr>
        <w:t>571.75</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万元，主要用于：</w:t>
      </w:r>
      <w:r>
        <w:rPr>
          <w:rFonts w:hint="eastAsia" w:ascii="Times New Roman" w:hAnsi="Times New Roman" w:eastAsia="仿宋_GB2312"/>
          <w:sz w:val="32"/>
          <w:szCs w:val="32"/>
        </w:rPr>
        <w:t>全区小学教育发展的基本支出，</w:t>
      </w:r>
      <w:r>
        <w:rPr>
          <w:rFonts w:ascii="Times New Roman" w:hAnsi="Times New Roman" w:eastAsia="仿宋_GB2312"/>
          <w:sz w:val="32"/>
          <w:szCs w:val="32"/>
        </w:rPr>
        <w:t>包括基本工资、津贴补贴等人员经费以及办公费、印刷费、水电</w:t>
      </w:r>
      <w:r>
        <w:rPr>
          <w:rFonts w:hint="eastAsia" w:ascii="Times New Roman" w:hAnsi="Times New Roman" w:eastAsia="仿宋_GB2312"/>
          <w:sz w:val="32"/>
          <w:szCs w:val="32"/>
          <w:lang w:val="en-US" w:eastAsia="zh-CN"/>
        </w:rPr>
        <w:t>费等日常公用经费。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3" w:name="_Toc19179"/>
      <w:r>
        <w:rPr>
          <w:rFonts w:hint="eastAsia" w:ascii="黑体" w:hAnsi="黑体" w:eastAsia="黑体" w:cs="黑体"/>
          <w:sz w:val="32"/>
          <w:szCs w:val="32"/>
          <w:lang w:val="en-US" w:eastAsia="zh-CN"/>
        </w:rPr>
        <w:t>六、一般公共预算基本支出情况说明</w:t>
      </w:r>
      <w:bookmarkEnd w:id="13"/>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left="0" w:leftChars="0" w:right="0" w:firstLine="640" w:firstLineChars="200"/>
        <w:jc w:val="both"/>
        <w:textAlignment w:val="auto"/>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sz w:val="32"/>
          <w:szCs w:val="32"/>
          <w:lang w:val="en-US" w:eastAsia="zh-CN"/>
        </w:rPr>
        <w:t>柏林沟镇小学</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2024年一般公共预算基本支出532.23万元，其中：人员经费532.23万元，主要包括：基本工资、津贴补贴、奖金、社会保险缴费、住房公积金、对个人和家庭的补助等支出。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4" w:name="_Toc11321"/>
      <w:r>
        <w:rPr>
          <w:rFonts w:hint="eastAsia" w:ascii="黑体" w:hAnsi="黑体" w:eastAsia="黑体" w:cs="黑体"/>
          <w:sz w:val="32"/>
          <w:szCs w:val="32"/>
          <w:lang w:val="en-US" w:eastAsia="zh-CN"/>
        </w:rPr>
        <w:t>七、“三公”经费财政拨款预算安排情况说明</w:t>
      </w:r>
      <w:bookmarkEnd w:id="14"/>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left="0" w:leftChars="0" w:right="0" w:firstLine="640" w:firstLineChars="200"/>
        <w:jc w:val="both"/>
        <w:textAlignment w:val="auto"/>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柏林沟镇小学2024年无“三公”经费预算。</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5" w:name="_Toc9947"/>
      <w:r>
        <w:rPr>
          <w:rFonts w:hint="eastAsia" w:ascii="楷体_GB2312" w:hAnsi="楷体_GB2312" w:eastAsia="楷体_GB2312" w:cs="楷体_GB2312"/>
          <w:sz w:val="32"/>
          <w:szCs w:val="32"/>
          <w:lang w:val="en-US" w:eastAsia="zh-CN"/>
        </w:rPr>
        <w:t>（一）公务接待费</w:t>
      </w:r>
      <w:bookmarkEnd w:id="15"/>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left="0" w:leftChars="0" w:right="0" w:firstLine="640" w:firstLineChars="200"/>
        <w:jc w:val="both"/>
        <w:textAlignment w:val="auto"/>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公务接待费与2023年预算相比持平。</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6" w:name="_Toc14272"/>
      <w:r>
        <w:rPr>
          <w:rFonts w:hint="eastAsia" w:ascii="楷体_GB2312" w:hAnsi="楷体_GB2312" w:eastAsia="楷体_GB2312" w:cs="楷体_GB2312"/>
          <w:sz w:val="32"/>
          <w:szCs w:val="32"/>
          <w:lang w:val="en-US" w:eastAsia="zh-CN"/>
        </w:rPr>
        <w:t>公务用车购置及运行维护费</w:t>
      </w:r>
      <w:bookmarkEnd w:id="16"/>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left="0" w:leftChars="0" w:right="0" w:firstLine="640" w:firstLineChars="200"/>
        <w:jc w:val="both"/>
        <w:textAlignment w:val="auto"/>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单位现有公务用车</w:t>
      </w:r>
      <w:r>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t>0</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辆。</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left="0" w:leftChars="0" w:right="0" w:firstLine="640" w:firstLineChars="200"/>
        <w:jc w:val="both"/>
        <w:textAlignment w:val="auto"/>
        <w:rPr>
          <w:rFonts w:hint="default"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2024年安排公务用车运行维护费</w:t>
      </w:r>
      <w:r>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t>0</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万元，较2023年预算相比</w:t>
      </w:r>
      <w:r>
        <w:rPr>
          <w:rFonts w:hint="eastAsia" w:ascii="仿宋_GB2312" w:eastAsia="仿宋_GB2312"/>
          <w:sz w:val="32"/>
          <w:szCs w:val="32"/>
          <w:lang w:val="en-US" w:eastAsia="zh-CN"/>
        </w:rPr>
        <w:t>持平，</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学校2024年未安排公务用车车购置费和运行维护费。</w:t>
      </w:r>
    </w:p>
    <w:p>
      <w:pPr>
        <w:keepNext w:val="0"/>
        <w:keepLines w:val="0"/>
        <w:pageBreakBefore w:val="0"/>
        <w:widowControl w:val="0"/>
        <w:kinsoku/>
        <w:wordWrap/>
        <w:overflowPunct/>
        <w:topLinePunct w:val="0"/>
        <w:autoSpaceDE/>
        <w:autoSpaceDN/>
        <w:bidi w:val="0"/>
        <w:adjustRightInd/>
        <w:snapToGrid/>
        <w:spacing w:line="576" w:lineRule="exact"/>
        <w:textAlignment w:val="auto"/>
        <w:outlineLvl w:val="1"/>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17" w:name="_Toc11617"/>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17"/>
    </w:p>
    <w:p>
      <w:pPr>
        <w:pStyle w:val="10"/>
        <w:numPr>
          <w:ilvl w:val="0"/>
          <w:numId w:val="0"/>
        </w:numPr>
        <w:ind w:firstLine="640" w:firstLineChars="200"/>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sz w:val="32"/>
          <w:szCs w:val="32"/>
          <w:lang w:val="en-US" w:eastAsia="zh-CN"/>
        </w:rPr>
        <w:t>柏林沟镇小学</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2024年未安排因公出境费用。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8" w:name="_Toc4994"/>
      <w:r>
        <w:rPr>
          <w:rFonts w:hint="eastAsia" w:ascii="黑体" w:hAnsi="黑体" w:eastAsia="黑体" w:cs="黑体"/>
          <w:sz w:val="32"/>
          <w:szCs w:val="32"/>
          <w:lang w:val="en-US" w:eastAsia="zh-CN"/>
        </w:rPr>
        <w:t>八、政府性基金预算支出情况说明</w:t>
      </w:r>
      <w:bookmarkEnd w:id="18"/>
    </w:p>
    <w:p>
      <w:pPr>
        <w:pStyle w:val="10"/>
        <w:numPr>
          <w:ilvl w:val="0"/>
          <w:numId w:val="0"/>
        </w:numPr>
        <w:ind w:firstLine="640" w:firstLineChars="200"/>
        <w:rPr>
          <w:rFonts w:hint="default"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sz w:val="32"/>
          <w:szCs w:val="32"/>
          <w:lang w:val="en-US" w:eastAsia="zh-CN"/>
        </w:rPr>
        <w:t>柏林沟镇小学</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2024年无使用政府性基金预算拨款安排的支出。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9" w:name="_Toc3143"/>
      <w:r>
        <w:rPr>
          <w:rFonts w:hint="eastAsia" w:ascii="黑体" w:hAnsi="黑体" w:eastAsia="黑体" w:cs="黑体"/>
          <w:sz w:val="32"/>
          <w:szCs w:val="32"/>
          <w:lang w:val="en-US" w:eastAsia="zh-CN"/>
        </w:rPr>
        <w:t>九、国有资本经营预算支出情况说明</w:t>
      </w:r>
      <w:bookmarkEnd w:id="19"/>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68"/>
        <w:jc w:val="both"/>
        <w:rPr>
          <w:rFonts w:hint="default" w:ascii="Times New Roman" w:hAnsi="Times New Roman" w:cs="Times New Roman"/>
          <w:i w:val="0"/>
          <w:caps w:val="0"/>
          <w:color w:val="333333"/>
          <w:spacing w:val="0"/>
          <w:sz w:val="32"/>
          <w:szCs w:val="32"/>
        </w:rPr>
      </w:pPr>
      <w:r>
        <w:rPr>
          <w:rFonts w:hint="eastAsia" w:ascii="仿宋_GB2312" w:hAnsi="仿宋_GB2312" w:eastAsia="仿宋_GB2312" w:cs="仿宋_GB2312"/>
          <w:sz w:val="32"/>
          <w:szCs w:val="32"/>
          <w:lang w:val="en-US" w:eastAsia="zh-CN"/>
        </w:rPr>
        <w:t>柏林沟镇小学</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2024年无使用国有资本经营预算拨款安排的支出。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0" w:name="_Toc24555"/>
      <w:r>
        <w:rPr>
          <w:rFonts w:hint="eastAsia" w:ascii="黑体" w:hAnsi="黑体" w:eastAsia="黑体" w:cs="黑体"/>
          <w:sz w:val="32"/>
          <w:szCs w:val="32"/>
          <w:lang w:val="en-US" w:eastAsia="zh-CN"/>
        </w:rPr>
        <w:t>十、其他重要事项的情况说明</w:t>
      </w:r>
      <w:bookmarkEnd w:id="2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1" w:name="_Toc11475"/>
      <w:r>
        <w:rPr>
          <w:rFonts w:hint="eastAsia" w:ascii="楷体_GB2312" w:hAnsi="楷体_GB2312" w:eastAsia="楷体_GB2312" w:cs="楷体_GB2312"/>
          <w:sz w:val="32"/>
          <w:szCs w:val="32"/>
          <w:lang w:val="en-US" w:eastAsia="zh-CN"/>
        </w:rPr>
        <w:t>（一）机关运行经费</w:t>
      </w:r>
      <w:bookmarkEnd w:id="21"/>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68"/>
        <w:jc w:val="both"/>
        <w:rPr>
          <w:rFonts w:hint="default"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2024年，我单位无机关运行经费。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2" w:name="_Toc10646"/>
      <w:r>
        <w:rPr>
          <w:rFonts w:hint="eastAsia" w:ascii="楷体_GB2312" w:hAnsi="楷体_GB2312" w:eastAsia="楷体_GB2312" w:cs="楷体_GB2312"/>
          <w:sz w:val="32"/>
          <w:szCs w:val="32"/>
          <w:lang w:val="en-US" w:eastAsia="zh-CN"/>
        </w:rPr>
        <w:t>（二）政府采购情况</w:t>
      </w:r>
      <w:bookmarkEnd w:id="22"/>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68"/>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2024年，我单位未安排政府采购预算。</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3" w:name="_Toc6158"/>
      <w:r>
        <w:rPr>
          <w:rFonts w:hint="eastAsia" w:ascii="楷体_GB2312" w:hAnsi="楷体_GB2312" w:eastAsia="楷体_GB2312" w:cs="楷体_GB2312"/>
          <w:sz w:val="32"/>
          <w:szCs w:val="32"/>
          <w:lang w:val="en-US" w:eastAsia="zh-CN"/>
        </w:rPr>
        <w:t>（三）国有资产占有使用情况</w:t>
      </w:r>
      <w:bookmarkEnd w:id="23"/>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68"/>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截至2023年底，我单位共有车辆0辆，2024年单位预算未安排购置车辆及无价值200万元以上大型设备。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4" w:name="_Toc12496"/>
      <w:r>
        <w:rPr>
          <w:rFonts w:hint="eastAsia" w:ascii="楷体_GB2312" w:hAnsi="楷体_GB2312" w:eastAsia="楷体_GB2312" w:cs="楷体_GB2312"/>
          <w:sz w:val="32"/>
          <w:szCs w:val="32"/>
          <w:lang w:val="en-US" w:eastAsia="zh-CN"/>
        </w:rPr>
        <w:t>（四）绩效目标设置情况</w:t>
      </w:r>
      <w:bookmarkEnd w:id="2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2024年柏林沟镇小学开展绩效目标管理的项目4个，涉及预算</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39.52</w:t>
      </w:r>
      <w:r>
        <w:rPr>
          <w:rFonts w:hint="eastAsia" w:ascii="仿宋_GB2312" w:hAnsi="仿宋_GB2312" w:eastAsia="仿宋_GB2312" w:cs="仿宋_GB2312"/>
          <w:sz w:val="32"/>
          <w:szCs w:val="32"/>
          <w:lang w:val="en-US" w:eastAsia="zh-CN"/>
        </w:rPr>
        <w:t>万元。其中：人员类项目0个，涉及预算 0万元；运转类项目4个，涉及预算</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39.52</w:t>
      </w:r>
      <w:r>
        <w:rPr>
          <w:rFonts w:hint="eastAsia" w:ascii="仿宋_GB2312" w:hAnsi="仿宋_GB2312" w:eastAsia="仿宋_GB2312" w:cs="仿宋_GB2312"/>
          <w:sz w:val="32"/>
          <w:szCs w:val="32"/>
          <w:lang w:val="en-US" w:eastAsia="zh-CN"/>
        </w:rPr>
        <w:t>万元；特定目标类项目0个，涉及预算0万元。因部分项目内容涉密，不予公开。</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5" w:name="_Toc17084"/>
      <w:r>
        <w:rPr>
          <w:rFonts w:hint="eastAsia" w:ascii="黑体" w:hAnsi="黑体" w:eastAsia="黑体" w:cs="黑体"/>
          <w:sz w:val="32"/>
          <w:szCs w:val="32"/>
          <w:lang w:val="en-US" w:eastAsia="zh-CN"/>
        </w:rPr>
        <w:t>十一、名词解释</w:t>
      </w:r>
      <w:bookmarkEnd w:id="2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楷体_GB2312" w:hAnsi="楷体_GB2312" w:eastAsia="楷体_GB2312" w:cs="楷体_GB2312"/>
          <w:sz w:val="32"/>
          <w:szCs w:val="32"/>
          <w:lang w:val="en-US" w:eastAsia="zh-CN"/>
        </w:rPr>
        <w:t>（一）财政拨款收入:</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指</w:t>
      </w:r>
      <w:bookmarkStart w:id="26" w:name="_GoBack"/>
      <w:bookmarkEnd w:id="26"/>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财政当年安排的财政预算收入。按现行管理制度,部门预算中反映的财政拨款包括一般公共预算拨款和政府性基金预算拨款。</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楷体_GB2312" w:hAnsi="楷体_GB2312" w:eastAsia="楷体_GB2312" w:cs="楷体_GB2312"/>
          <w:sz w:val="32"/>
          <w:szCs w:val="32"/>
          <w:lang w:val="en-US" w:eastAsia="zh-CN"/>
        </w:rPr>
        <w:t>（二）事业收入：</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指事业单位开展专业业务活动及辅助活动所取得的收入。主要为学校根据国家有关部门批准的项目和标准收取的学费、住宿费等。</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楷体_GB2312" w:hAnsi="楷体_GB2312" w:eastAsia="楷体_GB2312" w:cs="楷体_GB2312"/>
          <w:sz w:val="32"/>
          <w:szCs w:val="32"/>
          <w:lang w:val="en-US" w:eastAsia="zh-CN"/>
        </w:rPr>
        <w:t>（三）其他收入：</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指除上述“一般公共预算拨款收入” “事业收入”等以外的收入。如银行存款利息收入、社会考试服务收入、课时收入等。</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楷体_GB2312" w:hAnsi="楷体_GB2312" w:eastAsia="楷体_GB2312" w:cs="楷体_GB2312"/>
          <w:sz w:val="32"/>
          <w:szCs w:val="32"/>
          <w:lang w:val="en-US" w:eastAsia="zh-CN"/>
        </w:rPr>
        <w:t>（四）上年结转：</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指以前年度尚未完成，结转到本年仍按原规定用途继续使用的资金。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楷体_GB2312" w:hAnsi="楷体_GB2312" w:eastAsia="楷体_GB2312" w:cs="楷体_GB2312"/>
          <w:sz w:val="32"/>
          <w:szCs w:val="32"/>
          <w:lang w:val="en-US" w:eastAsia="zh-CN"/>
        </w:rPr>
        <w:t>（五）教育支出（类）普通教育（款）小学教育（项）：</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指全区小学教育发展的基本支出，包括基本工资、津贴补贴等人员经费以及办公费、印刷费、水电费等日常公用经费。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楷体_GB2312" w:hAnsi="楷体_GB2312" w:eastAsia="楷体_GB2312" w:cs="楷体_GB2312"/>
          <w:sz w:val="32"/>
          <w:szCs w:val="32"/>
          <w:lang w:val="en-US" w:eastAsia="zh-CN"/>
        </w:rPr>
        <w:t>（六）教育支出（类）普通教育（款）中等职业教育（项）：</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指全区中等职业教育发展的基本支出，包括基本工资、津贴补贴等人员经费以及办公费、印刷费、水电费等日常公用经费。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楷体_GB2312" w:hAnsi="楷体_GB2312" w:eastAsia="楷体_GB2312" w:cs="楷体_GB2312"/>
          <w:sz w:val="32"/>
          <w:szCs w:val="32"/>
          <w:lang w:val="en-US" w:eastAsia="zh-CN"/>
        </w:rPr>
        <w:t>（七）社会保障和就业（类）行政事业单位养老支出（款）事业单位离退休（项）：</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指事业单位离退休人员的支出。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楷体_GB2312" w:hAnsi="楷体_GB2312" w:eastAsia="楷体_GB2312" w:cs="楷体_GB2312"/>
          <w:sz w:val="32"/>
          <w:szCs w:val="32"/>
          <w:lang w:val="en-US" w:eastAsia="zh-CN"/>
        </w:rPr>
        <w:t>（八）住房保障（类）住房改革支出（款）住房公积金（项）：</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指按照《住房公积金管理条例》的规定，由单位及其在职职工缴存的长期住房储金。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楷体_GB2312" w:hAnsi="楷体_GB2312" w:eastAsia="楷体_GB2312" w:cs="楷体_GB2312"/>
          <w:sz w:val="32"/>
          <w:szCs w:val="32"/>
          <w:lang w:val="en-US" w:eastAsia="zh-CN"/>
        </w:rPr>
        <w:t>（九）基本支出：</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指为保证机构正常运转，完成日常工作任务而发生的人员支出和公用支出。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楷体_GB2312" w:hAnsi="楷体_GB2312" w:eastAsia="楷体_GB2312" w:cs="楷体_GB2312"/>
          <w:sz w:val="32"/>
          <w:szCs w:val="32"/>
          <w:lang w:val="en-US" w:eastAsia="zh-CN"/>
        </w:rPr>
        <w:t>（十）项目支出：</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楷体_GB2312" w:hAnsi="楷体_GB2312" w:eastAsia="楷体_GB2312" w:cs="楷体_GB2312"/>
          <w:sz w:val="32"/>
          <w:szCs w:val="32"/>
          <w:lang w:val="en-US" w:eastAsia="zh-CN"/>
        </w:rPr>
        <w:t>（十一）机关运行经费：</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为保障行政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附件：1.部门预算公开表</w:t>
      </w:r>
    </w:p>
    <w:p>
      <w:pPr>
        <w:keepNext w:val="0"/>
        <w:keepLines w:val="0"/>
        <w:pageBreakBefore w:val="0"/>
        <w:widowControl w:val="0"/>
        <w:kinsoku/>
        <w:wordWrap/>
        <w:overflowPunct/>
        <w:topLinePunct w:val="0"/>
        <w:autoSpaceDE/>
        <w:autoSpaceDN/>
        <w:bidi w:val="0"/>
        <w:adjustRightInd/>
        <w:snapToGrid/>
        <w:spacing w:line="576" w:lineRule="exact"/>
        <w:ind w:firstLine="1600" w:firstLineChars="5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2.项目支出绩效目标表</w:t>
      </w: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iberation Sans">
    <w:altName w:val="Segoe Print"/>
    <w:panose1 w:val="020B0604020202020204"/>
    <w:charset w:val="00"/>
    <w:family w:val="swiss"/>
    <w:pitch w:val="default"/>
    <w:sig w:usb0="00000000" w:usb1="00000000" w:usb2="00000000" w:usb3="00000000" w:csb0="6000009F" w:csb1="DFD7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2000000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6"/>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FCE1D6"/>
    <w:multiLevelType w:val="singleLevel"/>
    <w:tmpl w:val="5BFCE1D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lhNTlmMWMwY2NkZGNhOTM0ZTIzOTMwM2UwMjVlYzgifQ=="/>
  </w:docVars>
  <w:rsids>
    <w:rsidRoot w:val="00000000"/>
    <w:rsid w:val="012352D1"/>
    <w:rsid w:val="09F502F8"/>
    <w:rsid w:val="0A8F7C28"/>
    <w:rsid w:val="1F7BF06F"/>
    <w:rsid w:val="1FEE4B73"/>
    <w:rsid w:val="23CE9849"/>
    <w:rsid w:val="35302FA0"/>
    <w:rsid w:val="39F304DD"/>
    <w:rsid w:val="46374894"/>
    <w:rsid w:val="4B951EA9"/>
    <w:rsid w:val="4CF21920"/>
    <w:rsid w:val="54244390"/>
    <w:rsid w:val="54662A63"/>
    <w:rsid w:val="58064E12"/>
    <w:rsid w:val="5BB64CDC"/>
    <w:rsid w:val="5BFEE015"/>
    <w:rsid w:val="63EDCF55"/>
    <w:rsid w:val="63FBFBCF"/>
    <w:rsid w:val="669360FD"/>
    <w:rsid w:val="68FF6A83"/>
    <w:rsid w:val="6FBBC9CF"/>
    <w:rsid w:val="72BDE561"/>
    <w:rsid w:val="78462278"/>
    <w:rsid w:val="7997EA6C"/>
    <w:rsid w:val="7AEAE675"/>
    <w:rsid w:val="7BAFCE5D"/>
    <w:rsid w:val="7C523723"/>
    <w:rsid w:val="7D46598C"/>
    <w:rsid w:val="7DFB240B"/>
    <w:rsid w:val="7E0935ED"/>
    <w:rsid w:val="7FCF2AF7"/>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12">
    <w:name w:val="Default Paragraph Font"/>
    <w:autoRedefine/>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2">
    <w:name w:val="caption"/>
    <w:basedOn w:val="1"/>
    <w:autoRedefine/>
    <w:qFormat/>
    <w:uiPriority w:val="0"/>
    <w:pPr>
      <w:widowControl w:val="0"/>
      <w:suppressLineNumbers/>
      <w:suppressAutoHyphens/>
      <w:spacing w:before="120" w:after="120"/>
    </w:pPr>
    <w:rPr>
      <w:i/>
      <w:iCs/>
      <w:sz w:val="24"/>
      <w:szCs w:val="24"/>
    </w:rPr>
  </w:style>
  <w:style w:type="paragraph" w:styleId="3">
    <w:name w:val="Body Text"/>
    <w:basedOn w:val="1"/>
    <w:next w:val="1"/>
    <w:autoRedefine/>
    <w:qFormat/>
    <w:uiPriority w:val="0"/>
    <w:pPr>
      <w:spacing w:before="0" w:after="140" w:line="276" w:lineRule="auto"/>
    </w:pPr>
  </w:style>
  <w:style w:type="paragraph" w:styleId="4">
    <w:name w:val="Body Text Indent"/>
    <w:basedOn w:val="1"/>
    <w:next w:val="5"/>
    <w:qFormat/>
    <w:uiPriority w:val="99"/>
    <w:pPr>
      <w:spacing w:after="120"/>
      <w:ind w:left="420" w:leftChars="200"/>
    </w:pPr>
  </w:style>
  <w:style w:type="paragraph" w:styleId="5">
    <w:name w:val="Body Text Indent 2"/>
    <w:basedOn w:val="1"/>
    <w:autoRedefine/>
    <w:qFormat/>
    <w:uiPriority w:val="0"/>
    <w:pPr>
      <w:ind w:firstLine="420" w:firstLineChars="200"/>
    </w:pPr>
  </w:style>
  <w:style w:type="paragraph" w:styleId="6">
    <w:name w:val="footer"/>
    <w:basedOn w:val="1"/>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List"/>
    <w:basedOn w:val="3"/>
    <w:autoRedefine/>
    <w:qFormat/>
    <w:uiPriority w:val="0"/>
  </w:style>
  <w:style w:type="paragraph" w:styleId="9">
    <w:name w:val="Normal (Web)"/>
    <w:basedOn w:val="1"/>
    <w:autoRedefine/>
    <w:qFormat/>
    <w:uiPriority w:val="0"/>
    <w:rPr>
      <w:sz w:val="24"/>
    </w:rPr>
  </w:style>
  <w:style w:type="paragraph" w:styleId="10">
    <w:name w:val="Body Text First Indent 2"/>
    <w:basedOn w:val="4"/>
    <w:next w:val="1"/>
    <w:autoRedefine/>
    <w:qFormat/>
    <w:uiPriority w:val="99"/>
    <w:pPr>
      <w:spacing w:after="0"/>
      <w:ind w:firstLine="420" w:firstLineChars="200"/>
    </w:pPr>
  </w:style>
  <w:style w:type="character" w:customStyle="1" w:styleId="13">
    <w:name w:val="默认段落字体1"/>
    <w:autoRedefine/>
    <w:qFormat/>
    <w:uiPriority w:val="0"/>
  </w:style>
  <w:style w:type="paragraph" w:customStyle="1" w:styleId="14">
    <w:name w:val="Heading"/>
    <w:basedOn w:val="1"/>
    <w:next w:val="3"/>
    <w:autoRedefine/>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5">
    <w:name w:val="Index"/>
    <w:basedOn w:val="1"/>
    <w:autoRedefine/>
    <w:qFormat/>
    <w:uiPriority w:val="0"/>
    <w:pPr>
      <w:widowControl w:val="0"/>
      <w:suppressLineNumbers/>
      <w:suppressAutoHyphens/>
    </w:pPr>
  </w:style>
  <w:style w:type="paragraph" w:customStyle="1" w:styleId="16">
    <w:name w:val="WPSOffice手动目录 1"/>
    <w:autoRedefine/>
    <w:qFormat/>
    <w:uiPriority w:val="0"/>
    <w:pPr>
      <w:ind w:leftChars="0"/>
    </w:pPr>
    <w:rPr>
      <w:rFonts w:ascii="Times New Roman" w:hAnsi="Times New Roman" w:eastAsia="宋体" w:cs="Times New Roman"/>
      <w:sz w:val="20"/>
      <w:szCs w:val="20"/>
    </w:rPr>
  </w:style>
  <w:style w:type="paragraph" w:customStyle="1" w:styleId="17">
    <w:name w:val="WPSOffice手动目录 2"/>
    <w:autoRedefine/>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Office_12.1.0.16388_F1E327BC-269C-435d-A152-05C5408002CA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king</cp:lastModifiedBy>
  <dcterms:modified xsi:type="dcterms:W3CDTF">2024-04-08T07:19:54Z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96081F72B7444D3C8C1C7DDAED24732C_13</vt:lpwstr>
  </property>
</Properties>
</file>