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t xml:space="preserve"> </w:t>
      </w: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广元市昭化区卫子镇梅树小学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jc w:val="center"/>
        <w:rPr>
          <w:rFonts w:hint="eastAsia" w:ascii="仿宋" w:hAnsi="仿宋" w:eastAsia="仿宋" w:cs="仿宋"/>
          <w:b/>
          <w:bCs/>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仿宋" w:hAnsi="仿宋" w:eastAsia="仿宋" w:cs="仿宋"/>
          <w:b/>
          <w:bCs/>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7086"/>
        <w15:color w:val="DBDBDB"/>
        <w:docPartObj>
          <w:docPartGallery w:val="Table of Contents"/>
          <w:docPartUnique/>
        </w:docPartObj>
      </w:sdtPr>
      <w:sdtEndPr>
        <w:rPr>
          <w:rFonts w:hint="eastAsia" w:ascii="仿宋" w:hAnsi="仿宋" w:eastAsia="仿宋" w:cs="仿宋"/>
          <w:b/>
          <w:color w:val="auto"/>
          <w:kern w:val="2"/>
          <w:sz w:val="30"/>
          <w:szCs w:val="30"/>
          <w:lang w:val="en-US" w:eastAsia="zh-CN" w:bidi="ar-SA"/>
        </w:rPr>
      </w:sdtEndPr>
      <w:sdtContent>
        <w:p>
          <w:pPr>
            <w:spacing w:before="0" w:beforeLines="0" w:after="0" w:afterLines="0" w:line="240" w:lineRule="auto"/>
            <w:ind w:left="0" w:leftChars="0" w:right="0" w:rightChars="0" w:firstLine="0" w:firstLineChars="0"/>
            <w:jc w:val="center"/>
          </w:pPr>
        </w:p>
        <w:p>
          <w:pPr>
            <w:pStyle w:val="16"/>
            <w:tabs>
              <w:tab w:val="right" w:leader="dot" w:pos="8845"/>
            </w:tabs>
            <w:rPr>
              <w:rFonts w:hint="eastAsia" w:ascii="仿宋" w:hAnsi="仿宋" w:eastAsia="仿宋" w:cs="仿宋"/>
              <w:b/>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TOC \o "1-2" \h \u </w:instrText>
          </w:r>
          <w:r>
            <w:rPr>
              <w:rFonts w:hint="eastAsia" w:ascii="仿宋" w:hAnsi="仿宋" w:eastAsia="仿宋" w:cs="仿宋"/>
              <w:sz w:val="30"/>
              <w:szCs w:val="30"/>
            </w:rPr>
            <w:fldChar w:fldCharType="separate"/>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_Toc27496 </w:instrText>
          </w:r>
          <w:r>
            <w:rPr>
              <w:rFonts w:hint="eastAsia" w:ascii="仿宋" w:hAnsi="仿宋" w:eastAsia="仿宋" w:cs="仿宋"/>
              <w:b/>
              <w:sz w:val="30"/>
              <w:szCs w:val="30"/>
            </w:rPr>
            <w:fldChar w:fldCharType="separate"/>
          </w:r>
          <w:r>
            <w:rPr>
              <w:rFonts w:hint="eastAsia" w:ascii="仿宋" w:hAnsi="仿宋" w:eastAsia="仿宋" w:cs="仿宋"/>
              <w:b/>
              <w:i w:val="0"/>
              <w:caps w:val="0"/>
              <w:spacing w:val="0"/>
              <w:kern w:val="0"/>
              <w:sz w:val="30"/>
              <w:szCs w:val="30"/>
              <w:shd w:val="clear" w:color="auto" w:fill="FFFFFF"/>
              <w:lang w:val="en-US" w:eastAsia="zh-CN" w:bidi="ar"/>
            </w:rPr>
            <w:t>一、基本职能及主要工作</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_Toc27496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3</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_Toc15762 </w:instrText>
          </w:r>
          <w:r>
            <w:rPr>
              <w:rFonts w:hint="eastAsia" w:ascii="仿宋" w:hAnsi="仿宋" w:eastAsia="仿宋" w:cs="仿宋"/>
              <w:sz w:val="30"/>
              <w:szCs w:val="30"/>
            </w:rPr>
            <w:fldChar w:fldCharType="separate"/>
          </w:r>
          <w:r>
            <w:rPr>
              <w:rFonts w:hint="eastAsia" w:ascii="仿宋" w:hAnsi="仿宋" w:eastAsia="仿宋" w:cs="仿宋"/>
              <w:i w:val="0"/>
              <w:caps w:val="0"/>
              <w:spacing w:val="0"/>
              <w:sz w:val="30"/>
              <w:szCs w:val="30"/>
              <w:shd w:val="clear" w:color="auto" w:fill="FFFFFF"/>
            </w:rPr>
            <w:t>（一）</w:t>
          </w:r>
          <w:r>
            <w:rPr>
              <w:rFonts w:hint="eastAsia" w:ascii="仿宋" w:hAnsi="仿宋" w:eastAsia="仿宋" w:cs="仿宋"/>
              <w:i w:val="0"/>
              <w:caps w:val="0"/>
              <w:spacing w:val="0"/>
              <w:sz w:val="30"/>
              <w:szCs w:val="30"/>
              <w:shd w:val="clear" w:color="auto" w:fill="FFFFFF"/>
              <w:lang w:val="en-US" w:eastAsia="zh-CN"/>
            </w:rPr>
            <w:t>梅树小学</w:t>
          </w:r>
          <w:r>
            <w:rPr>
              <w:rFonts w:hint="eastAsia" w:ascii="仿宋" w:hAnsi="仿宋" w:eastAsia="仿宋" w:cs="仿宋"/>
              <w:i w:val="0"/>
              <w:caps w:val="0"/>
              <w:spacing w:val="0"/>
              <w:sz w:val="30"/>
              <w:szCs w:val="30"/>
              <w:shd w:val="clear" w:color="auto" w:fill="FFFFFF"/>
            </w:rPr>
            <w:t>职能简介</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_Toc15762 \h </w:instrText>
          </w:r>
          <w:r>
            <w:rPr>
              <w:rFonts w:hint="eastAsia" w:ascii="仿宋" w:hAnsi="仿宋" w:eastAsia="仿宋" w:cs="仿宋"/>
              <w:sz w:val="30"/>
              <w:szCs w:val="30"/>
            </w:rPr>
            <w:fldChar w:fldCharType="separate"/>
          </w:r>
          <w:r>
            <w:rPr>
              <w:rFonts w:hint="eastAsia" w:ascii="仿宋" w:hAnsi="仿宋" w:eastAsia="仿宋" w:cs="仿宋"/>
              <w:sz w:val="30"/>
              <w:szCs w:val="30"/>
            </w:rPr>
            <w:t>3</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_Toc1716 </w:instrText>
          </w:r>
          <w:r>
            <w:rPr>
              <w:rFonts w:hint="eastAsia" w:ascii="仿宋" w:hAnsi="仿宋" w:eastAsia="仿宋" w:cs="仿宋"/>
              <w:sz w:val="30"/>
              <w:szCs w:val="30"/>
            </w:rPr>
            <w:fldChar w:fldCharType="separate"/>
          </w:r>
          <w:r>
            <w:rPr>
              <w:rFonts w:hint="eastAsia" w:ascii="仿宋" w:hAnsi="仿宋" w:eastAsia="仿宋" w:cs="仿宋"/>
              <w:i w:val="0"/>
              <w:caps w:val="0"/>
              <w:spacing w:val="0"/>
              <w:sz w:val="30"/>
              <w:szCs w:val="30"/>
              <w:shd w:val="clear" w:color="auto" w:fill="FFFFFF"/>
            </w:rPr>
            <w:t>（二）</w:t>
          </w:r>
          <w:r>
            <w:rPr>
              <w:rFonts w:hint="eastAsia" w:ascii="仿宋" w:hAnsi="仿宋" w:eastAsia="仿宋" w:cs="仿宋"/>
              <w:i w:val="0"/>
              <w:caps w:val="0"/>
              <w:spacing w:val="0"/>
              <w:sz w:val="30"/>
              <w:szCs w:val="30"/>
              <w:shd w:val="clear" w:color="auto" w:fill="FFFFFF"/>
              <w:lang w:eastAsia="zh-CN"/>
            </w:rPr>
            <w:t>梅树小学</w:t>
          </w:r>
          <w:r>
            <w:rPr>
              <w:rFonts w:hint="eastAsia" w:ascii="仿宋" w:hAnsi="仿宋" w:eastAsia="仿宋" w:cs="仿宋"/>
              <w:i w:val="0"/>
              <w:caps w:val="0"/>
              <w:spacing w:val="0"/>
              <w:sz w:val="30"/>
              <w:szCs w:val="30"/>
              <w:shd w:val="clear" w:color="auto" w:fill="FFFFFF"/>
            </w:rPr>
            <w:t>202</w:t>
          </w:r>
          <w:r>
            <w:rPr>
              <w:rFonts w:hint="eastAsia" w:ascii="仿宋" w:hAnsi="仿宋" w:eastAsia="仿宋" w:cs="仿宋"/>
              <w:i w:val="0"/>
              <w:caps w:val="0"/>
              <w:spacing w:val="0"/>
              <w:sz w:val="30"/>
              <w:szCs w:val="30"/>
              <w:shd w:val="clear" w:color="auto" w:fill="FFFFFF"/>
              <w:lang w:val="en-US" w:eastAsia="zh-CN"/>
            </w:rPr>
            <w:t>4</w:t>
          </w:r>
          <w:r>
            <w:rPr>
              <w:rFonts w:hint="eastAsia" w:ascii="仿宋" w:hAnsi="仿宋" w:eastAsia="仿宋" w:cs="仿宋"/>
              <w:i w:val="0"/>
              <w:caps w:val="0"/>
              <w:spacing w:val="0"/>
              <w:sz w:val="30"/>
              <w:szCs w:val="30"/>
              <w:shd w:val="clear" w:color="auto" w:fill="FFFFFF"/>
            </w:rPr>
            <w:t>年重点工作</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_Toc1716 \h </w:instrText>
          </w:r>
          <w:r>
            <w:rPr>
              <w:rFonts w:hint="eastAsia" w:ascii="仿宋" w:hAnsi="仿宋" w:eastAsia="仿宋" w:cs="仿宋"/>
              <w:sz w:val="30"/>
              <w:szCs w:val="30"/>
            </w:rPr>
            <w:fldChar w:fldCharType="separate"/>
          </w:r>
          <w:r>
            <w:rPr>
              <w:rFonts w:hint="eastAsia" w:ascii="仿宋" w:hAnsi="仿宋" w:eastAsia="仿宋" w:cs="仿宋"/>
              <w:sz w:val="30"/>
              <w:szCs w:val="30"/>
            </w:rPr>
            <w:t>3</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_Toc22428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二、部门预算单位构成</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_Toc22428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6</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_Toc24173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三、收支预算情况说明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_Toc24173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6</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_Toc8717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（一） 收入预算情况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_Toc8717 \h </w:instrText>
          </w:r>
          <w:r>
            <w:rPr>
              <w:rFonts w:hint="eastAsia" w:ascii="仿宋" w:hAnsi="仿宋" w:eastAsia="仿宋" w:cs="仿宋"/>
              <w:sz w:val="30"/>
              <w:szCs w:val="30"/>
            </w:rPr>
            <w:fldChar w:fldCharType="separate"/>
          </w:r>
          <w:r>
            <w:rPr>
              <w:rFonts w:hint="eastAsia" w:ascii="仿宋" w:hAnsi="仿宋" w:eastAsia="仿宋" w:cs="仿宋"/>
              <w:sz w:val="30"/>
              <w:szCs w:val="30"/>
            </w:rPr>
            <w:t>6</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_Toc16609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（二）支出预算情况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_Toc16609 \h </w:instrText>
          </w:r>
          <w:r>
            <w:rPr>
              <w:rFonts w:hint="eastAsia" w:ascii="仿宋" w:hAnsi="仿宋" w:eastAsia="仿宋" w:cs="仿宋"/>
              <w:sz w:val="30"/>
              <w:szCs w:val="30"/>
            </w:rPr>
            <w:fldChar w:fldCharType="separate"/>
          </w:r>
          <w:r>
            <w:rPr>
              <w:rFonts w:hint="eastAsia" w:ascii="仿宋" w:hAnsi="仿宋" w:eastAsia="仿宋" w:cs="仿宋"/>
              <w:sz w:val="30"/>
              <w:szCs w:val="30"/>
            </w:rPr>
            <w:t>7</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_Toc4472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四、财政拨款收支预算情况说明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_Toc4472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7</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_Toc6638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五、 一般公共预算当年拨款情况说明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_Toc6638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7</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_Toc19851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（一）一般公共预算当年拨款规模变化情况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_Toc19851 \h </w:instrText>
          </w:r>
          <w:r>
            <w:rPr>
              <w:rFonts w:hint="eastAsia" w:ascii="仿宋" w:hAnsi="仿宋" w:eastAsia="仿宋" w:cs="仿宋"/>
              <w:sz w:val="30"/>
              <w:szCs w:val="30"/>
            </w:rPr>
            <w:fldChar w:fldCharType="separate"/>
          </w:r>
          <w:r>
            <w:rPr>
              <w:rFonts w:hint="eastAsia" w:ascii="仿宋" w:hAnsi="仿宋" w:eastAsia="仿宋" w:cs="仿宋"/>
              <w:sz w:val="30"/>
              <w:szCs w:val="30"/>
            </w:rPr>
            <w:t>7</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_Toc22697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（二）一般公共预算当年拨款结构情况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_Toc22697 \h </w:instrText>
          </w:r>
          <w:r>
            <w:rPr>
              <w:rFonts w:hint="eastAsia" w:ascii="仿宋" w:hAnsi="仿宋" w:eastAsia="仿宋" w:cs="仿宋"/>
              <w:sz w:val="30"/>
              <w:szCs w:val="30"/>
            </w:rPr>
            <w:fldChar w:fldCharType="separate"/>
          </w:r>
          <w:r>
            <w:rPr>
              <w:rFonts w:hint="eastAsia" w:ascii="仿宋" w:hAnsi="仿宋" w:eastAsia="仿宋" w:cs="仿宋"/>
              <w:sz w:val="30"/>
              <w:szCs w:val="30"/>
            </w:rPr>
            <w:t>7</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_Toc24226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（三）一般公共预算当年拨款具体使用情况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_Toc24226 \h </w:instrText>
          </w:r>
          <w:r>
            <w:rPr>
              <w:rFonts w:hint="eastAsia" w:ascii="仿宋" w:hAnsi="仿宋" w:eastAsia="仿宋" w:cs="仿宋"/>
              <w:sz w:val="30"/>
              <w:szCs w:val="30"/>
            </w:rPr>
            <w:fldChar w:fldCharType="separate"/>
          </w:r>
          <w:r>
            <w:rPr>
              <w:rFonts w:hint="eastAsia" w:ascii="仿宋" w:hAnsi="仿宋" w:eastAsia="仿宋" w:cs="仿宋"/>
              <w:sz w:val="30"/>
              <w:szCs w:val="30"/>
            </w:rPr>
            <w:t>8</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_Toc19246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六、一般公共预算基本支出情况说明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_Toc19246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8</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_Toc27855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七、 “三公”经费财政拨款预算安排情况说明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_Toc27855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8</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_Toc27149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（一） 公务接待费</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_Toc27149 \h </w:instrText>
          </w:r>
          <w:r>
            <w:rPr>
              <w:rFonts w:hint="eastAsia" w:ascii="仿宋" w:hAnsi="仿宋" w:eastAsia="仿宋" w:cs="仿宋"/>
              <w:sz w:val="30"/>
              <w:szCs w:val="30"/>
            </w:rPr>
            <w:fldChar w:fldCharType="separate"/>
          </w:r>
          <w:r>
            <w:rPr>
              <w:rFonts w:hint="eastAsia" w:ascii="仿宋" w:hAnsi="仿宋" w:eastAsia="仿宋" w:cs="仿宋"/>
              <w:sz w:val="30"/>
              <w:szCs w:val="30"/>
            </w:rPr>
            <w:t>8</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_Toc17441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（二） 公务用车购置及运行维护费</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_Toc17441 \h </w:instrText>
          </w:r>
          <w:r>
            <w:rPr>
              <w:rFonts w:hint="eastAsia" w:ascii="仿宋" w:hAnsi="仿宋" w:eastAsia="仿宋" w:cs="仿宋"/>
              <w:sz w:val="30"/>
              <w:szCs w:val="30"/>
            </w:rPr>
            <w:fldChar w:fldCharType="separate"/>
          </w:r>
          <w:r>
            <w:rPr>
              <w:rFonts w:hint="eastAsia" w:ascii="仿宋" w:hAnsi="仿宋" w:eastAsia="仿宋" w:cs="仿宋"/>
              <w:sz w:val="30"/>
              <w:szCs w:val="30"/>
            </w:rPr>
            <w:t>9</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7"/>
            <w:tabs>
              <w:tab w:val="right" w:leader="dot" w:pos="8845"/>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_Toc6121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（三）因公出国（境）经费</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_Toc6121 \h </w:instrText>
          </w:r>
          <w:r>
            <w:rPr>
              <w:rFonts w:hint="eastAsia" w:ascii="仿宋" w:hAnsi="仿宋" w:eastAsia="仿宋" w:cs="仿宋"/>
              <w:sz w:val="30"/>
              <w:szCs w:val="30"/>
            </w:rPr>
            <w:fldChar w:fldCharType="separate"/>
          </w:r>
          <w:r>
            <w:rPr>
              <w:rFonts w:hint="eastAsia" w:ascii="仿宋" w:hAnsi="仿宋" w:eastAsia="仿宋" w:cs="仿宋"/>
              <w:sz w:val="30"/>
              <w:szCs w:val="30"/>
            </w:rPr>
            <w:t>9</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_Toc12344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八、政府性基金预算支出情况说明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_Toc12344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9</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_Toc16196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九、国有资本经营预算支出情况说明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_Toc16196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9</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_Toc4456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十、其他重要事项的情况说明</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_Toc4456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9</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6"/>
            <w:tabs>
              <w:tab w:val="right" w:leader="dot" w:pos="8845"/>
            </w:tabs>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_Toc4584 </w:instrText>
          </w:r>
          <w:r>
            <w:rPr>
              <w:rFonts w:hint="eastAsia" w:ascii="仿宋" w:hAnsi="仿宋" w:eastAsia="仿宋" w:cs="仿宋"/>
              <w:b/>
              <w:sz w:val="30"/>
              <w:szCs w:val="30"/>
            </w:rPr>
            <w:fldChar w:fldCharType="separate"/>
          </w:r>
          <w:r>
            <w:rPr>
              <w:rFonts w:hint="eastAsia" w:ascii="仿宋" w:hAnsi="仿宋" w:eastAsia="仿宋" w:cs="仿宋"/>
              <w:b/>
              <w:bCs/>
              <w:sz w:val="30"/>
              <w:szCs w:val="30"/>
              <w:lang w:val="en-US" w:eastAsia="zh-CN"/>
            </w:rPr>
            <w:t>十一、名词解释</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_Toc4584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10</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pPr>
            <w:pStyle w:val="17"/>
            <w:tabs>
              <w:tab w:val="right" w:leader="dot" w:pos="8845"/>
            </w:tabs>
            <w:rPr>
              <w:rFonts w:hint="eastAsia" w:ascii="仿宋" w:hAnsi="仿宋" w:eastAsia="仿宋" w:cs="仿宋"/>
              <w:sz w:val="30"/>
              <w:szCs w:val="30"/>
            </w:rPr>
          </w:pPr>
        </w:p>
        <w:p>
          <w:pPr>
            <w:rPr>
              <w:rFonts w:hint="eastAsia" w:ascii="仿宋" w:hAnsi="仿宋" w:eastAsia="仿宋" w:cs="仿宋"/>
              <w:sz w:val="30"/>
              <w:szCs w:val="30"/>
            </w:rPr>
          </w:pPr>
          <w:r>
            <w:rPr>
              <w:rFonts w:hint="eastAsia" w:ascii="仿宋" w:hAnsi="仿宋" w:eastAsia="仿宋" w:cs="仿宋"/>
              <w:b/>
              <w:sz w:val="30"/>
              <w:szCs w:val="30"/>
            </w:rPr>
            <w:fldChar w:fldCharType="end"/>
          </w:r>
        </w:p>
      </w:sdtContent>
    </w:sd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t xml:space="preserve">     </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0" w:firstLineChars="200"/>
        <w:jc w:val="both"/>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lang w:val="en-US" w:eastAsia="zh-CN"/>
        </w:rPr>
      </w:pPr>
    </w:p>
    <w:p>
      <w:pPr>
        <w:pStyle w:val="2"/>
        <w:rPr>
          <w:rFonts w:hint="eastAsia"/>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40"/>
        <w:jc w:val="both"/>
        <w:outlineLvl w:val="0"/>
        <w:rPr>
          <w:rFonts w:hint="default" w:ascii="Times New Roman" w:hAnsi="Times New Roman" w:cs="Times New Roman"/>
          <w:i w:val="0"/>
          <w:caps w:val="0"/>
          <w:color w:val="000000"/>
          <w:spacing w:val="0"/>
          <w:sz w:val="32"/>
          <w:szCs w:val="32"/>
        </w:rPr>
      </w:pPr>
      <w:bookmarkStart w:id="0" w:name="_Toc27496"/>
      <w:r>
        <w:rPr>
          <w:rFonts w:ascii="黑体" w:hAnsi="宋体" w:eastAsia="黑体" w:cs="黑体"/>
          <w:i w:val="0"/>
          <w:caps w:val="0"/>
          <w:color w:val="000000"/>
          <w:spacing w:val="0"/>
          <w:kern w:val="0"/>
          <w:sz w:val="32"/>
          <w:szCs w:val="32"/>
          <w:shd w:val="clear" w:color="auto" w:fill="FFFFFF"/>
          <w:lang w:val="en-US" w:eastAsia="zh-CN" w:bidi="ar"/>
        </w:rPr>
        <w:t>一、基本职能及主要工作</w:t>
      </w:r>
      <w:bookmarkEnd w:id="0"/>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hint="eastAsia" w:ascii="楷体_GB2312" w:eastAsia="楷体_GB2312" w:cs="楷体_GB2312"/>
          <w:b/>
          <w:i w:val="0"/>
          <w:caps w:val="0"/>
          <w:color w:val="000000"/>
          <w:spacing w:val="0"/>
          <w:sz w:val="32"/>
          <w:szCs w:val="32"/>
          <w:shd w:val="clear" w:color="auto" w:fill="FFFFFF"/>
        </w:rPr>
      </w:pPr>
      <w:bookmarkStart w:id="1" w:name="_Toc15762"/>
      <w:r>
        <w:rPr>
          <w:rFonts w:ascii="楷体_GB2312" w:eastAsia="楷体_GB2312" w:cs="楷体_GB2312"/>
          <w:b/>
          <w:i w:val="0"/>
          <w:caps w:val="0"/>
          <w:color w:val="000000"/>
          <w:spacing w:val="0"/>
          <w:sz w:val="32"/>
          <w:szCs w:val="32"/>
          <w:shd w:val="clear" w:color="auto" w:fill="FFFFFF"/>
        </w:rPr>
        <w:t>（一）</w:t>
      </w:r>
      <w:r>
        <w:rPr>
          <w:rFonts w:hint="eastAsia" w:ascii="楷体_GB2312" w:eastAsia="楷体_GB2312" w:cs="楷体_GB2312"/>
          <w:b/>
          <w:i w:val="0"/>
          <w:caps w:val="0"/>
          <w:color w:val="000000"/>
          <w:spacing w:val="0"/>
          <w:sz w:val="32"/>
          <w:szCs w:val="32"/>
          <w:shd w:val="clear" w:color="auto" w:fill="FFFFFF"/>
          <w:lang w:val="en-US" w:eastAsia="zh-CN"/>
        </w:rPr>
        <w:t>梅树小学</w:t>
      </w:r>
      <w:r>
        <w:rPr>
          <w:rFonts w:hint="eastAsia" w:ascii="楷体_GB2312" w:eastAsia="楷体_GB2312" w:cs="楷体_GB2312"/>
          <w:b/>
          <w:i w:val="0"/>
          <w:caps w:val="0"/>
          <w:color w:val="000000"/>
          <w:spacing w:val="0"/>
          <w:sz w:val="32"/>
          <w:szCs w:val="32"/>
          <w:shd w:val="clear" w:color="auto" w:fill="FFFFFF"/>
        </w:rPr>
        <w:t>职能简介</w:t>
      </w:r>
      <w:bookmarkEnd w:id="1"/>
    </w:p>
    <w:p>
      <w:pPr>
        <w:pStyle w:val="6"/>
        <w:adjustRightInd w:val="0"/>
        <w:spacing w:beforeLines="0" w:line="500" w:lineRule="exact"/>
        <w:ind w:firstLine="640" w:firstLineChars="200"/>
        <w:outlineLvl w:val="2"/>
        <w:rPr>
          <w:rFonts w:ascii="仿宋" w:hAnsi="仿宋" w:eastAsia="仿宋"/>
          <w:color w:val="000000"/>
          <w:kern w:val="2"/>
          <w:sz w:val="32"/>
          <w:szCs w:val="32"/>
        </w:rPr>
      </w:pPr>
      <w:r>
        <w:rPr>
          <w:rFonts w:hint="eastAsia" w:ascii="仿宋" w:hAnsi="仿宋" w:eastAsia="仿宋"/>
          <w:color w:val="000000"/>
          <w:kern w:val="2"/>
          <w:sz w:val="32"/>
          <w:szCs w:val="32"/>
        </w:rPr>
        <w:t>1.贯彻党的教育方针，坚持社会主义办学方向，实行教育与生产劳动相结合，对学生进行德育、智育、体育、美育和劳动等方面的教育。</w:t>
      </w:r>
    </w:p>
    <w:p>
      <w:pPr>
        <w:pStyle w:val="6"/>
        <w:adjustRightInd w:val="0"/>
        <w:spacing w:beforeLines="0" w:line="500" w:lineRule="exact"/>
        <w:ind w:firstLine="640" w:firstLineChars="200"/>
        <w:outlineLvl w:val="2"/>
        <w:rPr>
          <w:rFonts w:hint="eastAsia" w:ascii="仿宋" w:hAnsi="仿宋" w:eastAsia="仿宋"/>
          <w:color w:val="000000"/>
          <w:kern w:val="2"/>
          <w:sz w:val="32"/>
          <w:szCs w:val="32"/>
        </w:rPr>
      </w:pPr>
      <w:r>
        <w:rPr>
          <w:rFonts w:hint="eastAsia" w:ascii="仿宋" w:hAnsi="仿宋" w:eastAsia="仿宋"/>
          <w:color w:val="000000"/>
          <w:kern w:val="2"/>
          <w:sz w:val="32"/>
          <w:szCs w:val="32"/>
        </w:rPr>
        <w:t>2.用科学的发展观指导教育教学工作。加强教育科研工作，推动校本教育的健康发展。加强教学管理，不断推进新课程改革，全面提高教学质量。</w:t>
      </w:r>
    </w:p>
    <w:p>
      <w:pPr>
        <w:pStyle w:val="6"/>
        <w:adjustRightInd w:val="0"/>
        <w:spacing w:beforeLines="0" w:line="500" w:lineRule="exact"/>
        <w:ind w:firstLine="640" w:firstLineChars="200"/>
        <w:outlineLvl w:val="2"/>
        <w:rPr>
          <w:rFonts w:hint="eastAsia" w:ascii="仿宋" w:hAnsi="仿宋" w:eastAsia="仿宋"/>
          <w:color w:val="000000"/>
          <w:kern w:val="2"/>
          <w:sz w:val="32"/>
          <w:szCs w:val="32"/>
        </w:rPr>
      </w:pPr>
      <w:r>
        <w:rPr>
          <w:rFonts w:hint="eastAsia" w:ascii="仿宋" w:hAnsi="仿宋" w:eastAsia="仿宋"/>
          <w:color w:val="000000"/>
          <w:kern w:val="2"/>
          <w:sz w:val="32"/>
          <w:szCs w:val="32"/>
        </w:rPr>
        <w:t>3.负责配合政府依法动员、组织适龄儿童、少年入学，严格控制学生辍学，依法保证适龄儿童、少年接受九年义务教育。</w:t>
      </w:r>
    </w:p>
    <w:p>
      <w:pPr>
        <w:pStyle w:val="6"/>
        <w:adjustRightInd w:val="0"/>
        <w:spacing w:beforeLines="0" w:line="500" w:lineRule="exact"/>
        <w:ind w:firstLine="640" w:firstLineChars="200"/>
        <w:outlineLvl w:val="2"/>
        <w:rPr>
          <w:rFonts w:hint="eastAsia" w:ascii="仿宋" w:hAnsi="仿宋" w:eastAsia="仿宋"/>
          <w:color w:val="000000"/>
          <w:kern w:val="2"/>
          <w:sz w:val="32"/>
          <w:szCs w:val="32"/>
        </w:rPr>
      </w:pPr>
      <w:r>
        <w:rPr>
          <w:rFonts w:hint="eastAsia" w:ascii="仿宋" w:hAnsi="仿宋" w:eastAsia="仿宋"/>
          <w:color w:val="000000"/>
          <w:kern w:val="2"/>
          <w:sz w:val="32"/>
          <w:szCs w:val="32"/>
        </w:rPr>
        <w:t>4.继续深化人事制度改革，完善学校内部管理，做好后勤保障工作。</w:t>
      </w:r>
    </w:p>
    <w:p>
      <w:pPr>
        <w:pStyle w:val="6"/>
        <w:adjustRightInd w:val="0"/>
        <w:spacing w:beforeLines="0" w:line="500" w:lineRule="exact"/>
        <w:ind w:firstLine="640" w:firstLineChars="200"/>
        <w:outlineLvl w:val="2"/>
        <w:rPr>
          <w:rFonts w:hint="eastAsia" w:ascii="仿宋" w:hAnsi="仿宋" w:eastAsia="仿宋"/>
          <w:color w:val="000000"/>
          <w:kern w:val="2"/>
          <w:sz w:val="32"/>
          <w:szCs w:val="32"/>
        </w:rPr>
      </w:pPr>
      <w:r>
        <w:rPr>
          <w:rFonts w:hint="eastAsia" w:ascii="仿宋" w:hAnsi="仿宋" w:eastAsia="仿宋"/>
          <w:color w:val="000000"/>
          <w:kern w:val="2"/>
          <w:sz w:val="32"/>
          <w:szCs w:val="32"/>
        </w:rPr>
        <w:t>5.负责维护学校、师生的合法权益，有权拒绝任何组织和个人对教育教学活动进行非法干扰。</w:t>
      </w:r>
    </w:p>
    <w:p>
      <w:pPr>
        <w:pStyle w:val="6"/>
        <w:adjustRightInd w:val="0"/>
        <w:spacing w:beforeLines="0" w:line="500" w:lineRule="exact"/>
        <w:ind w:firstLine="640" w:firstLineChars="200"/>
        <w:outlineLvl w:val="2"/>
        <w:rPr>
          <w:rFonts w:hint="eastAsia" w:ascii="仿宋" w:hAnsi="仿宋" w:eastAsia="仿宋"/>
          <w:color w:val="000000"/>
          <w:kern w:val="2"/>
          <w:sz w:val="32"/>
          <w:szCs w:val="32"/>
        </w:rPr>
      </w:pPr>
      <w:r>
        <w:rPr>
          <w:rFonts w:hint="eastAsia" w:ascii="仿宋" w:hAnsi="仿宋" w:eastAsia="仿宋"/>
          <w:color w:val="000000"/>
          <w:kern w:val="2"/>
          <w:sz w:val="32"/>
          <w:szCs w:val="32"/>
        </w:rPr>
        <w:t>6.负责创建绿色校园、文明校园和平安校园。</w:t>
      </w:r>
    </w:p>
    <w:p>
      <w:pPr>
        <w:pStyle w:val="6"/>
        <w:adjustRightInd w:val="0"/>
        <w:spacing w:beforeLines="0" w:line="500" w:lineRule="exact"/>
        <w:ind w:firstLine="640" w:firstLineChars="200"/>
        <w:outlineLvl w:val="2"/>
        <w:rPr>
          <w:rFonts w:hint="eastAsia" w:ascii="仿宋" w:hAnsi="仿宋" w:eastAsia="仿宋"/>
          <w:color w:val="000000"/>
          <w:kern w:val="2"/>
          <w:sz w:val="32"/>
          <w:szCs w:val="32"/>
        </w:rPr>
      </w:pPr>
      <w:r>
        <w:rPr>
          <w:rFonts w:hint="eastAsia" w:ascii="仿宋" w:hAnsi="仿宋" w:eastAsia="仿宋"/>
          <w:color w:val="000000"/>
          <w:kern w:val="2"/>
          <w:sz w:val="32"/>
          <w:szCs w:val="32"/>
        </w:rPr>
        <w:t>7.负责关心教职工生活，发挥教代会职能作用。</w:t>
      </w:r>
    </w:p>
    <w:p>
      <w:pPr>
        <w:ind w:firstLine="640" w:firstLineChars="200"/>
        <w:rPr>
          <w:rFonts w:hint="eastAsia" w:ascii="楷体_GB2312" w:eastAsia="楷体_GB2312" w:cs="楷体_GB2312"/>
          <w:b/>
          <w:i w:val="0"/>
          <w:caps w:val="0"/>
          <w:color w:val="000000"/>
          <w:spacing w:val="0"/>
          <w:sz w:val="32"/>
          <w:szCs w:val="32"/>
          <w:shd w:val="clear" w:color="auto" w:fill="FFFFFF"/>
        </w:rPr>
      </w:pPr>
      <w:r>
        <w:rPr>
          <w:rFonts w:hint="eastAsia" w:ascii="仿宋" w:hAnsi="仿宋" w:eastAsia="仿宋"/>
          <w:color w:val="000000"/>
          <w:sz w:val="32"/>
          <w:szCs w:val="32"/>
        </w:rPr>
        <w:t>8.承办上级交办的其他事项。</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outlineLvl w:val="1"/>
        <w:rPr>
          <w:rFonts w:ascii="仿宋" w:hAnsi="仿宋" w:eastAsia="仿宋"/>
          <w:bCs/>
          <w:color w:val="auto"/>
          <w:sz w:val="32"/>
          <w:szCs w:val="32"/>
        </w:rPr>
      </w:pPr>
      <w:bookmarkStart w:id="2" w:name="_Toc1716"/>
      <w:r>
        <w:rPr>
          <w:rFonts w:hint="eastAsia" w:ascii="楷体_GB2312" w:eastAsia="楷体_GB2312" w:cs="楷体_GB2312"/>
          <w:b/>
          <w:i w:val="0"/>
          <w:caps w:val="0"/>
          <w:color w:val="000000"/>
          <w:spacing w:val="0"/>
          <w:sz w:val="32"/>
          <w:szCs w:val="32"/>
          <w:shd w:val="clear" w:color="auto" w:fill="FFFFFF"/>
        </w:rPr>
        <w:t>（二）</w:t>
      </w:r>
      <w:r>
        <w:rPr>
          <w:rFonts w:hint="eastAsia" w:ascii="楷体_GB2312" w:eastAsia="楷体_GB2312" w:cs="楷体_GB2312"/>
          <w:b/>
          <w:i w:val="0"/>
          <w:caps w:val="0"/>
          <w:color w:val="000000"/>
          <w:spacing w:val="0"/>
          <w:sz w:val="32"/>
          <w:szCs w:val="32"/>
          <w:shd w:val="clear" w:color="auto" w:fill="FFFFFF"/>
          <w:lang w:eastAsia="zh-CN"/>
        </w:rPr>
        <w:t>梅树小学</w:t>
      </w:r>
      <w:r>
        <w:rPr>
          <w:rFonts w:hint="eastAsia" w:ascii="楷体_GB2312" w:eastAsia="楷体_GB2312" w:cs="楷体_GB2312"/>
          <w:b/>
          <w:i w:val="0"/>
          <w:caps w:val="0"/>
          <w:color w:val="000000"/>
          <w:spacing w:val="0"/>
          <w:sz w:val="32"/>
          <w:szCs w:val="32"/>
          <w:shd w:val="clear" w:color="auto" w:fill="FFFFFF"/>
        </w:rPr>
        <w:t>202</w:t>
      </w:r>
      <w:r>
        <w:rPr>
          <w:rFonts w:hint="eastAsia" w:ascii="楷体_GB2312" w:eastAsia="楷体_GB2312" w:cs="楷体_GB2312"/>
          <w:b/>
          <w:i w:val="0"/>
          <w:caps w:val="0"/>
          <w:color w:val="000000"/>
          <w:spacing w:val="0"/>
          <w:sz w:val="32"/>
          <w:szCs w:val="32"/>
          <w:shd w:val="clear" w:color="auto" w:fill="FFFFFF"/>
          <w:lang w:val="en-US" w:eastAsia="zh-CN"/>
        </w:rPr>
        <w:t>4</w:t>
      </w:r>
      <w:r>
        <w:rPr>
          <w:rFonts w:hint="eastAsia" w:ascii="楷体_GB2312" w:eastAsia="楷体_GB2312" w:cs="楷体_GB2312"/>
          <w:b/>
          <w:i w:val="0"/>
          <w:caps w:val="0"/>
          <w:color w:val="000000"/>
          <w:spacing w:val="0"/>
          <w:sz w:val="32"/>
          <w:szCs w:val="32"/>
          <w:shd w:val="clear" w:color="auto" w:fill="FFFFFF"/>
        </w:rPr>
        <w:t>年重点工作</w:t>
      </w:r>
      <w:bookmarkEnd w:id="2"/>
    </w:p>
    <w:p>
      <w:pPr>
        <w:pStyle w:val="10"/>
        <w:widowControl/>
        <w:shd w:val="clear" w:color="auto" w:fill="FFFFFF"/>
        <w:ind w:firstLine="475"/>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全面实施生命教育，以认识生命，敬畏生命、发现生命、尊重生命、热爱生命、保护生命、激扬生命，完善生命为内容，从学校管理，队伍建设，教学工作，德育工作，体、艺、安全教育活动五个维度建构生命教育体系，实现捍卫生命尊严，激发生命潜能，提升生命品质，实现生命价值的目标追求。</w:t>
      </w:r>
    </w:p>
    <w:p>
      <w:pPr>
        <w:pStyle w:val="10"/>
        <w:widowControl/>
        <w:shd w:val="clear" w:color="auto" w:fill="FFFFFF"/>
        <w:ind w:firstLine="475"/>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1、学校管理人性化、精细化、科学化</w:t>
      </w:r>
    </w:p>
    <w:p>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学习借鉴现代先进的管理理论，秉持以人为本的管理理念，为师生生命成长创造安全、和谐的学校环境，彰显师生的生命活力和价值。</w:t>
      </w:r>
    </w:p>
    <w:p>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继续深入开展学校文化的大学习、大讨论活动，进一步丰富学校文化内涵，提升学校文化品味，使“关怀生命”的核心价值观真正成为师生的思想和共识，成为师生的自觉行动。</w:t>
      </w:r>
    </w:p>
    <w:p>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2、队伍建设思路清、目标明、效果好</w:t>
      </w:r>
    </w:p>
    <w:p>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依据生命教育的理念，站在生命的高度，重新思考队伍建设的思路与策略，激活教师自身生命意识的觉醒，引领教师在教育教学实践中用生命去温暖生命，用生命去激活生命，用生命滋润生命。扎实并创造性地执行名师工程方案。为教师的生命成长搭台、铺路，在活动中提升教师的德性与技能，在活动中彰显教师的生命魅力与价值，坚定教师的职业理想，增强教师职业幸福指数，成就教师幸福、有价值的人生。</w:t>
      </w:r>
    </w:p>
    <w:p>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3、德育工作回归学生生活本真，突出生命感悟与体验。</w:t>
      </w:r>
    </w:p>
    <w:p>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认真学习生命教育的相关理论，从生命教育的角度不断丰富，创新德育工作的内容与途径，牢固树立“全员育人、全程育人”的思想，提高德育工作的针对性，实效性，培养学生良好的行为习惯，提高学生珍爱生命，尊重生命，保护生命的意识和能力，提高学生的生命质量，为学生幸福人生奠基。</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lang w:val="en-US" w:eastAsia="zh-CN"/>
        </w:rPr>
        <w:t>4、</w:t>
      </w:r>
      <w:r>
        <w:rPr>
          <w:rFonts w:hint="eastAsia" w:ascii="仿宋" w:hAnsi="仿宋" w:eastAsia="仿宋"/>
          <w:bCs/>
          <w:color w:val="auto"/>
          <w:sz w:val="32"/>
          <w:szCs w:val="32"/>
        </w:rPr>
        <w:t>严格执行教学常规，提高教育教学质量</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继续加强教学研讨，促进教师专业发展，强化教师队伍建设</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后勤保障工作</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全体后勤人员必须树立师生利益至上的服务意识，从学校整体利益出发，把师生的合理需求作为开展工作的出发点和归宿，做好服务工作。规范管理，改进服务方式方法，明确责任，狠抓落实。勤俭节约，加强财、物管理维护校园环境，加大投入，优化育人环境,重视校园安全防范工作，常抓不懈，有备无患</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lang w:val="en-US" w:eastAsia="zh-CN"/>
        </w:rPr>
        <w:t>6、</w:t>
      </w:r>
      <w:r>
        <w:rPr>
          <w:rFonts w:hint="eastAsia" w:ascii="仿宋" w:hAnsi="仿宋" w:eastAsia="仿宋"/>
          <w:bCs/>
          <w:color w:val="auto"/>
          <w:sz w:val="32"/>
          <w:szCs w:val="32"/>
        </w:rPr>
        <w:t>加强工会建设，保障教职工合法权益</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认真学习贯彻新《工会法》，增强依法治会和依法维权的自觉性。在党支部的领导下，团结带领广大教师，积极主动地开展各项工作。加强思想作风和工作作风的建设，密切联系群众，为广大教师办实事，为学校党政分忧，充分发挥工会的桥梁和纽带作用。推进工会工作现代化建设，充分利用校园网络资源，尝试建立工会专页，开辟教师之家，推介优秀教师、名师，并鼓励教师建立个人网页。</w:t>
      </w:r>
    </w:p>
    <w:p>
      <w:pPr>
        <w:ind w:firstLine="640" w:firstLineChars="200"/>
        <w:rPr>
          <w:rFonts w:hint="default" w:ascii="Times New Roman" w:hAnsi="Times New Roman" w:eastAsia="仿宋_GB2312" w:cs="Times New Roman"/>
          <w:szCs w:val="32"/>
          <w:lang w:val="en-US" w:eastAsia="zh-CN"/>
        </w:rPr>
      </w:pPr>
      <w:r>
        <w:rPr>
          <w:rFonts w:hint="eastAsia" w:ascii="Times New Roman" w:hAnsi="Times New Roman" w:eastAsia="仿宋"/>
          <w:bCs/>
          <w:color w:val="auto"/>
          <w:sz w:val="32"/>
          <w:szCs w:val="32"/>
        </w:rPr>
        <w:t> </w:t>
      </w:r>
      <w:r>
        <w:rPr>
          <w:rFonts w:hint="eastAsia" w:ascii="仿宋" w:hAnsi="仿宋" w:eastAsia="仿宋"/>
          <w:bCs/>
          <w:color w:val="auto"/>
          <w:sz w:val="32"/>
          <w:szCs w:val="32"/>
        </w:rPr>
        <w:t>落实教代会制度，创新教代会形式，认真履行教代会职权，提高教代会质量。广泛征求广大教师对学校发展、管理等方面的意见和建议，每年召开一次教代会，讨论通过学校与工会工作及学校重大事项的决策、进展等情况。积极配合党政，继续做好校务公开工作，进一步健全制度，规范运作，加强监督，提高质量，保证校务公开的真实性、有效性。加强学习。进一步增强广大教职工参政议政的意识，积极主动参与学校的民主管理，把学校的民主建设真正落到实处，充分发挥广大教职工在学校建设与管理中的主观能动性，集思广益，把学校办好。认真履行工会的基本职责，维护教职工的合法权益，做好协调工作。</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3" w:name="_Toc22428"/>
      <w:r>
        <w:rPr>
          <w:rFonts w:hint="eastAsia" w:ascii="仿宋" w:hAnsi="仿宋" w:eastAsia="仿宋" w:cs="仿宋"/>
          <w:b/>
          <w:bCs/>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梅树小学为广元市昭化区教育局的下属二级预算单位，本单位无下属机构，属于公益一类预算单位。</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4" w:name="_Toc24173"/>
      <w:r>
        <w:rPr>
          <w:rFonts w:hint="eastAsia" w:ascii="仿宋" w:hAnsi="仿宋" w:eastAsia="仿宋" w:cs="仿宋"/>
          <w:b/>
          <w:bCs/>
          <w:sz w:val="32"/>
          <w:szCs w:val="32"/>
          <w:lang w:val="en-US" w:eastAsia="zh-CN"/>
        </w:rPr>
        <w:t>三、收支预算情况说明</w:t>
      </w:r>
      <w:bookmarkEnd w:id="4"/>
    </w:p>
    <w:p>
      <w:pPr>
        <w:widowControl/>
        <w:pBdr>
          <w:bottom w:val="single" w:color="FFFFFF" w:sz="8" w:space="31"/>
        </w:pBdr>
        <w:shd w:val="clear" w:color="auto" w:fill="FFFFFF"/>
        <w:spacing w:line="580" w:lineRule="atLeast"/>
        <w:ind w:firstLine="668"/>
        <w:rPr>
          <w:rFonts w:hint="eastAsia" w:ascii="仿宋_GB2312" w:hAnsi="Times New Roman" w:eastAsia="仿宋_GB2312" w:cs="仿宋_GB2312"/>
          <w:color w:val="333333"/>
          <w:kern w:val="0"/>
          <w:sz w:val="32"/>
          <w:szCs w:val="32"/>
          <w:shd w:val="clear" w:color="auto" w:fill="FFFFFF"/>
          <w:lang w:bidi="ar"/>
        </w:rPr>
      </w:pPr>
      <w:r>
        <w:rPr>
          <w:rFonts w:hint="eastAsia" w:ascii="仿宋" w:hAnsi="仿宋" w:eastAsia="仿宋" w:cs="仿宋"/>
          <w:sz w:val="32"/>
          <w:szCs w:val="32"/>
          <w:lang w:val="en-US" w:eastAsia="zh-CN"/>
        </w:rPr>
        <w:t>按照综合预算的原则，梅树小学所有收入和支出均纳入部门预算管理。收入包括：一般公共预算拨款收入；支出包括：教育支出。梅树小学2024年收支预算总数388.71万元,比2023年收支预算总数减少30.33万元，主要原因是</w:t>
      </w:r>
      <w:r>
        <w:rPr>
          <w:rFonts w:hint="eastAsia" w:ascii="仿宋_GB2312" w:hAnsi="Times New Roman" w:eastAsia="仿宋_GB2312" w:cs="仿宋_GB2312"/>
          <w:color w:val="333333"/>
          <w:kern w:val="0"/>
          <w:sz w:val="32"/>
          <w:szCs w:val="32"/>
          <w:shd w:val="clear" w:color="auto" w:fill="FFFFFF"/>
          <w:lang w:eastAsia="zh-CN" w:bidi="ar"/>
        </w:rPr>
        <w:t>基本支出</w:t>
      </w:r>
      <w:r>
        <w:rPr>
          <w:rFonts w:hint="eastAsia" w:ascii="仿宋_GB2312" w:hAnsi="Times New Roman" w:eastAsia="仿宋_GB2312" w:cs="仿宋_GB2312"/>
          <w:color w:val="333333"/>
          <w:kern w:val="0"/>
          <w:sz w:val="32"/>
          <w:szCs w:val="32"/>
          <w:shd w:val="clear" w:color="auto" w:fill="FFFFFF"/>
          <w:lang w:bidi="ar"/>
        </w:rPr>
        <w:t>与</w:t>
      </w:r>
      <w:r>
        <w:rPr>
          <w:rFonts w:hint="eastAsia" w:ascii="仿宋_GB2312" w:hAnsi="Times New Roman" w:eastAsia="仿宋_GB2312" w:cs="仿宋_GB2312"/>
          <w:color w:val="333333"/>
          <w:kern w:val="0"/>
          <w:sz w:val="32"/>
          <w:szCs w:val="32"/>
          <w:shd w:val="clear" w:color="auto" w:fill="FFFFFF"/>
          <w:lang w:eastAsia="zh-CN" w:bidi="ar"/>
        </w:rPr>
        <w:t>项目支出</w:t>
      </w:r>
      <w:r>
        <w:rPr>
          <w:rFonts w:hint="eastAsia" w:ascii="仿宋_GB2312" w:hAnsi="Times New Roman" w:eastAsia="仿宋_GB2312" w:cs="仿宋_GB2312"/>
          <w:color w:val="333333"/>
          <w:kern w:val="0"/>
          <w:sz w:val="32"/>
          <w:szCs w:val="32"/>
          <w:shd w:val="clear" w:color="auto" w:fill="FFFFFF"/>
          <w:lang w:bidi="ar"/>
        </w:rPr>
        <w:t>减少。</w:t>
      </w:r>
    </w:p>
    <w:p>
      <w:pPr>
        <w:widowControl/>
        <w:numPr>
          <w:ilvl w:val="0"/>
          <w:numId w:val="1"/>
        </w:numPr>
        <w:pBdr>
          <w:bottom w:val="single" w:color="FFFFFF" w:sz="8" w:space="31"/>
        </w:pBdr>
        <w:shd w:val="clear" w:color="auto" w:fill="FFFFFF"/>
        <w:spacing w:line="580" w:lineRule="atLeast"/>
        <w:ind w:firstLine="668"/>
        <w:outlineLvl w:val="1"/>
        <w:rPr>
          <w:rFonts w:hint="eastAsia" w:ascii="仿宋" w:hAnsi="仿宋" w:eastAsia="仿宋" w:cs="仿宋"/>
          <w:sz w:val="32"/>
          <w:szCs w:val="32"/>
          <w:lang w:val="en-US" w:eastAsia="zh-CN"/>
        </w:rPr>
      </w:pPr>
      <w:bookmarkStart w:id="5" w:name="_Toc8717"/>
      <w:r>
        <w:rPr>
          <w:rFonts w:hint="eastAsia" w:ascii="仿宋" w:hAnsi="仿宋" w:eastAsia="仿宋" w:cs="仿宋"/>
          <w:sz w:val="32"/>
          <w:szCs w:val="32"/>
          <w:lang w:val="en-US" w:eastAsia="zh-CN"/>
        </w:rPr>
        <w:t>收入预算情况</w:t>
      </w:r>
      <w:bookmarkEnd w:id="5"/>
    </w:p>
    <w:p>
      <w:pPr>
        <w:widowControl/>
        <w:numPr>
          <w:ilvl w:val="0"/>
          <w:numId w:val="0"/>
        </w:numPr>
        <w:pBdr>
          <w:bottom w:val="single" w:color="FFFFFF" w:sz="8" w:space="31"/>
        </w:pBdr>
        <w:shd w:val="clear" w:color="auto" w:fill="FFFFFF"/>
        <w:spacing w:line="580" w:lineRule="atLeast"/>
        <w:ind w:firstLine="800" w:firstLineChars="25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梅树小学2024年收入预算388.71万元，其中：一般公共预算拨款收入388.71万元，占100%。   </w:t>
      </w:r>
    </w:p>
    <w:p>
      <w:pPr>
        <w:widowControl/>
        <w:numPr>
          <w:ilvl w:val="0"/>
          <w:numId w:val="0"/>
        </w:numPr>
        <w:pBdr>
          <w:bottom w:val="single" w:color="FFFFFF" w:sz="8" w:space="31"/>
        </w:pBdr>
        <w:shd w:val="clear" w:color="auto" w:fill="FFFFFF"/>
        <w:spacing w:line="580" w:lineRule="atLeast"/>
        <w:ind w:firstLine="800" w:firstLineChars="250"/>
        <w:outlineLvl w:val="1"/>
        <w:rPr>
          <w:rFonts w:hint="eastAsia" w:ascii="仿宋" w:hAnsi="仿宋" w:eastAsia="仿宋" w:cs="仿宋"/>
          <w:sz w:val="32"/>
          <w:szCs w:val="32"/>
          <w:lang w:val="en-US" w:eastAsia="zh-CN"/>
        </w:rPr>
      </w:pPr>
      <w:bookmarkStart w:id="6" w:name="_Toc16609"/>
      <w:r>
        <w:rPr>
          <w:rFonts w:hint="eastAsia" w:ascii="仿宋" w:hAnsi="仿宋" w:eastAsia="仿宋" w:cs="仿宋"/>
          <w:sz w:val="32"/>
          <w:szCs w:val="32"/>
          <w:lang w:val="en-US" w:eastAsia="zh-CN"/>
        </w:rPr>
        <w:t>（二）支出预算情况</w:t>
      </w:r>
      <w:bookmarkEnd w:id="6"/>
    </w:p>
    <w:p>
      <w:pPr>
        <w:widowControl/>
        <w:numPr>
          <w:ilvl w:val="0"/>
          <w:numId w:val="0"/>
        </w:numPr>
        <w:pBdr>
          <w:bottom w:val="single" w:color="FFFFFF" w:sz="8" w:space="31"/>
        </w:pBdr>
        <w:shd w:val="clear" w:color="auto" w:fill="FFFFFF"/>
        <w:spacing w:line="580" w:lineRule="atLeast"/>
        <w:ind w:firstLine="800" w:firstLineChars="250"/>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梅树小学2024年支出预算388.71万元，其中：基本支出362.19万元，占93.2%；项目支出26.52万元，占6.8%</w:t>
      </w:r>
      <w:r>
        <w:rPr>
          <w:rFonts w:hint="eastAsia" w:ascii="仿宋" w:hAnsi="仿宋" w:eastAsia="仿宋" w:cs="仿宋"/>
          <w:b w:val="0"/>
          <w:bCs w:val="0"/>
          <w:sz w:val="32"/>
          <w:szCs w:val="32"/>
          <w:lang w:val="en-US" w:eastAsia="zh-CN"/>
        </w:rPr>
        <w:t>。</w:t>
      </w:r>
    </w:p>
    <w:p>
      <w:pPr>
        <w:widowControl/>
        <w:numPr>
          <w:ilvl w:val="0"/>
          <w:numId w:val="0"/>
        </w:numPr>
        <w:pBdr>
          <w:bottom w:val="single" w:color="FFFFFF" w:sz="8" w:space="31"/>
        </w:pBdr>
        <w:shd w:val="clear" w:color="auto" w:fill="FFFFFF"/>
        <w:spacing w:line="580" w:lineRule="atLeast"/>
        <w:ind w:firstLine="803" w:firstLineChars="250"/>
        <w:outlineLvl w:val="0"/>
        <w:rPr>
          <w:rFonts w:hint="eastAsia" w:ascii="仿宋" w:hAnsi="仿宋" w:eastAsia="仿宋" w:cs="仿宋"/>
          <w:b/>
          <w:bCs/>
          <w:sz w:val="32"/>
          <w:szCs w:val="32"/>
        </w:rPr>
      </w:pPr>
      <w:bookmarkStart w:id="7" w:name="_Toc4472"/>
      <w:r>
        <w:rPr>
          <w:rFonts w:hint="eastAsia" w:ascii="仿宋" w:hAnsi="仿宋" w:eastAsia="仿宋" w:cs="仿宋"/>
          <w:b/>
          <w:bCs/>
          <w:sz w:val="32"/>
          <w:szCs w:val="32"/>
          <w:lang w:val="en-US" w:eastAsia="zh-CN"/>
        </w:rPr>
        <w:t>四、财政拨款收支预算情况说明</w:t>
      </w:r>
      <w:bookmarkEnd w:id="7"/>
    </w:p>
    <w:p>
      <w:pPr>
        <w:widowControl/>
        <w:pBdr>
          <w:bottom w:val="single" w:color="FFFFFF" w:sz="8" w:space="31"/>
        </w:pBdr>
        <w:shd w:val="clear" w:color="auto" w:fill="FFFFFF"/>
        <w:spacing w:line="580" w:lineRule="atLeast"/>
        <w:ind w:firstLine="640" w:firstLineChars="200"/>
        <w:rPr>
          <w:rFonts w:hint="eastAsia" w:ascii="仿宋_GB2312" w:hAnsi="Times New Roman" w:eastAsia="仿宋_GB2312" w:cs="仿宋_GB2312"/>
          <w:color w:val="333333"/>
          <w:kern w:val="0"/>
          <w:sz w:val="32"/>
          <w:szCs w:val="32"/>
          <w:shd w:val="clear" w:color="auto" w:fill="FFFFFF"/>
          <w:lang w:eastAsia="zh-CN" w:bidi="ar"/>
        </w:rPr>
      </w:pPr>
      <w:r>
        <w:rPr>
          <w:rFonts w:hint="eastAsia" w:ascii="仿宋" w:hAnsi="仿宋" w:eastAsia="仿宋" w:cs="仿宋"/>
          <w:sz w:val="32"/>
          <w:szCs w:val="32"/>
          <w:lang w:val="en-US" w:eastAsia="zh-CN"/>
        </w:rPr>
        <w:t>梅树小学2024年财政拨款收支预算总数388.71万元,比2023年收支预算总数减少30.33万元，主要原因是</w:t>
      </w:r>
      <w:r>
        <w:rPr>
          <w:rFonts w:hint="eastAsia" w:ascii="仿宋_GB2312" w:hAnsi="Times New Roman" w:eastAsia="仿宋_GB2312" w:cs="仿宋_GB2312"/>
          <w:color w:val="333333"/>
          <w:kern w:val="0"/>
          <w:sz w:val="32"/>
          <w:szCs w:val="32"/>
          <w:shd w:val="clear" w:color="auto" w:fill="FFFFFF"/>
          <w:lang w:eastAsia="zh-CN" w:bidi="ar"/>
        </w:rPr>
        <w:t>基本支出</w:t>
      </w:r>
      <w:r>
        <w:rPr>
          <w:rFonts w:hint="eastAsia" w:ascii="仿宋_GB2312" w:hAnsi="Times New Roman" w:eastAsia="仿宋_GB2312" w:cs="仿宋_GB2312"/>
          <w:color w:val="333333"/>
          <w:kern w:val="0"/>
          <w:sz w:val="32"/>
          <w:szCs w:val="32"/>
          <w:shd w:val="clear" w:color="auto" w:fill="FFFFFF"/>
          <w:lang w:bidi="ar"/>
        </w:rPr>
        <w:t>与</w:t>
      </w:r>
      <w:r>
        <w:rPr>
          <w:rFonts w:hint="eastAsia" w:ascii="仿宋_GB2312" w:hAnsi="Times New Roman" w:eastAsia="仿宋_GB2312" w:cs="仿宋_GB2312"/>
          <w:color w:val="333333"/>
          <w:kern w:val="0"/>
          <w:sz w:val="32"/>
          <w:szCs w:val="32"/>
          <w:shd w:val="clear" w:color="auto" w:fill="FFFFFF"/>
          <w:lang w:eastAsia="zh-CN" w:bidi="ar"/>
        </w:rPr>
        <w:t>项目支出</w:t>
      </w:r>
      <w:r>
        <w:rPr>
          <w:rFonts w:hint="eastAsia" w:ascii="仿宋_GB2312" w:hAnsi="Times New Roman" w:eastAsia="仿宋_GB2312" w:cs="仿宋_GB2312"/>
          <w:color w:val="333333"/>
          <w:kern w:val="0"/>
          <w:sz w:val="32"/>
          <w:szCs w:val="32"/>
          <w:shd w:val="clear" w:color="auto" w:fill="FFFFFF"/>
          <w:lang w:bidi="ar"/>
        </w:rPr>
        <w:t>减少</w:t>
      </w:r>
      <w:r>
        <w:rPr>
          <w:rFonts w:hint="eastAsia" w:ascii="仿宋_GB2312" w:hAnsi="Times New Roman" w:eastAsia="仿宋_GB2312" w:cs="仿宋_GB2312"/>
          <w:color w:val="333333"/>
          <w:kern w:val="0"/>
          <w:sz w:val="32"/>
          <w:szCs w:val="32"/>
          <w:shd w:val="clear" w:color="auto" w:fill="FFFFFF"/>
          <w:lang w:eastAsia="zh-CN" w:bidi="ar"/>
        </w:rPr>
        <w:t>。</w:t>
      </w:r>
    </w:p>
    <w:p>
      <w:pPr>
        <w:widowControl/>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收入包括：本年一般公共预算拨款收入388.71万元；支出包括：教育支出388.71万元。</w:t>
      </w:r>
    </w:p>
    <w:p>
      <w:pPr>
        <w:widowControl/>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p>
    <w:p>
      <w:pPr>
        <w:widowControl/>
        <w:numPr>
          <w:ilvl w:val="0"/>
          <w:numId w:val="2"/>
        </w:numPr>
        <w:pBdr>
          <w:bottom w:val="single" w:color="FFFFFF" w:sz="8" w:space="31"/>
        </w:pBdr>
        <w:shd w:val="clear" w:color="auto" w:fill="FFFFFF"/>
        <w:spacing w:line="580" w:lineRule="atLeast"/>
        <w:ind w:firstLine="643" w:firstLineChars="200"/>
        <w:outlineLvl w:val="0"/>
        <w:rPr>
          <w:rFonts w:hint="eastAsia" w:ascii="仿宋" w:hAnsi="仿宋" w:eastAsia="仿宋" w:cs="仿宋"/>
          <w:b/>
          <w:bCs/>
          <w:sz w:val="32"/>
          <w:szCs w:val="32"/>
          <w:lang w:val="en-US" w:eastAsia="zh-CN"/>
        </w:rPr>
      </w:pPr>
      <w:bookmarkStart w:id="8" w:name="_Toc6638"/>
      <w:r>
        <w:rPr>
          <w:rFonts w:hint="eastAsia" w:ascii="仿宋" w:hAnsi="仿宋" w:eastAsia="仿宋" w:cs="仿宋"/>
          <w:b/>
          <w:bCs/>
          <w:sz w:val="32"/>
          <w:szCs w:val="32"/>
          <w:lang w:val="en-US" w:eastAsia="zh-CN"/>
        </w:rPr>
        <w:t>一般公共预算当年拨款情况说明</w:t>
      </w:r>
      <w:bookmarkEnd w:id="8"/>
    </w:p>
    <w:p>
      <w:pPr>
        <w:widowControl/>
        <w:numPr>
          <w:ilvl w:val="0"/>
          <w:numId w:val="0"/>
        </w:numPr>
        <w:pBdr>
          <w:bottom w:val="single" w:color="FFFFFF" w:sz="8" w:space="31"/>
        </w:pBdr>
        <w:shd w:val="clear" w:color="auto" w:fill="FFFFFF"/>
        <w:spacing w:line="580" w:lineRule="atLeast"/>
        <w:ind w:firstLine="320" w:firstLineChars="100"/>
        <w:outlineLvl w:val="1"/>
        <w:rPr>
          <w:rFonts w:hint="eastAsia" w:ascii="仿宋" w:hAnsi="仿宋" w:eastAsia="仿宋" w:cs="仿宋"/>
          <w:sz w:val="32"/>
          <w:szCs w:val="32"/>
          <w:lang w:val="en-US" w:eastAsia="zh-CN"/>
        </w:rPr>
      </w:pPr>
      <w:bookmarkStart w:id="9" w:name="_Toc19851"/>
      <w:r>
        <w:rPr>
          <w:rFonts w:hint="eastAsia" w:ascii="仿宋" w:hAnsi="仿宋" w:eastAsia="仿宋" w:cs="仿宋"/>
          <w:sz w:val="32"/>
          <w:szCs w:val="32"/>
          <w:lang w:val="en-US" w:eastAsia="zh-CN"/>
        </w:rPr>
        <w:t>（一）一般公共预算当年拨款规模变化情况</w:t>
      </w:r>
      <w:bookmarkEnd w:id="9"/>
    </w:p>
    <w:p>
      <w:pPr>
        <w:widowControl/>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梅树小学2024年一般公共预算当年拨款388.71万元,比2023年收支预算总数减少30.33万元，主要原因是</w:t>
      </w:r>
      <w:r>
        <w:rPr>
          <w:rFonts w:hint="eastAsia" w:ascii="仿宋_GB2312" w:hAnsi="Times New Roman" w:eastAsia="仿宋_GB2312" w:cs="仿宋_GB2312"/>
          <w:color w:val="333333"/>
          <w:kern w:val="0"/>
          <w:sz w:val="32"/>
          <w:szCs w:val="32"/>
          <w:shd w:val="clear" w:color="auto" w:fill="FFFFFF"/>
          <w:lang w:eastAsia="zh-CN" w:bidi="ar"/>
        </w:rPr>
        <w:t>基本支出</w:t>
      </w:r>
      <w:r>
        <w:rPr>
          <w:rFonts w:hint="eastAsia" w:ascii="仿宋_GB2312" w:hAnsi="Times New Roman" w:eastAsia="仿宋_GB2312" w:cs="仿宋_GB2312"/>
          <w:color w:val="333333"/>
          <w:kern w:val="0"/>
          <w:sz w:val="32"/>
          <w:szCs w:val="32"/>
          <w:shd w:val="clear" w:color="auto" w:fill="FFFFFF"/>
          <w:lang w:bidi="ar"/>
        </w:rPr>
        <w:t>与</w:t>
      </w:r>
      <w:r>
        <w:rPr>
          <w:rFonts w:hint="eastAsia" w:ascii="仿宋_GB2312" w:hAnsi="Times New Roman" w:eastAsia="仿宋_GB2312" w:cs="仿宋_GB2312"/>
          <w:color w:val="333333"/>
          <w:kern w:val="0"/>
          <w:sz w:val="32"/>
          <w:szCs w:val="32"/>
          <w:shd w:val="clear" w:color="auto" w:fill="FFFFFF"/>
          <w:lang w:eastAsia="zh-CN" w:bidi="ar"/>
        </w:rPr>
        <w:t>项目支出</w:t>
      </w:r>
      <w:r>
        <w:rPr>
          <w:rFonts w:hint="eastAsia" w:ascii="仿宋_GB2312" w:hAnsi="Times New Roman" w:eastAsia="仿宋_GB2312" w:cs="仿宋_GB2312"/>
          <w:color w:val="333333"/>
          <w:kern w:val="0"/>
          <w:sz w:val="32"/>
          <w:szCs w:val="32"/>
          <w:shd w:val="clear" w:color="auto" w:fill="FFFFFF"/>
          <w:lang w:bidi="ar"/>
        </w:rPr>
        <w:t>减少</w:t>
      </w:r>
      <w:r>
        <w:rPr>
          <w:rFonts w:hint="eastAsia" w:ascii="仿宋_GB2312" w:hAnsi="Times New Roman" w:eastAsia="仿宋_GB2312" w:cs="仿宋_GB2312"/>
          <w:color w:val="333333"/>
          <w:kern w:val="0"/>
          <w:sz w:val="32"/>
          <w:szCs w:val="32"/>
          <w:shd w:val="clear" w:color="auto" w:fill="FFFFFF"/>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10" w:name="_Toc22697"/>
      <w:r>
        <w:rPr>
          <w:rFonts w:hint="eastAsia" w:ascii="仿宋" w:hAnsi="仿宋" w:eastAsia="仿宋" w:cs="仿宋"/>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一般公共服务支出388.71万元，占100%；教育支出388.71万元，占100%。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11" w:name="_Toc24226"/>
      <w:r>
        <w:rPr>
          <w:rFonts w:hint="eastAsia" w:ascii="仿宋" w:hAnsi="仿宋" w:eastAsia="仿宋" w:cs="仿宋"/>
          <w:sz w:val="32"/>
          <w:szCs w:val="32"/>
          <w:lang w:val="en-US" w:eastAsia="zh-CN"/>
        </w:rPr>
        <w:t>（三）一般公共预算当年拨款具体使用情况</w:t>
      </w:r>
      <w:bookmarkEnd w:id="11"/>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rPr>
      </w:pPr>
      <w:r>
        <w:rPr>
          <w:rFonts w:hint="eastAsia" w:ascii="仿宋" w:hAnsi="仿宋" w:eastAsia="仿宋" w:cs="仿宋"/>
          <w:sz w:val="32"/>
          <w:szCs w:val="32"/>
        </w:rPr>
        <w:t>教育支出（类）普通教育（款）小学教育（项）2023年预算数为</w:t>
      </w:r>
      <w:r>
        <w:rPr>
          <w:rFonts w:hint="eastAsia" w:ascii="仿宋" w:hAnsi="仿宋" w:eastAsia="仿宋" w:cs="仿宋"/>
          <w:sz w:val="32"/>
          <w:szCs w:val="32"/>
          <w:lang w:val="en-US" w:eastAsia="zh-CN"/>
        </w:rPr>
        <w:t>388.71</w:t>
      </w:r>
      <w:r>
        <w:rPr>
          <w:rFonts w:hint="eastAsia" w:ascii="仿宋" w:hAnsi="仿宋" w:eastAsia="仿宋" w:cs="仿宋"/>
          <w:sz w:val="32"/>
          <w:szCs w:val="32"/>
        </w:rPr>
        <w:t>万元，主要用于：本单位基本支出，包括基本工资、津贴补贴、基础绩效奖等人员经费以及机构运行所需的办公费、印刷费、维修（护）费、工会经费等运行补助经费</w:t>
      </w:r>
      <w:r>
        <w:rPr>
          <w:rFonts w:ascii="宋体" w:hAnsi="宋体" w:eastAsia="宋体" w:cs="宋体"/>
          <w:sz w:val="24"/>
          <w:szCs w:val="24"/>
        </w:rPr>
        <w:t>。</w:t>
      </w:r>
    </w:p>
    <w:p>
      <w:pPr>
        <w:widowControl/>
        <w:numPr>
          <w:ilvl w:val="0"/>
          <w:numId w:val="0"/>
        </w:numPr>
        <w:pBdr>
          <w:bottom w:val="single" w:color="FFFFFF" w:sz="8" w:space="31"/>
        </w:pBdr>
        <w:shd w:val="clear" w:color="auto" w:fill="FFFFFF"/>
        <w:spacing w:line="580" w:lineRule="atLeast"/>
        <w:rPr>
          <w:rFonts w:hint="eastAsia" w:ascii="仿宋" w:hAnsi="仿宋" w:eastAsia="仿宋" w:cs="仿宋"/>
          <w:sz w:val="32"/>
          <w:szCs w:val="32"/>
        </w:rPr>
      </w:pPr>
    </w:p>
    <w:p>
      <w:pPr>
        <w:widowControl/>
        <w:numPr>
          <w:ilvl w:val="0"/>
          <w:numId w:val="0"/>
        </w:numPr>
        <w:pBdr>
          <w:bottom w:val="single" w:color="FFFFFF" w:sz="8" w:space="31"/>
        </w:pBdr>
        <w:shd w:val="clear" w:color="auto" w:fill="FFFFFF"/>
        <w:spacing w:line="580" w:lineRule="atLeast"/>
        <w:ind w:firstLine="643" w:firstLineChars="200"/>
        <w:outlineLvl w:val="0"/>
        <w:rPr>
          <w:rFonts w:hint="eastAsia" w:ascii="仿宋" w:hAnsi="仿宋" w:eastAsia="仿宋" w:cs="仿宋"/>
          <w:b/>
          <w:bCs/>
          <w:sz w:val="32"/>
          <w:szCs w:val="32"/>
          <w:lang w:val="en-US" w:eastAsia="zh-CN"/>
        </w:rPr>
      </w:pPr>
      <w:bookmarkStart w:id="12" w:name="_Toc19246"/>
      <w:r>
        <w:rPr>
          <w:rFonts w:hint="eastAsia" w:ascii="仿宋" w:hAnsi="仿宋" w:eastAsia="仿宋" w:cs="仿宋"/>
          <w:b/>
          <w:bCs/>
          <w:sz w:val="32"/>
          <w:szCs w:val="32"/>
          <w:lang w:val="en-US" w:eastAsia="zh-CN"/>
        </w:rPr>
        <w:t>六、一般公共预算基本支出情况说明</w:t>
      </w:r>
      <w:bookmarkEnd w:id="12"/>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梅树小学2024年一般公共预算基本支出362.19万元，其中：人员经费362.19万元，主要包括：基本工资、津贴补贴、奖金、社会保险缴费、住房公积金、遗属补贴等支出。</w:t>
      </w:r>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p>
    <w:p>
      <w:pPr>
        <w:widowControl/>
        <w:numPr>
          <w:ilvl w:val="0"/>
          <w:numId w:val="3"/>
        </w:numPr>
        <w:pBdr>
          <w:bottom w:val="single" w:color="FFFFFF" w:sz="8" w:space="31"/>
        </w:pBdr>
        <w:shd w:val="clear" w:color="auto" w:fill="FFFFFF"/>
        <w:spacing w:line="580" w:lineRule="atLeast"/>
        <w:ind w:firstLine="643" w:firstLineChars="200"/>
        <w:outlineLvl w:val="0"/>
        <w:rPr>
          <w:rFonts w:hint="eastAsia" w:ascii="仿宋" w:hAnsi="仿宋" w:eastAsia="仿宋" w:cs="仿宋"/>
          <w:b/>
          <w:bCs/>
          <w:sz w:val="32"/>
          <w:szCs w:val="32"/>
          <w:lang w:val="en-US" w:eastAsia="zh-CN"/>
        </w:rPr>
      </w:pPr>
      <w:bookmarkStart w:id="13" w:name="_Toc27855"/>
      <w:r>
        <w:rPr>
          <w:rFonts w:hint="eastAsia" w:ascii="仿宋" w:hAnsi="仿宋" w:eastAsia="仿宋" w:cs="仿宋"/>
          <w:b/>
          <w:bCs/>
          <w:sz w:val="32"/>
          <w:szCs w:val="32"/>
          <w:lang w:val="en-US" w:eastAsia="zh-CN"/>
        </w:rPr>
        <w:t>“三公”经费财政拨款预算安排情况说明</w:t>
      </w:r>
      <w:bookmarkEnd w:id="13"/>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梅树小学2024年“三公”经费财政拨款预算数0万元，其中：公务接待费0万元，公务用车购置及运行维护费0万元，因公出国（境）经费0万元。</w:t>
      </w:r>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p>
    <w:p>
      <w:pPr>
        <w:widowControl/>
        <w:numPr>
          <w:ilvl w:val="0"/>
          <w:numId w:val="4"/>
        </w:numPr>
        <w:pBdr>
          <w:bottom w:val="single" w:color="FFFFFF" w:sz="8" w:space="31"/>
        </w:pBdr>
        <w:shd w:val="clear" w:color="auto" w:fill="FFFFFF"/>
        <w:spacing w:line="580" w:lineRule="atLeast"/>
        <w:ind w:firstLine="640" w:firstLineChars="200"/>
        <w:outlineLvl w:val="1"/>
        <w:rPr>
          <w:rFonts w:hint="eastAsia" w:ascii="仿宋" w:hAnsi="仿宋" w:eastAsia="仿宋" w:cs="仿宋"/>
          <w:sz w:val="32"/>
          <w:szCs w:val="32"/>
          <w:lang w:val="en-US" w:eastAsia="zh-CN"/>
        </w:rPr>
      </w:pPr>
      <w:bookmarkStart w:id="14" w:name="_Toc27149"/>
      <w:r>
        <w:rPr>
          <w:rFonts w:hint="eastAsia" w:ascii="仿宋" w:hAnsi="仿宋" w:eastAsia="仿宋" w:cs="仿宋"/>
          <w:sz w:val="32"/>
          <w:szCs w:val="32"/>
          <w:lang w:val="en-US" w:eastAsia="zh-CN"/>
        </w:rPr>
        <w:t>公务接待费</w:t>
      </w:r>
      <w:bookmarkEnd w:id="14"/>
    </w:p>
    <w:p>
      <w:pPr>
        <w:widowControl/>
        <w:numPr>
          <w:ilvl w:val="0"/>
          <w:numId w:val="0"/>
        </w:numPr>
        <w:pBdr>
          <w:bottom w:val="single" w:color="FFFFFF" w:sz="8" w:space="31"/>
        </w:pBdr>
        <w:shd w:val="clear" w:color="auto" w:fill="FFFFFF"/>
        <w:spacing w:line="580" w:lineRule="atLeas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公务接待费与2023年预算相比持平。</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15" w:name="_Toc17441"/>
      <w:r>
        <w:rPr>
          <w:rFonts w:hint="eastAsia" w:ascii="仿宋" w:hAnsi="仿宋" w:eastAsia="仿宋" w:cs="仿宋"/>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本单位2024年未安排公务用车购置及运行维护费。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本单位现有公务用车0辆。2024年安排公务用车购置费0万元。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bookmarkStart w:id="16" w:name="_Toc6121"/>
      <w:r>
        <w:rPr>
          <w:rFonts w:hint="eastAsia" w:ascii="仿宋" w:hAnsi="仿宋" w:eastAsia="仿宋" w:cs="仿宋"/>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本单位2024年未安排因公出国（境）经费。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17" w:name="_Toc12344"/>
      <w:r>
        <w:rPr>
          <w:rFonts w:hint="eastAsia" w:ascii="仿宋" w:hAnsi="仿宋" w:eastAsia="仿宋" w:cs="仿宋"/>
          <w:b/>
          <w:bCs/>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梅树小学2024年无政府性基金预算拨款安排的支出。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lang w:val="en-US" w:eastAsia="zh-CN"/>
        </w:rPr>
      </w:pPr>
      <w:bookmarkStart w:id="18" w:name="_Toc16196"/>
      <w:r>
        <w:rPr>
          <w:rFonts w:hint="eastAsia" w:ascii="仿宋" w:hAnsi="仿宋" w:eastAsia="仿宋" w:cs="仿宋"/>
          <w:b/>
          <w:bCs/>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梅树小学2024年无国有资本经营预算拨款安排的支出。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19" w:name="_Toc4456"/>
      <w:r>
        <w:rPr>
          <w:rFonts w:hint="eastAsia" w:ascii="仿宋" w:hAnsi="仿宋" w:eastAsia="仿宋" w:cs="仿宋"/>
          <w:b/>
          <w:bCs/>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20" w:name="_Toc18325"/>
      <w:r>
        <w:rPr>
          <w:rFonts w:hint="eastAsia" w:ascii="仿宋" w:hAnsi="仿宋" w:eastAsia="仿宋" w:cs="仿宋"/>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2024年，梅树小学机关运行经费财政拨款预算为0万元。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21" w:name="_Toc24563"/>
      <w:r>
        <w:rPr>
          <w:rFonts w:hint="eastAsia" w:ascii="仿宋" w:hAnsi="仿宋" w:eastAsia="仿宋" w:cs="仿宋"/>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2024年，梅树小学未安排政府采购预算。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lang w:val="en-US" w:eastAsia="zh-CN"/>
        </w:rPr>
      </w:pPr>
      <w:bookmarkStart w:id="22" w:name="_Toc25622"/>
      <w:r>
        <w:rPr>
          <w:rFonts w:hint="eastAsia" w:ascii="仿宋" w:hAnsi="仿宋" w:eastAsia="仿宋" w:cs="仿宋"/>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截至2023年底，梅树小学共有车辆0辆。单位价值200万元以上大型设备0台（套）。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2024年梅树小学预算安排车辆购置经费0万元。安排大型设备购置经费0万元。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rPr>
      </w:pPr>
      <w:bookmarkStart w:id="23" w:name="_Toc13866"/>
      <w:r>
        <w:rPr>
          <w:rFonts w:hint="eastAsia" w:ascii="仿宋" w:hAnsi="仿宋" w:eastAsia="仿宋" w:cs="仿宋"/>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2024年梅树小学开展绩效目标管理的项目4个，涉及预算26.52万元。其中：人员类项目0个，涉及预算 0万元；运转类项目4个，涉及预算26.52万元；特定目标类项目0个，涉及预算0万元。因部分项目内容涉密，不予公开。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仿宋" w:hAnsi="仿宋" w:eastAsia="仿宋" w:cs="仿宋"/>
          <w:b/>
          <w:bCs/>
          <w:sz w:val="32"/>
          <w:szCs w:val="32"/>
        </w:rPr>
      </w:pPr>
      <w:bookmarkStart w:id="24" w:name="_Toc4584"/>
      <w:r>
        <w:rPr>
          <w:rFonts w:hint="eastAsia" w:ascii="仿宋" w:hAnsi="仿宋" w:eastAsia="仿宋" w:cs="仿宋"/>
          <w:b/>
          <w:bCs/>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（一）财政拨款收入:指</w:t>
      </w:r>
      <w:bookmarkStart w:id="26" w:name="_GoBack"/>
      <w:bookmarkEnd w:id="26"/>
      <w:r>
        <w:rPr>
          <w:rFonts w:hint="eastAsia" w:ascii="仿宋" w:hAnsi="仿宋" w:eastAsia="仿宋" w:cs="仿宋"/>
          <w:sz w:val="32"/>
          <w:szCs w:val="32"/>
        </w:rPr>
        <w:t>财政当年安排的财政预算收入。按现行管理制度,部门预算中反映的财政拨款包括一般公共预算拨款和政府性基金预算拨款。</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（二）事业收入：指事业单位开展专业业务活动及辅助活动所取得的收入。主要为学校根据国家有关部门批准的项目和标准收取的学费、住宿费等。</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）教育支出（类）普通教育（款）小学教育（项）：指全区小学教育发展的基本支出，包括基本工资、津贴补贴等人员经费以及办公费、印刷费、水电费等日常公用经费。</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（四）基本支出：指为保证机构正常运转，完成日常工作任务而发生的人员支出和公用支出。</w:t>
      </w:r>
      <w:r>
        <w:rPr>
          <w:rFonts w:hint="eastAsia" w:ascii="仿宋" w:hAnsi="仿宋" w:eastAsia="仿宋" w:cs="仿宋"/>
          <w:sz w:val="32"/>
          <w:szCs w:val="32"/>
        </w:rPr>
        <w:br w:type="textWrapping"/>
      </w:r>
      <w:r>
        <w:rPr>
          <w:rFonts w:hint="eastAsia" w:ascii="仿宋" w:hAnsi="仿宋" w:eastAsia="仿宋" w:cs="仿宋"/>
          <w:sz w:val="32"/>
          <w:szCs w:val="32"/>
        </w:rPr>
        <w:t>　　（五）项目支出：指在基本支出之外为完成特定行政任务和事业发展目标所发生的支出。</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六</w:t>
      </w:r>
      <w:r>
        <w:rPr>
          <w:rFonts w:hint="eastAsia" w:ascii="仿宋" w:hAnsi="仿宋" w:eastAsia="仿宋" w:cs="仿宋"/>
          <w:sz w:val="32"/>
          <w:szCs w:val="32"/>
        </w:rPr>
        <w:t>）“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rPr>
        <w:br w:type="textWrapping"/>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附件：1.预算公开报表</w:t>
      </w:r>
    </w:p>
    <w:p>
      <w:pPr>
        <w:keepNext w:val="0"/>
        <w:keepLines w:val="0"/>
        <w:pageBreakBefore w:val="0"/>
        <w:widowControl w:val="0"/>
        <w:numPr>
          <w:ilvl w:val="0"/>
          <w:numId w:val="6"/>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 w:hAnsi="仿宋" w:eastAsia="仿宋" w:cs="仿宋"/>
          <w:sz w:val="32"/>
          <w:szCs w:val="32"/>
          <w:lang w:val="en-US" w:eastAsia="zh-CN"/>
        </w:rPr>
      </w:pPr>
      <w:bookmarkStart w:id="25" w:name="_Toc111"/>
      <w:r>
        <w:rPr>
          <w:rFonts w:hint="eastAsia" w:ascii="仿宋" w:hAnsi="仿宋" w:eastAsia="仿宋" w:cs="仿宋"/>
          <w:sz w:val="32"/>
          <w:szCs w:val="32"/>
          <w:lang w:val="en-US" w:eastAsia="zh-CN"/>
        </w:rPr>
        <w:t>项目支出绩效目标表</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15F48"/>
    <w:multiLevelType w:val="singleLevel"/>
    <w:tmpl w:val="A8C15F48"/>
    <w:lvl w:ilvl="0" w:tentative="0">
      <w:start w:val="1"/>
      <w:numFmt w:val="chineseCounting"/>
      <w:suff w:val="nothing"/>
      <w:lvlText w:val="（%1）"/>
      <w:lvlJc w:val="left"/>
      <w:rPr>
        <w:rFonts w:hint="eastAsia"/>
      </w:rPr>
    </w:lvl>
  </w:abstractNum>
  <w:abstractNum w:abstractNumId="1">
    <w:nsid w:val="BACE60A3"/>
    <w:multiLevelType w:val="singleLevel"/>
    <w:tmpl w:val="BACE60A3"/>
    <w:lvl w:ilvl="0" w:tentative="0">
      <w:start w:val="5"/>
      <w:numFmt w:val="chineseCounting"/>
      <w:suff w:val="nothing"/>
      <w:lvlText w:val="%1、"/>
      <w:lvlJc w:val="left"/>
      <w:rPr>
        <w:rFonts w:hint="eastAsia"/>
      </w:rPr>
    </w:lvl>
  </w:abstractNum>
  <w:abstractNum w:abstractNumId="2">
    <w:nsid w:val="1E83E49C"/>
    <w:multiLevelType w:val="singleLevel"/>
    <w:tmpl w:val="1E83E49C"/>
    <w:lvl w:ilvl="0" w:tentative="0">
      <w:start w:val="7"/>
      <w:numFmt w:val="chineseCounting"/>
      <w:suff w:val="nothing"/>
      <w:lvlText w:val="%1、"/>
      <w:lvlJc w:val="left"/>
      <w:rPr>
        <w:rFonts w:hint="eastAsia"/>
      </w:rPr>
    </w:lvl>
  </w:abstractNum>
  <w:abstractNum w:abstractNumId="3">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4">
    <w:nsid w:val="4A05A754"/>
    <w:multiLevelType w:val="singleLevel"/>
    <w:tmpl w:val="4A05A754"/>
    <w:lvl w:ilvl="0" w:tentative="0">
      <w:start w:val="1"/>
      <w:numFmt w:val="chineseCounting"/>
      <w:suff w:val="nothing"/>
      <w:lvlText w:val="（%1）"/>
      <w:lvlJc w:val="left"/>
      <w:rPr>
        <w:rFonts w:hint="eastAsia"/>
      </w:rPr>
    </w:lvl>
  </w:abstractNum>
  <w:abstractNum w:abstractNumId="5">
    <w:nsid w:val="5BFCE1D6"/>
    <w:multiLevelType w:val="singleLevel"/>
    <w:tmpl w:val="5BFCE1D6"/>
    <w:lvl w:ilvl="0" w:tentative="0">
      <w:start w:val="2"/>
      <w:numFmt w:val="chineseCounting"/>
      <w:suff w:val="nothing"/>
      <w:lvlText w:val="（%1）"/>
      <w:lvlJc w:val="left"/>
      <w:rPr>
        <w:rFonts w:hint="eastAsia"/>
      </w:rPr>
    </w:lvl>
  </w:abstractNum>
  <w:num w:numId="1">
    <w:abstractNumId w:val="4"/>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4E427A1"/>
    <w:rsid w:val="068B579C"/>
    <w:rsid w:val="08393F21"/>
    <w:rsid w:val="08DC7F36"/>
    <w:rsid w:val="0A654C9E"/>
    <w:rsid w:val="0DE72AC0"/>
    <w:rsid w:val="19756234"/>
    <w:rsid w:val="1F50313F"/>
    <w:rsid w:val="1F7BF06F"/>
    <w:rsid w:val="1FEE4B73"/>
    <w:rsid w:val="23CE9849"/>
    <w:rsid w:val="252405B5"/>
    <w:rsid w:val="259C4B25"/>
    <w:rsid w:val="29FE74E0"/>
    <w:rsid w:val="2AD30B3C"/>
    <w:rsid w:val="30306BED"/>
    <w:rsid w:val="30DC0767"/>
    <w:rsid w:val="349006BC"/>
    <w:rsid w:val="39F304DD"/>
    <w:rsid w:val="3EDB00C8"/>
    <w:rsid w:val="3F420A4D"/>
    <w:rsid w:val="3FC34216"/>
    <w:rsid w:val="40326548"/>
    <w:rsid w:val="41200E85"/>
    <w:rsid w:val="41A2189A"/>
    <w:rsid w:val="4C0C5324"/>
    <w:rsid w:val="5275265D"/>
    <w:rsid w:val="54244390"/>
    <w:rsid w:val="54662A63"/>
    <w:rsid w:val="55D53DAD"/>
    <w:rsid w:val="56533339"/>
    <w:rsid w:val="58064E12"/>
    <w:rsid w:val="5BFEE015"/>
    <w:rsid w:val="63EDCF55"/>
    <w:rsid w:val="63FBFBCF"/>
    <w:rsid w:val="669360FD"/>
    <w:rsid w:val="68FF6A83"/>
    <w:rsid w:val="6E3953CF"/>
    <w:rsid w:val="6FBBC9CF"/>
    <w:rsid w:val="72BDE561"/>
    <w:rsid w:val="78462278"/>
    <w:rsid w:val="79614AE0"/>
    <w:rsid w:val="79727E4C"/>
    <w:rsid w:val="7997EA6C"/>
    <w:rsid w:val="7AEAE675"/>
    <w:rsid w:val="7BAFCE5D"/>
    <w:rsid w:val="7BB90D13"/>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4">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uiPriority w:val="0"/>
    <w:pPr>
      <w:ind w:left="420" w:leftChars="200"/>
    </w:pPr>
  </w:style>
  <w:style w:type="paragraph" w:styleId="5">
    <w:name w:val="caption"/>
    <w:basedOn w:val="1"/>
    <w:autoRedefine/>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autoRedefine/>
    <w:qFormat/>
    <w:uiPriority w:val="0"/>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6"/>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uiPriority w:val="0"/>
    <w:pPr>
      <w:ind w:leftChars="0"/>
    </w:pPr>
    <w:rPr>
      <w:rFonts w:ascii="Times New Roman" w:hAnsi="Times New Roman" w:eastAsia="宋体" w:cs="Times New Roman"/>
      <w:sz w:val="20"/>
      <w:szCs w:val="20"/>
    </w:rPr>
  </w:style>
  <w:style w:type="paragraph" w:customStyle="1" w:styleId="17">
    <w:name w:val="WPSOffice手动目录 2"/>
    <w:autoRedefine/>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43</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