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3ED9F1">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0" w:name="_Toc20399"/>
      <w:bookmarkStart w:id="1" w:name="_Toc22212"/>
      <w:bookmarkStart w:id="2" w:name="_Toc21532"/>
      <w:bookmarkStart w:id="3" w:name="_Toc16770"/>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广元市昭化区柏林沟镇文村小学</w:t>
      </w:r>
      <w:bookmarkEnd w:id="0"/>
      <w:bookmarkEnd w:id="1"/>
      <w:bookmarkEnd w:id="2"/>
      <w:bookmarkEnd w:id="3"/>
    </w:p>
    <w:p w14:paraId="1AA68F82">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pPr>
      <w:bookmarkStart w:id="4" w:name="_Toc4841"/>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2024年单位预算编制说明</w:t>
      </w:r>
      <w:bookmarkEnd w:id="4"/>
    </w:p>
    <w:sdt>
      <w:sdtPr>
        <w:rPr>
          <w:rFonts w:hint="eastAsia" w:ascii="仿宋" w:hAnsi="仿宋" w:eastAsia="仿宋" w:cs="仿宋"/>
          <w:color w:val="auto"/>
          <w:kern w:val="2"/>
          <w:sz w:val="32"/>
          <w:szCs w:val="32"/>
          <w:lang w:val="en-US" w:eastAsia="zh-CN" w:bidi="ar-SA"/>
        </w:rPr>
        <w:id w:val="147461259"/>
        <w15:color w:val="DBDBDB"/>
        <w:docPartObj>
          <w:docPartGallery w:val="Table of Contents"/>
          <w:docPartUnique/>
        </w:docPartObj>
      </w:sdtPr>
      <w:sdtEndPr>
        <w:rPr>
          <w:rFonts w:hint="eastAsia" w:ascii="仿宋" w:hAnsi="仿宋" w:eastAsia="仿宋" w:cs="仿宋"/>
          <w:b/>
          <w:color w:val="auto"/>
          <w:kern w:val="2"/>
          <w:sz w:val="32"/>
          <w:szCs w:val="32"/>
          <w:lang w:val="en-US" w:eastAsia="zh-CN" w:bidi="ar-SA"/>
        </w:rPr>
      </w:sdtEndPr>
      <w:sdtContent>
        <w:p w14:paraId="3912CC48">
          <w:pPr>
            <w:spacing w:before="0" w:beforeLines="0" w:after="0" w:afterLines="0" w:line="240" w:lineRule="auto"/>
            <w:ind w:left="0" w:leftChars="0" w:right="0" w:rightChars="0" w:firstLine="0" w:firstLineChars="0"/>
            <w:jc w:val="center"/>
            <w:rPr>
              <w:rFonts w:hint="eastAsia" w:ascii="仿宋" w:hAnsi="仿宋" w:eastAsia="仿宋" w:cs="仿宋"/>
              <w:sz w:val="32"/>
              <w:szCs w:val="32"/>
            </w:rPr>
          </w:pPr>
          <w:bookmarkStart w:id="5" w:name="_Toc9023"/>
          <w:bookmarkStart w:id="6" w:name="_Toc21136"/>
          <w:bookmarkStart w:id="7" w:name="_Toc18925"/>
          <w:r>
            <w:rPr>
              <w:rFonts w:hint="eastAsia" w:ascii="仿宋" w:hAnsi="仿宋" w:eastAsia="仿宋" w:cs="仿宋"/>
              <w:sz w:val="32"/>
              <w:szCs w:val="32"/>
            </w:rPr>
            <w:t>目录</w:t>
          </w:r>
        </w:p>
        <w:p w14:paraId="3B4FF31F">
          <w:pPr>
            <w:pStyle w:val="15"/>
            <w:tabs>
              <w:tab w:val="right" w:leader="dot" w:pos="8845"/>
            </w:tabs>
            <w:rPr>
              <w:rFonts w:hint="eastAsia" w:ascii="仿宋" w:hAnsi="仿宋" w:eastAsia="仿宋" w:cs="仿宋"/>
              <w:b/>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TOC \o "1-2" \h \u </w:instrText>
          </w:r>
          <w:r>
            <w:rPr>
              <w:rFonts w:hint="eastAsia" w:ascii="仿宋" w:hAnsi="仿宋" w:eastAsia="仿宋" w:cs="仿宋"/>
              <w:sz w:val="32"/>
              <w:szCs w:val="32"/>
            </w:rPr>
            <w:fldChar w:fldCharType="separate"/>
          </w:r>
        </w:p>
        <w:p w14:paraId="1882ECA7">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_Toc707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一、基本职能及主要工作</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_Toc707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3</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324669D3">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_Toc26171 </w:instrText>
          </w:r>
          <w:r>
            <w:rPr>
              <w:rFonts w:hint="eastAsia" w:ascii="仿宋" w:hAnsi="仿宋" w:eastAsia="仿宋" w:cs="仿宋"/>
              <w:sz w:val="32"/>
              <w:szCs w:val="32"/>
            </w:rPr>
            <w:fldChar w:fldCharType="separate"/>
          </w:r>
          <w:r>
            <w:rPr>
              <w:rFonts w:hint="eastAsia" w:ascii="仿宋" w:hAnsi="仿宋" w:eastAsia="仿宋" w:cs="仿宋"/>
              <w:sz w:val="32"/>
              <w:szCs w:val="32"/>
            </w:rPr>
            <w:t>（一）</w:t>
          </w:r>
          <w:r>
            <w:rPr>
              <w:rFonts w:hint="eastAsia" w:ascii="仿宋" w:hAnsi="仿宋" w:eastAsia="仿宋" w:cs="仿宋"/>
              <w:sz w:val="32"/>
              <w:szCs w:val="32"/>
              <w:lang w:val="en-US" w:eastAsia="zh-CN"/>
            </w:rPr>
            <w:t>单位</w:t>
          </w:r>
          <w:r>
            <w:rPr>
              <w:rFonts w:hint="eastAsia" w:ascii="仿宋" w:hAnsi="仿宋" w:eastAsia="仿宋" w:cs="仿宋"/>
              <w:sz w:val="32"/>
              <w:szCs w:val="32"/>
            </w:rPr>
            <w:t>职能简介</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_Toc26171 \h </w:instrText>
          </w:r>
          <w:r>
            <w:rPr>
              <w:rFonts w:hint="eastAsia" w:ascii="仿宋" w:hAnsi="仿宋" w:eastAsia="仿宋" w:cs="仿宋"/>
              <w:sz w:val="32"/>
              <w:szCs w:val="32"/>
            </w:rPr>
            <w:fldChar w:fldCharType="separate"/>
          </w:r>
          <w:r>
            <w:rPr>
              <w:rFonts w:hint="eastAsia" w:ascii="仿宋" w:hAnsi="仿宋" w:eastAsia="仿宋" w:cs="仿宋"/>
              <w:sz w:val="32"/>
              <w:szCs w:val="32"/>
            </w:rPr>
            <w:t>3</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7020317">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_Toc17713 </w:instrText>
          </w:r>
          <w:r>
            <w:rPr>
              <w:rFonts w:hint="eastAsia" w:ascii="仿宋" w:hAnsi="仿宋" w:eastAsia="仿宋" w:cs="仿宋"/>
              <w:sz w:val="32"/>
              <w:szCs w:val="32"/>
            </w:rPr>
            <w:fldChar w:fldCharType="separate"/>
          </w:r>
          <w:r>
            <w:rPr>
              <w:rFonts w:hint="eastAsia" w:ascii="仿宋" w:hAnsi="仿宋" w:eastAsia="仿宋" w:cs="仿宋"/>
              <w:sz w:val="32"/>
              <w:szCs w:val="32"/>
            </w:rPr>
            <w:t>（二）</w:t>
          </w:r>
          <w:r>
            <w:rPr>
              <w:rFonts w:hint="eastAsia" w:ascii="仿宋" w:hAnsi="仿宋" w:eastAsia="仿宋" w:cs="仿宋"/>
              <w:sz w:val="32"/>
              <w:szCs w:val="32"/>
              <w:lang w:val="en-US" w:eastAsia="zh-CN"/>
            </w:rPr>
            <w:t>单位</w:t>
          </w:r>
          <w:r>
            <w:rPr>
              <w:rFonts w:hint="eastAsia" w:ascii="仿宋" w:hAnsi="仿宋" w:eastAsia="仿宋" w:cs="仿宋"/>
              <w:sz w:val="32"/>
              <w:szCs w:val="32"/>
              <w:lang w:val="en-US"/>
            </w:rPr>
            <w:t>2024</w:t>
          </w:r>
          <w:r>
            <w:rPr>
              <w:rFonts w:hint="eastAsia" w:ascii="仿宋" w:hAnsi="仿宋" w:eastAsia="仿宋" w:cs="仿宋"/>
              <w:sz w:val="32"/>
              <w:szCs w:val="32"/>
            </w:rPr>
            <w:t>年重点工作</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_Toc17713 \h </w:instrText>
          </w:r>
          <w:r>
            <w:rPr>
              <w:rFonts w:hint="eastAsia" w:ascii="仿宋" w:hAnsi="仿宋" w:eastAsia="仿宋" w:cs="仿宋"/>
              <w:sz w:val="32"/>
              <w:szCs w:val="32"/>
            </w:rPr>
            <w:fldChar w:fldCharType="separate"/>
          </w:r>
          <w:r>
            <w:rPr>
              <w:rFonts w:hint="eastAsia" w:ascii="仿宋" w:hAnsi="仿宋" w:eastAsia="仿宋" w:cs="仿宋"/>
              <w:sz w:val="32"/>
              <w:szCs w:val="32"/>
            </w:rPr>
            <w:t>4</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0952937B">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_Toc12036 </w:instrText>
          </w:r>
          <w:r>
            <w:rPr>
              <w:rFonts w:hint="eastAsia" w:ascii="仿宋" w:hAnsi="仿宋" w:eastAsia="仿宋" w:cs="仿宋"/>
              <w:b/>
              <w:sz w:val="32"/>
              <w:szCs w:val="32"/>
            </w:rPr>
            <w:fldChar w:fldCharType="separate"/>
          </w:r>
          <w:r>
            <w:rPr>
              <w:rFonts w:hint="eastAsia" w:ascii="仿宋" w:hAnsi="仿宋" w:eastAsia="仿宋" w:cs="仿宋"/>
              <w:b/>
              <w:i w:val="0"/>
              <w:caps w:val="0"/>
              <w:spacing w:val="0"/>
              <w:kern w:val="0"/>
              <w:sz w:val="32"/>
              <w:szCs w:val="32"/>
              <w:shd w:val="clear" w:fill="FFFFFF"/>
              <w:lang w:val="en-US" w:eastAsia="zh-CN" w:bidi="ar"/>
            </w:rPr>
            <w:t xml:space="preserve">二、 </w:t>
          </w:r>
          <w:r>
            <w:rPr>
              <w:rFonts w:hint="eastAsia" w:ascii="仿宋" w:hAnsi="仿宋" w:eastAsia="仿宋" w:cs="仿宋"/>
              <w:b/>
              <w:sz w:val="32"/>
              <w:szCs w:val="32"/>
              <w:lang w:val="en-US" w:eastAsia="zh-CN"/>
            </w:rPr>
            <w:t>部门预算单位构成</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_Toc12036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17C6AD5A">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_Toc12001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三、 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_Toc12001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8</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3A52BB53">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_Toc1017 </w:instrText>
          </w:r>
          <w:r>
            <w:rPr>
              <w:rFonts w:hint="eastAsia" w:ascii="仿宋" w:hAnsi="仿宋" w:eastAsia="仿宋" w:cs="仿宋"/>
              <w:sz w:val="32"/>
              <w:szCs w:val="32"/>
            </w:rPr>
            <w:fldChar w:fldCharType="separate"/>
          </w:r>
          <w:r>
            <w:rPr>
              <w:rFonts w:hint="eastAsia" w:ascii="仿宋" w:hAnsi="仿宋" w:eastAsia="仿宋" w:cs="仿宋"/>
              <w:i w:val="0"/>
              <w:caps w:val="0"/>
              <w:spacing w:val="0"/>
              <w:kern w:val="0"/>
              <w:sz w:val="32"/>
              <w:szCs w:val="32"/>
              <w:shd w:val="clear" w:color="auto" w:fill="FFFFFF"/>
              <w:lang w:val="en-US" w:eastAsia="zh-CN" w:bidi="ar"/>
            </w:rPr>
            <w:t>（一）收入预算情况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_Toc1017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756A33B">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_Toc23385 </w:instrText>
          </w:r>
          <w:r>
            <w:rPr>
              <w:rFonts w:hint="eastAsia" w:ascii="仿宋" w:hAnsi="仿宋" w:eastAsia="仿宋" w:cs="仿宋"/>
              <w:sz w:val="32"/>
              <w:szCs w:val="32"/>
            </w:rPr>
            <w:fldChar w:fldCharType="separate"/>
          </w:r>
          <w:r>
            <w:rPr>
              <w:rFonts w:hint="eastAsia" w:ascii="仿宋" w:hAnsi="仿宋" w:eastAsia="仿宋" w:cs="仿宋"/>
              <w:i w:val="0"/>
              <w:caps w:val="0"/>
              <w:spacing w:val="0"/>
              <w:kern w:val="0"/>
              <w:sz w:val="32"/>
              <w:szCs w:val="32"/>
              <w:shd w:val="clear" w:color="auto" w:fill="FFFFFF"/>
              <w:lang w:val="en-US" w:eastAsia="zh-CN" w:bidi="ar"/>
            </w:rPr>
            <w:t>（二）支出预算情况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_Toc23385 \h </w:instrText>
          </w:r>
          <w:r>
            <w:rPr>
              <w:rFonts w:hint="eastAsia" w:ascii="仿宋" w:hAnsi="仿宋" w:eastAsia="仿宋" w:cs="仿宋"/>
              <w:sz w:val="32"/>
              <w:szCs w:val="32"/>
            </w:rPr>
            <w:fldChar w:fldCharType="separate"/>
          </w:r>
          <w:r>
            <w:rPr>
              <w:rFonts w:hint="eastAsia" w:ascii="仿宋" w:hAnsi="仿宋" w:eastAsia="仿宋" w:cs="仿宋"/>
              <w:sz w:val="32"/>
              <w:szCs w:val="32"/>
            </w:rPr>
            <w:t>8</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75CD3D4E">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_Toc4912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四、 财政拨款收支预算情况说明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_Toc4912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77453490">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_Toc11250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五、一般公共预算当年拨款情况说明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_Toc11250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9</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3B4206E8">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_Toc29261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（一）一般公共预算当年拨款规模变化情况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_Toc29261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579C297">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_Toc14606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 一般公共预算当年拨款结构情况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_Toc14606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4131DA2C">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_Toc29762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（三）一般公共预算当年拨款具体使用情况</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_Toc29762 \h </w:instrText>
          </w:r>
          <w:r>
            <w:rPr>
              <w:rFonts w:hint="eastAsia" w:ascii="仿宋" w:hAnsi="仿宋" w:eastAsia="仿宋" w:cs="仿宋"/>
              <w:sz w:val="32"/>
              <w:szCs w:val="32"/>
            </w:rPr>
            <w:fldChar w:fldCharType="separate"/>
          </w:r>
          <w:r>
            <w:rPr>
              <w:rFonts w:hint="eastAsia" w:ascii="仿宋" w:hAnsi="仿宋" w:eastAsia="仿宋" w:cs="仿宋"/>
              <w:sz w:val="32"/>
              <w:szCs w:val="32"/>
            </w:rPr>
            <w:t>9</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321F8196">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_Toc15725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六、一般公共预算基本支出情况说明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_Toc15725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5CD37371">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_Toc13834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七、“三公”经费财政拨款预算安排情况说明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_Toc13834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0C9727A1">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_Toc17036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（一）公务接待费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_Toc17036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62E5258F">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_Toc8681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（二）公务用车购置及运行维护费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_Toc8681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2B31BFD4">
          <w:pPr>
            <w:pStyle w:val="16"/>
            <w:tabs>
              <w:tab w:val="right" w:leader="dot" w:pos="8845"/>
            </w:tabs>
            <w:rPr>
              <w:rFonts w:hint="eastAsia" w:ascii="仿宋" w:hAnsi="仿宋" w:eastAsia="仿宋" w:cs="仿宋"/>
              <w:sz w:val="32"/>
              <w:szCs w:val="32"/>
            </w:rPr>
          </w:pP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\l _Toc9719 </w:instrText>
          </w:r>
          <w:r>
            <w:rPr>
              <w:rFonts w:hint="eastAsia" w:ascii="仿宋" w:hAnsi="仿宋" w:eastAsia="仿宋" w:cs="仿宋"/>
              <w:sz w:val="32"/>
              <w:szCs w:val="32"/>
            </w:rPr>
            <w:fldChar w:fldCharType="separate"/>
          </w:r>
          <w:r>
            <w:rPr>
              <w:rFonts w:hint="eastAsia" w:ascii="仿宋" w:hAnsi="仿宋" w:eastAsia="仿宋" w:cs="仿宋"/>
              <w:sz w:val="32"/>
              <w:szCs w:val="32"/>
              <w:lang w:val="en-US" w:eastAsia="zh-CN"/>
            </w:rPr>
            <w:t>（三）因公出国（境）经费</w:t>
          </w:r>
          <w:r>
            <w:rPr>
              <w:rFonts w:hint="eastAsia" w:ascii="仿宋" w:hAnsi="仿宋" w:eastAsia="仿宋" w:cs="仿宋"/>
              <w:sz w:val="32"/>
              <w:szCs w:val="32"/>
            </w:rPr>
            <w:tab/>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PAGEREF _Toc9719 \h </w:instrText>
          </w:r>
          <w:r>
            <w:rPr>
              <w:rFonts w:hint="eastAsia" w:ascii="仿宋" w:hAnsi="仿宋" w:eastAsia="仿宋" w:cs="仿宋"/>
              <w:sz w:val="32"/>
              <w:szCs w:val="32"/>
            </w:rPr>
            <w:fldChar w:fldCharType="separate"/>
          </w:r>
          <w:r>
            <w:rPr>
              <w:rFonts w:hint="eastAsia" w:ascii="仿宋" w:hAnsi="仿宋" w:eastAsia="仿宋" w:cs="仿宋"/>
              <w:sz w:val="32"/>
              <w:szCs w:val="32"/>
            </w:rPr>
            <w:t>10</w:t>
          </w:r>
          <w:r>
            <w:rPr>
              <w:rFonts w:hint="eastAsia" w:ascii="仿宋" w:hAnsi="仿宋" w:eastAsia="仿宋" w:cs="仿宋"/>
              <w:sz w:val="32"/>
              <w:szCs w:val="32"/>
            </w:rPr>
            <w:fldChar w:fldCharType="end"/>
          </w:r>
          <w:r>
            <w:rPr>
              <w:rFonts w:hint="eastAsia" w:ascii="仿宋" w:hAnsi="仿宋" w:eastAsia="仿宋" w:cs="仿宋"/>
              <w:sz w:val="32"/>
              <w:szCs w:val="32"/>
            </w:rPr>
            <w:fldChar w:fldCharType="end"/>
          </w:r>
        </w:p>
        <w:p w14:paraId="12243350">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_Toc17678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八、政府性基金预算支出情况说明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_Toc17678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4DE92FAB">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_Toc32709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九、国有资本经营预算支出情况说明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_Toc32709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10</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7E46443C">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_Toc7899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十、其他重要事项的情况说明</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_Toc7899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11</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28A3ABAB">
          <w:pPr>
            <w:pStyle w:val="15"/>
            <w:tabs>
              <w:tab w:val="right" w:leader="dot" w:pos="8845"/>
            </w:tabs>
            <w:rPr>
              <w:rFonts w:hint="eastAsia" w:ascii="仿宋" w:hAnsi="仿宋" w:eastAsia="仿宋" w:cs="仿宋"/>
              <w:b/>
              <w:sz w:val="32"/>
              <w:szCs w:val="32"/>
            </w:rPr>
          </w:pP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HYPERLINK \l _Toc27500 </w:instrText>
          </w:r>
          <w:r>
            <w:rPr>
              <w:rFonts w:hint="eastAsia" w:ascii="仿宋" w:hAnsi="仿宋" w:eastAsia="仿宋" w:cs="仿宋"/>
              <w:b/>
              <w:sz w:val="32"/>
              <w:szCs w:val="32"/>
            </w:rPr>
            <w:fldChar w:fldCharType="separate"/>
          </w:r>
          <w:r>
            <w:rPr>
              <w:rFonts w:hint="eastAsia" w:ascii="仿宋" w:hAnsi="仿宋" w:eastAsia="仿宋" w:cs="仿宋"/>
              <w:b/>
              <w:sz w:val="32"/>
              <w:szCs w:val="32"/>
              <w:lang w:val="en-US" w:eastAsia="zh-CN"/>
            </w:rPr>
            <w:t>十一、 名词解释</w:t>
          </w:r>
          <w:r>
            <w:rPr>
              <w:rFonts w:hint="eastAsia" w:ascii="仿宋" w:hAnsi="仿宋" w:eastAsia="仿宋" w:cs="仿宋"/>
              <w:b/>
              <w:sz w:val="32"/>
              <w:szCs w:val="32"/>
            </w:rPr>
            <w:tab/>
          </w:r>
          <w:r>
            <w:rPr>
              <w:rFonts w:hint="eastAsia" w:ascii="仿宋" w:hAnsi="仿宋" w:eastAsia="仿宋" w:cs="仿宋"/>
              <w:b/>
              <w:sz w:val="32"/>
              <w:szCs w:val="32"/>
            </w:rPr>
            <w:fldChar w:fldCharType="begin"/>
          </w:r>
          <w:r>
            <w:rPr>
              <w:rFonts w:hint="eastAsia" w:ascii="仿宋" w:hAnsi="仿宋" w:eastAsia="仿宋" w:cs="仿宋"/>
              <w:b/>
              <w:sz w:val="32"/>
              <w:szCs w:val="32"/>
            </w:rPr>
            <w:instrText xml:space="preserve"> PAGEREF _Toc27500 \h </w:instrText>
          </w:r>
          <w:r>
            <w:rPr>
              <w:rFonts w:hint="eastAsia" w:ascii="仿宋" w:hAnsi="仿宋" w:eastAsia="仿宋" w:cs="仿宋"/>
              <w:b/>
              <w:sz w:val="32"/>
              <w:szCs w:val="32"/>
            </w:rPr>
            <w:fldChar w:fldCharType="separate"/>
          </w:r>
          <w:r>
            <w:rPr>
              <w:rFonts w:hint="eastAsia" w:ascii="仿宋" w:hAnsi="仿宋" w:eastAsia="仿宋" w:cs="仿宋"/>
              <w:b/>
              <w:sz w:val="32"/>
              <w:szCs w:val="32"/>
            </w:rPr>
            <w:t>11</w:t>
          </w:r>
          <w:r>
            <w:rPr>
              <w:rFonts w:hint="eastAsia" w:ascii="仿宋" w:hAnsi="仿宋" w:eastAsia="仿宋" w:cs="仿宋"/>
              <w:b/>
              <w:sz w:val="32"/>
              <w:szCs w:val="32"/>
            </w:rPr>
            <w:fldChar w:fldCharType="end"/>
          </w:r>
          <w:r>
            <w:rPr>
              <w:rFonts w:hint="eastAsia" w:ascii="仿宋" w:hAnsi="仿宋" w:eastAsia="仿宋" w:cs="仿宋"/>
              <w:b/>
              <w:sz w:val="32"/>
              <w:szCs w:val="32"/>
            </w:rPr>
            <w:fldChar w:fldCharType="end"/>
          </w:r>
        </w:p>
        <w:p w14:paraId="0D2902E9">
          <w:r>
            <w:rPr>
              <w:rFonts w:hint="eastAsia" w:ascii="仿宋" w:hAnsi="仿宋" w:eastAsia="仿宋" w:cs="仿宋"/>
              <w:b/>
              <w:sz w:val="32"/>
              <w:szCs w:val="32"/>
            </w:rPr>
            <w:fldChar w:fldCharType="end"/>
          </w:r>
        </w:p>
      </w:sdtContent>
    </w:sdt>
    <w:p w14:paraId="7897831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707"/>
    </w:p>
    <w:p w14:paraId="7378FB7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2A13F0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7A8AC24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745146C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9FD0B3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2EA8ED2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755455D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10F4B8B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46B03DC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4A8CE8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20C5B18C">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3AB03FA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0E226AD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p>
    <w:p w14:paraId="48EF5D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r>
        <w:rPr>
          <w:rFonts w:hint="eastAsia" w:ascii="黑体" w:hAnsi="黑体" w:eastAsia="黑体" w:cs="黑体"/>
          <w:sz w:val="32"/>
          <w:szCs w:val="32"/>
          <w:lang w:val="en-US" w:eastAsia="zh-CN"/>
        </w:rPr>
        <w:t>一、基本职能及主要工作</w:t>
      </w:r>
      <w:bookmarkEnd w:id="5"/>
      <w:bookmarkEnd w:id="6"/>
      <w:bookmarkEnd w:id="7"/>
      <w:bookmarkEnd w:id="8"/>
    </w:p>
    <w:p w14:paraId="15F05B4D">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1"/>
        <w:rPr>
          <w:rFonts w:hint="eastAsia" w:ascii="楷体_GB2312" w:hAnsi="楷体_GB2312" w:eastAsia="楷体_GB2312" w:cs="楷体_GB2312"/>
          <w:sz w:val="32"/>
          <w:szCs w:val="32"/>
        </w:rPr>
      </w:pPr>
      <w:bookmarkStart w:id="9" w:name="_Toc26171"/>
      <w:bookmarkStart w:id="10" w:name="_Toc23041"/>
      <w:bookmarkStart w:id="11" w:name="_Toc23135"/>
      <w:bookmarkStart w:id="12" w:name="_Toc29298"/>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rPr>
        <w:t>职能简介</w:t>
      </w:r>
      <w:bookmarkEnd w:id="9"/>
      <w:bookmarkEnd w:id="10"/>
      <w:bookmarkEnd w:id="11"/>
      <w:bookmarkEnd w:id="12"/>
    </w:p>
    <w:p w14:paraId="6AEE24EF">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1.贯彻党的教育方针，坚持社会主义办学方向，实行教育与生产劳动相结合，对学生进行德育、智育、体育、美育和劳动等方面的教育。</w:t>
      </w:r>
    </w:p>
    <w:p w14:paraId="16D4F379">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2.负责配合政府依法动员、组织适龄儿童、少年入学，严格控制学生辍学，依法保证适龄儿童、少年接受九年义务教育。</w:t>
      </w:r>
    </w:p>
    <w:p w14:paraId="5B2A158B">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3.负责依法制定学校章程，并按照章程自主管理。</w:t>
      </w:r>
    </w:p>
    <w:p w14:paraId="043935BD">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4.负责制定学校教育发展规划， 并抓好组织实施和落实工作。</w:t>
      </w:r>
    </w:p>
    <w:p w14:paraId="654A8FEE">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5.负责按照教育主管部门发布的指导性教学计划、 教学目标， 组织实施教育教学活动。</w:t>
      </w:r>
    </w:p>
    <w:p w14:paraId="11C8FE27">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6.</w:t>
      </w:r>
      <w:r>
        <w:rPr>
          <w:rFonts w:hint="eastAsia" w:ascii="仿宋_GB2312" w:hAnsi="Times New Roman" w:eastAsia="仿宋_GB2312" w:cs="Times New Roman"/>
          <w:color w:val="auto"/>
          <w:kern w:val="0"/>
          <w:sz w:val="32"/>
          <w:szCs w:val="32"/>
          <w:lang w:val="en-US" w:eastAsia="zh-CN" w:bidi="ar"/>
        </w:rPr>
        <w:t xml:space="preserve"> </w:t>
      </w:r>
      <w:r>
        <w:rPr>
          <w:rFonts w:hint="eastAsia" w:ascii="仿宋" w:hAnsi="仿宋" w:eastAsia="仿宋" w:cs="仿宋"/>
          <w:color w:val="auto"/>
          <w:kern w:val="2"/>
          <w:sz w:val="32"/>
          <w:szCs w:val="32"/>
          <w:lang w:val="en-US" w:eastAsia="zh-CN" w:bidi="ar"/>
        </w:rPr>
        <w:t>负责学籍管理并对学生实施奖励或处分。</w:t>
      </w:r>
    </w:p>
    <w:p w14:paraId="5E46CE4F">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7.</w:t>
      </w:r>
      <w:r>
        <w:rPr>
          <w:rFonts w:hint="eastAsia" w:ascii="仿宋_GB2312" w:hAnsi="Times New Roman" w:eastAsia="仿宋_GB2312" w:cs="Times New Roman"/>
          <w:color w:val="auto"/>
          <w:kern w:val="0"/>
          <w:sz w:val="32"/>
          <w:szCs w:val="32"/>
          <w:lang w:val="en-US" w:eastAsia="zh-CN" w:bidi="ar"/>
        </w:rPr>
        <w:t xml:space="preserve"> </w:t>
      </w:r>
      <w:r>
        <w:rPr>
          <w:rFonts w:hint="eastAsia" w:ascii="仿宋" w:hAnsi="仿宋" w:eastAsia="仿宋" w:cs="仿宋"/>
          <w:color w:val="auto"/>
          <w:kern w:val="2"/>
          <w:sz w:val="32"/>
          <w:szCs w:val="32"/>
          <w:lang w:val="en-US" w:eastAsia="zh-CN" w:bidi="ar"/>
        </w:rPr>
        <w:t>负责依法制定本校教师及其他职工聘任办法，并对教师及其他员工实施奖励、处分。</w:t>
      </w:r>
    </w:p>
    <w:p w14:paraId="6ADF0371">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8.负责科学管理、合理使用学校的设施和经费，并积极筹措资金，改善办学条件。</w:t>
      </w:r>
    </w:p>
    <w:p w14:paraId="128E827D">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9.负责维护学校、师生的合法权益，有权拒绝任何组织和个人对教育教学活动进行非法干扰。</w:t>
      </w:r>
    </w:p>
    <w:p w14:paraId="34CBC709">
      <w:pPr>
        <w:pStyle w:val="9"/>
        <w:keepNext w:val="0"/>
        <w:keepLines w:val="0"/>
        <w:widowControl w:val="0"/>
        <w:suppressLineNumbers w:val="0"/>
        <w:adjustRightInd w:val="0"/>
        <w:spacing w:before="0" w:beforeLines="30" w:beforeAutospacing="0" w:after="0" w:afterAutospacing="0" w:line="500" w:lineRule="exact"/>
        <w:ind w:left="0" w:right="0" w:firstLine="640" w:firstLineChars="200"/>
        <w:jc w:val="both"/>
        <w:outlineLvl w:val="2"/>
        <w:rPr>
          <w:rFonts w:hint="eastAsia" w:ascii="仿宋" w:hAnsi="仿宋" w:eastAsia="仿宋" w:cs="仿宋"/>
          <w:color w:val="auto"/>
          <w:kern w:val="2"/>
          <w:sz w:val="32"/>
          <w:szCs w:val="32"/>
          <w:lang w:val="en-US"/>
        </w:rPr>
      </w:pPr>
      <w:r>
        <w:rPr>
          <w:rFonts w:hint="eastAsia" w:ascii="仿宋" w:hAnsi="仿宋" w:eastAsia="仿宋" w:cs="仿宋"/>
          <w:color w:val="auto"/>
          <w:kern w:val="2"/>
          <w:sz w:val="32"/>
          <w:szCs w:val="32"/>
          <w:lang w:val="en-US" w:eastAsia="zh-CN" w:bidi="ar"/>
        </w:rPr>
        <w:t>10.</w:t>
      </w:r>
      <w:r>
        <w:rPr>
          <w:rFonts w:hint="eastAsia" w:ascii="仿宋_GB2312" w:hAnsi="Times New Roman" w:eastAsia="仿宋_GB2312" w:cs="Times New Roman"/>
          <w:color w:val="auto"/>
          <w:kern w:val="0"/>
          <w:sz w:val="32"/>
          <w:szCs w:val="32"/>
          <w:lang w:val="en-US" w:eastAsia="zh-CN" w:bidi="ar"/>
        </w:rPr>
        <w:t xml:space="preserve"> </w:t>
      </w:r>
      <w:r>
        <w:rPr>
          <w:rFonts w:hint="eastAsia" w:ascii="仿宋" w:hAnsi="仿宋" w:eastAsia="仿宋" w:cs="仿宋"/>
          <w:color w:val="auto"/>
          <w:kern w:val="2"/>
          <w:sz w:val="32"/>
          <w:szCs w:val="32"/>
          <w:lang w:val="en-US" w:eastAsia="zh-CN" w:bidi="ar"/>
        </w:rPr>
        <w:t>依法接受各级教育行政部门的检查指导和人民群众的监督。</w:t>
      </w:r>
    </w:p>
    <w:p w14:paraId="48A93CB0">
      <w:pPr>
        <w:pStyle w:val="9"/>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130" w:beforeAutospacing="0" w:after="0" w:afterAutospacing="0" w:line="580" w:lineRule="atLeast"/>
        <w:ind w:left="0" w:right="0" w:firstLine="674"/>
        <w:jc w:val="both"/>
        <w:rPr>
          <w:rFonts w:hint="eastAsia" w:ascii="楷体_GB2312" w:hAnsi="楷体_GB2312" w:eastAsia="楷体_GB2312" w:cs="楷体_GB2312"/>
          <w:sz w:val="32"/>
          <w:szCs w:val="32"/>
        </w:rPr>
      </w:pPr>
      <w:r>
        <w:rPr>
          <w:rFonts w:hint="eastAsia" w:ascii="仿宋" w:hAnsi="仿宋" w:eastAsia="仿宋" w:cs="仿宋"/>
          <w:color w:val="auto"/>
          <w:kern w:val="2"/>
          <w:sz w:val="32"/>
          <w:szCs w:val="32"/>
          <w:lang w:val="en-US" w:eastAsia="zh-CN" w:bidi="ar"/>
        </w:rPr>
        <w:t>11.承办上级交办的其他事项。</w:t>
      </w:r>
    </w:p>
    <w:p w14:paraId="5C589262">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outlineLvl w:val="1"/>
        <w:rPr>
          <w:rFonts w:hint="eastAsia" w:ascii="楷体_GB2312" w:hAnsi="楷体_GB2312" w:eastAsia="楷体_GB2312" w:cs="楷体_GB2312"/>
          <w:sz w:val="32"/>
          <w:szCs w:val="32"/>
        </w:rPr>
      </w:pPr>
      <w:bookmarkStart w:id="13" w:name="_Toc25169"/>
      <w:bookmarkStart w:id="14" w:name="_Toc28055"/>
      <w:bookmarkStart w:id="15" w:name="_Toc17713"/>
      <w:bookmarkStart w:id="16" w:name="_Toc8095"/>
      <w:r>
        <w:rPr>
          <w:rFonts w:hint="eastAsia" w:ascii="楷体_GB2312" w:hAnsi="楷体_GB2312" w:eastAsia="楷体_GB2312" w:cs="楷体_GB2312"/>
          <w:sz w:val="32"/>
          <w:szCs w:val="32"/>
        </w:rPr>
        <w:t>（二）</w:t>
      </w:r>
      <w:r>
        <w:rPr>
          <w:rFonts w:hint="eastAsia" w:ascii="楷体_GB2312" w:hAnsi="楷体_GB2312" w:eastAsia="楷体_GB2312" w:cs="楷体_GB2312"/>
          <w:sz w:val="32"/>
          <w:szCs w:val="32"/>
          <w:lang w:val="en-US" w:eastAsia="zh-CN"/>
        </w:rPr>
        <w:t>单位</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13"/>
      <w:bookmarkEnd w:id="14"/>
      <w:bookmarkEnd w:id="15"/>
      <w:bookmarkEnd w:id="16"/>
    </w:p>
    <w:p w14:paraId="108E7A87">
      <w:pPr>
        <w:keepNext w:val="0"/>
        <w:keepLines w:val="0"/>
        <w:pageBreakBefore w:val="0"/>
        <w:widowControl w:val="0"/>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在区教育局的领导和指导下，文村小学行政一班人坚定信念、守正创新，带领全体教职工开拓进取、勤奋工作，争取圆满完成教育教学工作，学校发展再上台阶。工作思路如下：</w:t>
      </w:r>
    </w:p>
    <w:p w14:paraId="503BA10D">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5" w:leftChars="0"/>
        <w:textAlignment w:val="auto"/>
        <w:outlineLvl w:val="0"/>
        <w:rPr>
          <w:rFonts w:hint="eastAsia" w:ascii="仿宋" w:hAnsi="仿宋" w:eastAsia="仿宋" w:cs="仿宋"/>
          <w:color w:val="auto"/>
          <w:kern w:val="2"/>
          <w:sz w:val="32"/>
          <w:szCs w:val="32"/>
          <w:lang w:val="en-US" w:eastAsia="zh-CN" w:bidi="ar"/>
        </w:rPr>
      </w:pPr>
      <w:bookmarkStart w:id="17" w:name="_Toc12726"/>
      <w:bookmarkStart w:id="18" w:name="_Toc25827"/>
      <w:bookmarkStart w:id="19" w:name="_Toc28158"/>
      <w:bookmarkStart w:id="20" w:name="_Toc22116"/>
      <w:r>
        <w:rPr>
          <w:rFonts w:hint="eastAsia" w:ascii="仿宋" w:hAnsi="仿宋" w:eastAsia="仿宋" w:cs="仿宋"/>
          <w:color w:val="auto"/>
          <w:kern w:val="2"/>
          <w:sz w:val="32"/>
          <w:szCs w:val="32"/>
          <w:lang w:val="en-US" w:eastAsia="zh-CN" w:bidi="ar"/>
        </w:rPr>
        <w:t>1、抓党建，强化思想引领</w:t>
      </w:r>
      <w:bookmarkEnd w:id="17"/>
      <w:bookmarkEnd w:id="18"/>
      <w:bookmarkEnd w:id="19"/>
      <w:bookmarkEnd w:id="20"/>
    </w:p>
    <w:p w14:paraId="396A272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本年度，我校将持续探索和实践党组织领导下的校长负责制，充分发挥党组织在办学治校中的旗帜引领和重大决策中的主导作用，搞好教育教学，夯实基层组织建设。</w:t>
      </w:r>
    </w:p>
    <w:p w14:paraId="59B32026">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1"/>
        <w:rPr>
          <w:rFonts w:hint="eastAsia" w:ascii="仿宋" w:hAnsi="仿宋" w:eastAsia="仿宋" w:cs="仿宋"/>
          <w:color w:val="auto"/>
          <w:kern w:val="2"/>
          <w:sz w:val="32"/>
          <w:szCs w:val="32"/>
          <w:lang w:val="en-US" w:eastAsia="zh-CN" w:bidi="ar"/>
        </w:rPr>
      </w:pPr>
      <w:bookmarkStart w:id="21" w:name="_Toc2278"/>
      <w:bookmarkStart w:id="22" w:name="_Toc72"/>
      <w:bookmarkStart w:id="23" w:name="_Toc1535"/>
      <w:bookmarkStart w:id="24" w:name="_Toc26486"/>
      <w:r>
        <w:rPr>
          <w:rFonts w:hint="eastAsia" w:ascii="仿宋" w:hAnsi="仿宋" w:eastAsia="仿宋" w:cs="仿宋"/>
          <w:color w:val="auto"/>
          <w:kern w:val="2"/>
          <w:sz w:val="32"/>
          <w:szCs w:val="32"/>
          <w:lang w:val="en-US" w:eastAsia="zh-CN" w:bidi="ar"/>
        </w:rPr>
        <w:t>（1）加强学习固阵地</w:t>
      </w:r>
      <w:bookmarkEnd w:id="21"/>
      <w:bookmarkEnd w:id="22"/>
      <w:bookmarkEnd w:id="23"/>
      <w:bookmarkEnd w:id="24"/>
    </w:p>
    <w:p w14:paraId="199409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学校支部把抓班子成员、全体师生的思想政治工作放在</w:t>
      </w:r>
    </w:p>
    <w:p w14:paraId="74863A41">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首位，把握航向、建好阵地。通过请领导讲思政课，老教师、老党员、党组织书记讲党课和每周例会等进行集中学、领学，学习习近平新时代中国特色社会主义思想和有关教育的重要论述，学习党章、党的纪律处分条例，学习党史、国史、昭化党史故事，学习党的十九届六中全会精神和党的决议，并与个人自学相结合，使全体教师坚定信念，守好初心，并用个人过硬的政治素质去教育影响学生。</w:t>
      </w:r>
    </w:p>
    <w:p w14:paraId="3E5769A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我们将举行“巾帼心</w:t>
      </w:r>
      <w:bookmarkStart w:id="161" w:name="_GoBack"/>
      <w:bookmarkEnd w:id="161"/>
      <w:r>
        <w:rPr>
          <w:rFonts w:hint="eastAsia" w:ascii="仿宋" w:hAnsi="仿宋" w:eastAsia="仿宋" w:cs="仿宋"/>
          <w:color w:val="auto"/>
          <w:kern w:val="2"/>
          <w:sz w:val="32"/>
          <w:szCs w:val="32"/>
          <w:lang w:val="en-US" w:eastAsia="zh-CN" w:bidi="ar"/>
        </w:rPr>
        <w:t xml:space="preserve">向党，建功新时代”妇女节主题活动，“红心向党庆百年，快乐成长逐梦想”中国共产党成立一百周年庆祝系列活动，到革命圣地开展“学党史、感党恩、跟党走”红色星期五主题党日活动，开展庆祝建国七十三周年演讲比赛活动。通过活动，教育使师生爱党爱国、感恩奋进、传承红色基因，加强了党组织的凝聚力、战斗力。 </w:t>
      </w:r>
    </w:p>
    <w:p w14:paraId="583F075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1"/>
        <w:rPr>
          <w:rFonts w:hint="eastAsia" w:ascii="仿宋" w:hAnsi="仿宋" w:eastAsia="仿宋" w:cs="仿宋"/>
          <w:color w:val="auto"/>
          <w:kern w:val="2"/>
          <w:sz w:val="32"/>
          <w:szCs w:val="32"/>
          <w:lang w:val="en-US" w:eastAsia="zh-CN" w:bidi="ar"/>
        </w:rPr>
      </w:pPr>
      <w:bookmarkStart w:id="25" w:name="_Toc18172"/>
      <w:bookmarkStart w:id="26" w:name="_Toc25566"/>
      <w:bookmarkStart w:id="27" w:name="_Toc16453"/>
      <w:bookmarkStart w:id="28" w:name="_Toc23160"/>
      <w:r>
        <w:rPr>
          <w:rFonts w:hint="eastAsia" w:ascii="仿宋" w:hAnsi="仿宋" w:eastAsia="仿宋" w:cs="仿宋"/>
          <w:color w:val="auto"/>
          <w:kern w:val="2"/>
          <w:sz w:val="32"/>
          <w:szCs w:val="32"/>
          <w:lang w:val="en-US" w:eastAsia="zh-CN" w:bidi="ar"/>
        </w:rPr>
        <w:t>（2）求实务本办实事</w:t>
      </w:r>
      <w:bookmarkEnd w:id="25"/>
      <w:bookmarkEnd w:id="26"/>
      <w:bookmarkEnd w:id="27"/>
      <w:bookmarkEnd w:id="28"/>
    </w:p>
    <w:p w14:paraId="34D748C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支部将围绕教学抓党建，抓好党建促教学，把党史教育</w:t>
      </w:r>
    </w:p>
    <w:p w14:paraId="2971D62D">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与教育教学工作紧密结合。要求全体教师潜心育人，通过师生结对学业辅导、心理疏导、多渠道资助帮扶、千名教师访万家等各种途径关爱留守儿童、困境儿童，努力提升教学质量和育人成效，真正为民办实事。</w:t>
      </w:r>
    </w:p>
    <w:p w14:paraId="2D1F197E">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outlineLvl w:val="1"/>
        <w:rPr>
          <w:rFonts w:hint="eastAsia" w:ascii="仿宋" w:hAnsi="仿宋" w:eastAsia="仿宋" w:cs="仿宋"/>
          <w:color w:val="auto"/>
          <w:kern w:val="2"/>
          <w:sz w:val="32"/>
          <w:szCs w:val="32"/>
          <w:lang w:val="en-US" w:eastAsia="zh-CN" w:bidi="ar"/>
        </w:rPr>
      </w:pPr>
      <w:bookmarkStart w:id="29" w:name="_Toc24982"/>
      <w:bookmarkStart w:id="30" w:name="_Toc7698"/>
      <w:bookmarkStart w:id="31" w:name="_Toc22190"/>
      <w:bookmarkStart w:id="32" w:name="_Toc13543"/>
      <w:r>
        <w:rPr>
          <w:rFonts w:hint="eastAsia" w:ascii="仿宋" w:hAnsi="仿宋" w:eastAsia="仿宋" w:cs="仿宋"/>
          <w:color w:val="auto"/>
          <w:kern w:val="2"/>
          <w:sz w:val="32"/>
          <w:szCs w:val="32"/>
          <w:lang w:val="en-US" w:eastAsia="zh-CN" w:bidi="ar"/>
        </w:rPr>
        <w:t>（3）廉洁自律抓作风</w:t>
      </w:r>
      <w:bookmarkEnd w:id="29"/>
      <w:bookmarkEnd w:id="30"/>
      <w:bookmarkEnd w:id="31"/>
      <w:bookmarkEnd w:id="32"/>
    </w:p>
    <w:p w14:paraId="05496C0C">
      <w:pPr>
        <w:numPr>
          <w:ilvl w:val="0"/>
          <w:numId w:val="0"/>
        </w:numPr>
        <w:ind w:firstLine="640"/>
        <w:jc w:val="both"/>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深入开展干部纪律作风整顿工作和“以案促改”工作，强化师德师风建设。一是加强学习和警示教育。组织全体教职工认真学习各级有关干部纪律作风整顿的文件和要求，以身边人、常见事加强警示教育。紧密结合教育教学工作，以问题为导向，以工作中的小问题为切入口，以自查和他人提、领导点等方式全面开展问题查摆，深入开展剖析，并在工作中立行立改、按期销号，并形成长效机制。</w:t>
      </w:r>
    </w:p>
    <w:p w14:paraId="138BCB7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5" w:leftChars="0"/>
        <w:textAlignment w:val="auto"/>
        <w:outlineLvl w:val="0"/>
        <w:rPr>
          <w:rFonts w:hint="eastAsia" w:ascii="仿宋" w:hAnsi="仿宋" w:eastAsia="仿宋" w:cs="仿宋"/>
          <w:color w:val="auto"/>
          <w:kern w:val="2"/>
          <w:sz w:val="32"/>
          <w:szCs w:val="32"/>
          <w:lang w:val="en-US" w:eastAsia="zh-CN" w:bidi="ar"/>
        </w:rPr>
      </w:pPr>
      <w:bookmarkStart w:id="33" w:name="_Toc29653"/>
      <w:bookmarkStart w:id="34" w:name="_Toc8581"/>
      <w:bookmarkStart w:id="35" w:name="_Toc22054"/>
      <w:bookmarkStart w:id="36" w:name="_Toc28283"/>
      <w:r>
        <w:rPr>
          <w:rFonts w:hint="eastAsia" w:ascii="仿宋" w:hAnsi="仿宋" w:eastAsia="仿宋" w:cs="仿宋"/>
          <w:color w:val="auto"/>
          <w:kern w:val="2"/>
          <w:sz w:val="32"/>
          <w:szCs w:val="32"/>
          <w:lang w:val="en-US" w:eastAsia="zh-CN" w:bidi="ar"/>
        </w:rPr>
        <w:t>2、强内涵，坚持五育并举</w:t>
      </w:r>
      <w:bookmarkEnd w:id="33"/>
      <w:bookmarkEnd w:id="34"/>
      <w:bookmarkEnd w:id="35"/>
      <w:bookmarkEnd w:id="36"/>
    </w:p>
    <w:p w14:paraId="151446A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outlineLvl w:val="1"/>
        <w:rPr>
          <w:rFonts w:hint="eastAsia" w:ascii="仿宋" w:hAnsi="仿宋" w:eastAsia="仿宋" w:cs="仿宋"/>
          <w:color w:val="auto"/>
          <w:kern w:val="2"/>
          <w:sz w:val="32"/>
          <w:szCs w:val="32"/>
          <w:lang w:val="en-US" w:eastAsia="zh-CN" w:bidi="ar"/>
        </w:rPr>
      </w:pPr>
      <w:bookmarkStart w:id="37" w:name="_Toc19549"/>
      <w:bookmarkStart w:id="38" w:name="_Toc16368"/>
      <w:bookmarkStart w:id="39" w:name="_Toc20674"/>
      <w:bookmarkStart w:id="40" w:name="_Toc3039"/>
      <w:r>
        <w:rPr>
          <w:rFonts w:hint="eastAsia" w:ascii="仿宋" w:hAnsi="仿宋" w:eastAsia="仿宋" w:cs="仿宋"/>
          <w:color w:val="auto"/>
          <w:kern w:val="2"/>
          <w:sz w:val="32"/>
          <w:szCs w:val="32"/>
          <w:lang w:val="en-US" w:eastAsia="zh-CN" w:bidi="ar"/>
        </w:rPr>
        <w:t>（1）努力提升课堂教学质量。</w:t>
      </w:r>
      <w:bookmarkEnd w:id="37"/>
      <w:bookmarkEnd w:id="38"/>
      <w:bookmarkEnd w:id="39"/>
      <w:bookmarkEnd w:id="40"/>
    </w:p>
    <w:p w14:paraId="4E9BB194">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我们始终要抓质量为主线，以教研教改促进教师专业成</w:t>
      </w:r>
    </w:p>
    <w:p w14:paraId="2251782E">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长，打造有效课堂教学模式，努力提升学业成绩。</w:t>
      </w:r>
    </w:p>
    <w:p w14:paraId="7C2B135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(2)整合资源，积极教研教改。</w:t>
      </w:r>
    </w:p>
    <w:p w14:paraId="593B252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一是支持教师外派学习、培训，充实理论，积累经验；</w:t>
      </w:r>
    </w:p>
    <w:p w14:paraId="2E630886">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二是合理利用网络等资源，提升能力，辅助教学；三是联合研讨，共同成长：积极对接广元尚熙、康乐园送教到园，与柏林小学开展教学交流；四是以微课题为切入口进行农村小班化有效教学模式探索；五是通过实习生指导增强学校教研氛围。</w:t>
      </w:r>
    </w:p>
    <w:p w14:paraId="02DB1ED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0" w:leftChars="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（3）做实常规，扎实过程管理</w:t>
      </w:r>
    </w:p>
    <w:p w14:paraId="6208418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40" w:leftChars="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加强教学常规管理，做实教学六认真，通计划、明要求、</w:t>
      </w:r>
    </w:p>
    <w:p w14:paraId="58A676DA">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严过程，交叉检查，例会公布，逗硬奖惩。学校领导班子带头上主课，坚持推门听课，及时交流，当周整改。以幼儿园为源头，抓实常规，丰富活动，文明礼仪；以小学为主体，规范课堂，丰富课程，深抓习惯；以毕业班为突破口，夯实过程，改进教法，提升效率。五项管理和双减，全面落细落实，学校严格落实教育部、省市区关于五项管理和双减工作要求，结合学校实际，规范教学行为，严守作息时间，严控手机管理，加强心理健康教育。本期，我校主动联系4名实习生，填补了无艺体专业教师的短板。精心组织设计课后延时服务，搞好社团建设，培养学生兴趣特长。认真组织每天的体育锻炼，积极训练，参加了区运动会，开展了秋季运动会。充分发挥农村独特的自然资源优势，利用课余时间研学，带领学生走出教室，走进田野，认识自然的美妙神奇，感受家乡的变化，展望美好未来。加强了音乐、美术等课程学习，并通过每周一花，美文朗诵等全面加强美育。每日扫除、保洁，责任到人，植树种花，清淤拔草，校园地开垦、种植等活动全面加强劳动教育。学生全员参与，个个能唱会跳，能写会画，才艺多样展示。</w:t>
      </w:r>
    </w:p>
    <w:p w14:paraId="22554FE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5" w:leftChars="0"/>
        <w:textAlignment w:val="auto"/>
        <w:outlineLvl w:val="0"/>
        <w:rPr>
          <w:rFonts w:hint="eastAsia" w:ascii="仿宋" w:hAnsi="仿宋" w:eastAsia="仿宋" w:cs="仿宋"/>
          <w:color w:val="auto"/>
          <w:kern w:val="2"/>
          <w:sz w:val="32"/>
          <w:szCs w:val="32"/>
          <w:lang w:val="en-US" w:eastAsia="zh-CN" w:bidi="ar"/>
        </w:rPr>
      </w:pPr>
      <w:bookmarkStart w:id="41" w:name="_Toc3618"/>
      <w:bookmarkStart w:id="42" w:name="_Toc15472"/>
      <w:bookmarkStart w:id="43" w:name="_Toc15513"/>
      <w:bookmarkStart w:id="44" w:name="_Toc13481"/>
      <w:r>
        <w:rPr>
          <w:rFonts w:hint="eastAsia" w:ascii="仿宋" w:hAnsi="仿宋" w:eastAsia="仿宋" w:cs="仿宋"/>
          <w:color w:val="auto"/>
          <w:kern w:val="2"/>
          <w:sz w:val="32"/>
          <w:szCs w:val="32"/>
          <w:lang w:val="en-US" w:eastAsia="zh-CN" w:bidi="ar"/>
        </w:rPr>
        <w:t>3、细谋划，努力干好各项工作</w:t>
      </w:r>
      <w:bookmarkEnd w:id="41"/>
      <w:bookmarkEnd w:id="42"/>
      <w:bookmarkEnd w:id="43"/>
      <w:bookmarkEnd w:id="44"/>
    </w:p>
    <w:p w14:paraId="3877C8A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1"/>
        <w:rPr>
          <w:rFonts w:hint="eastAsia" w:ascii="仿宋" w:hAnsi="仿宋" w:eastAsia="仿宋" w:cs="仿宋"/>
          <w:color w:val="auto"/>
          <w:kern w:val="2"/>
          <w:sz w:val="32"/>
          <w:szCs w:val="32"/>
          <w:lang w:val="en-US" w:eastAsia="zh-CN" w:bidi="ar"/>
        </w:rPr>
      </w:pPr>
      <w:bookmarkStart w:id="45" w:name="_Toc1802"/>
      <w:bookmarkStart w:id="46" w:name="_Toc7573"/>
      <w:bookmarkStart w:id="47" w:name="_Toc22913"/>
      <w:bookmarkStart w:id="48" w:name="_Toc29189"/>
      <w:r>
        <w:rPr>
          <w:rFonts w:hint="eastAsia" w:ascii="仿宋" w:hAnsi="仿宋" w:eastAsia="仿宋" w:cs="仿宋"/>
          <w:color w:val="auto"/>
          <w:kern w:val="2"/>
          <w:sz w:val="32"/>
          <w:szCs w:val="32"/>
          <w:lang w:val="en-US" w:eastAsia="zh-CN" w:bidi="ar"/>
        </w:rPr>
        <w:t>（1）搞好疫情常态化防控工作</w:t>
      </w:r>
      <w:bookmarkEnd w:id="45"/>
      <w:bookmarkEnd w:id="46"/>
      <w:bookmarkEnd w:id="47"/>
      <w:bookmarkEnd w:id="48"/>
    </w:p>
    <w:p w14:paraId="1C9C5A1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持续抓好师生疫情防控工作，抓环境卫生整治，消毒消杀，体温监测；坚持校园封闭式管理，严格信息查验；疫苗接种工作全面完成，固守一方净土。</w:t>
      </w:r>
    </w:p>
    <w:p w14:paraId="2A42BF85">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5" w:leftChars="0"/>
        <w:textAlignment w:val="auto"/>
        <w:outlineLvl w:val="1"/>
        <w:rPr>
          <w:rFonts w:hint="eastAsia" w:ascii="仿宋" w:hAnsi="仿宋" w:eastAsia="仿宋" w:cs="仿宋"/>
          <w:color w:val="auto"/>
          <w:kern w:val="2"/>
          <w:sz w:val="32"/>
          <w:szCs w:val="32"/>
          <w:lang w:val="en-US" w:eastAsia="zh-CN" w:bidi="ar"/>
        </w:rPr>
      </w:pPr>
      <w:bookmarkStart w:id="49" w:name="_Toc24054"/>
      <w:bookmarkStart w:id="50" w:name="_Toc1528"/>
      <w:bookmarkStart w:id="51" w:name="_Toc2886"/>
      <w:bookmarkStart w:id="52" w:name="_Toc22577"/>
      <w:r>
        <w:rPr>
          <w:rFonts w:hint="eastAsia" w:ascii="仿宋" w:hAnsi="仿宋" w:eastAsia="仿宋" w:cs="仿宋"/>
          <w:color w:val="auto"/>
          <w:kern w:val="2"/>
          <w:sz w:val="32"/>
          <w:szCs w:val="32"/>
          <w:lang w:val="en-US" w:eastAsia="zh-CN" w:bidi="ar"/>
        </w:rPr>
        <w:t>（2）做实安全维稳工作</w:t>
      </w:r>
      <w:bookmarkEnd w:id="49"/>
      <w:bookmarkEnd w:id="50"/>
      <w:bookmarkEnd w:id="51"/>
      <w:bookmarkEnd w:id="52"/>
    </w:p>
    <w:p w14:paraId="376AA8E3">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坚守安全第一，全面落实岗位职责，无死角排查整治安全隐患，全方位守护监管，多层面多形式加强安全教育，重要安全处处讲，反复讲，印发告知书，签订责任书，添置硬件，归齐软件。与家长加强政策宣讲，畅通联系网络，广开反馈渠道，主动做好矛盾化解和疑误解答。</w:t>
      </w:r>
    </w:p>
    <w:p w14:paraId="526936C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635" w:leftChars="0"/>
        <w:textAlignment w:val="auto"/>
        <w:outlineLvl w:val="0"/>
        <w:rPr>
          <w:rFonts w:hint="eastAsia" w:ascii="仿宋" w:hAnsi="仿宋" w:eastAsia="仿宋" w:cs="仿宋"/>
          <w:color w:val="auto"/>
          <w:kern w:val="2"/>
          <w:sz w:val="32"/>
          <w:szCs w:val="32"/>
          <w:lang w:val="en-US" w:eastAsia="zh-CN" w:bidi="ar"/>
        </w:rPr>
      </w:pPr>
      <w:bookmarkStart w:id="53" w:name="_Toc14301"/>
      <w:bookmarkStart w:id="54" w:name="_Toc31837"/>
      <w:bookmarkStart w:id="55" w:name="_Toc19002"/>
      <w:bookmarkStart w:id="56" w:name="_Toc29925"/>
      <w:r>
        <w:rPr>
          <w:rFonts w:hint="eastAsia" w:ascii="仿宋" w:hAnsi="仿宋" w:eastAsia="仿宋" w:cs="仿宋"/>
          <w:color w:val="auto"/>
          <w:kern w:val="2"/>
          <w:sz w:val="32"/>
          <w:szCs w:val="32"/>
          <w:lang w:val="en-US" w:eastAsia="zh-CN" w:bidi="ar"/>
        </w:rPr>
        <w:t>4、明差距，期许美好未来</w:t>
      </w:r>
      <w:bookmarkEnd w:id="53"/>
      <w:bookmarkEnd w:id="54"/>
      <w:bookmarkEnd w:id="55"/>
      <w:bookmarkEnd w:id="56"/>
    </w:p>
    <w:p w14:paraId="4B54BD0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0"/>
        <w:rPr>
          <w:rFonts w:hint="eastAsia" w:ascii="仿宋" w:hAnsi="仿宋" w:eastAsia="仿宋" w:cs="仿宋"/>
          <w:color w:val="auto"/>
          <w:kern w:val="2"/>
          <w:sz w:val="32"/>
          <w:szCs w:val="32"/>
          <w:lang w:val="en-US" w:eastAsia="zh-CN" w:bidi="ar"/>
        </w:rPr>
      </w:pPr>
      <w:bookmarkStart w:id="57" w:name="_Toc25235"/>
      <w:bookmarkStart w:id="58" w:name="_Toc12752"/>
      <w:bookmarkStart w:id="59" w:name="_Toc16247"/>
      <w:bookmarkStart w:id="60" w:name="_Toc23491"/>
      <w:r>
        <w:rPr>
          <w:rFonts w:hint="eastAsia" w:ascii="仿宋" w:hAnsi="仿宋" w:eastAsia="仿宋" w:cs="仿宋"/>
          <w:color w:val="auto"/>
          <w:kern w:val="2"/>
          <w:sz w:val="32"/>
          <w:szCs w:val="32"/>
          <w:lang w:val="en-US" w:eastAsia="zh-CN" w:bidi="ar"/>
        </w:rPr>
        <w:t>（1）学校教研氛围不浓，力度不够，无市区课题。历</w:t>
      </w:r>
      <w:bookmarkEnd w:id="57"/>
      <w:bookmarkEnd w:id="58"/>
      <w:bookmarkEnd w:id="59"/>
      <w:bookmarkEnd w:id="60"/>
    </w:p>
    <w:p w14:paraId="74D16FB5">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年来，学校无教科室负责人，处室工作由教导处代管，因此缺少人力和精力，普遍缺乏理论支撑和实践探索，走的是传统路线，没有创新和改革，没有长远的生命力。</w:t>
      </w:r>
    </w:p>
    <w:p w14:paraId="0D1310C2">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 xml:space="preserve">    （2）社团活动没有特色。虽然开设了几个社团，但因无艺体专业教师，规模太小，很难形成特色和影响力，与兄弟学校差距大。</w:t>
      </w:r>
    </w:p>
    <w:p w14:paraId="4AC71049">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（3）保生保学困难重重。尽管我们使出浑身解数，学生实现正增长，但随着初中的彻底停办，文柏快速通道和王文路的畅通，场镇常住人口急剧减少，幼儿生源稀缺，加之无幼儿专业教师，稳控形势严峻。</w:t>
      </w:r>
    </w:p>
    <w:p w14:paraId="571248BC">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outlineLvl w:val="1"/>
        <w:rPr>
          <w:rFonts w:hint="eastAsia" w:ascii="仿宋" w:hAnsi="仿宋" w:eastAsia="仿宋" w:cs="仿宋"/>
          <w:color w:val="auto"/>
          <w:kern w:val="2"/>
          <w:sz w:val="32"/>
          <w:szCs w:val="32"/>
          <w:lang w:val="en-US" w:eastAsia="zh-CN" w:bidi="ar"/>
        </w:rPr>
      </w:pPr>
      <w:bookmarkStart w:id="61" w:name="_Toc26603"/>
      <w:bookmarkStart w:id="62" w:name="_Toc9319"/>
      <w:bookmarkStart w:id="63" w:name="_Toc31193"/>
      <w:bookmarkStart w:id="64" w:name="_Toc13438"/>
      <w:r>
        <w:rPr>
          <w:rFonts w:hint="eastAsia" w:ascii="仿宋" w:hAnsi="仿宋" w:eastAsia="仿宋" w:cs="仿宋"/>
          <w:color w:val="auto"/>
          <w:kern w:val="2"/>
          <w:sz w:val="32"/>
          <w:szCs w:val="32"/>
          <w:lang w:val="en-US" w:eastAsia="zh-CN" w:bidi="ar"/>
        </w:rPr>
        <w:t>（4）学校部分设施老化、破损，急等维修更换和治理。</w:t>
      </w:r>
      <w:bookmarkEnd w:id="61"/>
      <w:bookmarkEnd w:id="62"/>
      <w:bookmarkEnd w:id="63"/>
      <w:bookmarkEnd w:id="64"/>
    </w:p>
    <w:p w14:paraId="10EB5297">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5、针对以上存在的问题和不足，我们将严肃对待，精心谋划，全面改进。</w:t>
      </w:r>
    </w:p>
    <w:p w14:paraId="112E3D3F">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（1）强化保生保学工作。扎实开展千名教师访万家活动，包干到人，走村入户进行招生政策宣讲、生源稳控，逗硬奖惩，倒逼责任。加强学生关爱和沟通，强管理，提质量，最大限度竭止生源外流。</w:t>
      </w:r>
    </w:p>
    <w:p w14:paraId="1D3A2BAB">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rPr>
          <w:rFonts w:hint="eastAsia" w:ascii="仿宋" w:hAnsi="仿宋" w:eastAsia="仿宋" w:cs="仿宋"/>
          <w:color w:val="auto"/>
          <w:kern w:val="2"/>
          <w:sz w:val="32"/>
          <w:szCs w:val="32"/>
          <w:lang w:val="en-US" w:eastAsia="zh-CN" w:bidi="ar"/>
        </w:rPr>
      </w:pPr>
      <w:r>
        <w:rPr>
          <w:rFonts w:hint="eastAsia" w:ascii="仿宋" w:hAnsi="仿宋" w:eastAsia="仿宋" w:cs="仿宋"/>
          <w:color w:val="auto"/>
          <w:kern w:val="2"/>
          <w:sz w:val="32"/>
          <w:szCs w:val="32"/>
          <w:lang w:val="en-US" w:eastAsia="zh-CN" w:bidi="ar"/>
        </w:rPr>
        <w:t>（2）争取艺体专业教师，在现有基础上拓宽视野和范围，大力加强体、美、劳等教育。</w:t>
      </w:r>
    </w:p>
    <w:p w14:paraId="3FC675EA">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640" w:firstLineChars="200"/>
        <w:textAlignment w:val="auto"/>
        <w:outlineLvl w:val="1"/>
        <w:rPr>
          <w:rFonts w:hint="eastAsia" w:ascii="仿宋" w:hAnsi="仿宋" w:eastAsia="仿宋" w:cs="仿宋"/>
          <w:color w:val="auto"/>
          <w:kern w:val="2"/>
          <w:sz w:val="32"/>
          <w:szCs w:val="32"/>
          <w:lang w:val="en-US" w:eastAsia="zh-CN" w:bidi="ar"/>
        </w:rPr>
      </w:pPr>
      <w:bookmarkStart w:id="65" w:name="_Toc9224"/>
      <w:bookmarkStart w:id="66" w:name="_Toc3918"/>
      <w:bookmarkStart w:id="67" w:name="_Toc26766"/>
      <w:bookmarkStart w:id="68" w:name="_Toc15711"/>
      <w:r>
        <w:rPr>
          <w:rFonts w:hint="eastAsia" w:ascii="仿宋" w:hAnsi="仿宋" w:eastAsia="仿宋" w:cs="仿宋"/>
          <w:color w:val="auto"/>
          <w:kern w:val="2"/>
          <w:sz w:val="32"/>
          <w:szCs w:val="32"/>
          <w:lang w:val="en-US" w:eastAsia="zh-CN" w:bidi="ar"/>
        </w:rPr>
        <w:t>（3）千方百计招寻幼儿教师，加强常规管理，做强生源源头。</w:t>
      </w:r>
      <w:bookmarkEnd w:id="65"/>
      <w:bookmarkEnd w:id="66"/>
      <w:bookmarkEnd w:id="67"/>
      <w:bookmarkEnd w:id="68"/>
    </w:p>
    <w:p w14:paraId="2D82822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楷体_GB2312" w:hAnsi="楷体_GB2312" w:eastAsia="楷体_GB2312" w:cs="楷体_GB2312"/>
          <w:sz w:val="32"/>
          <w:szCs w:val="32"/>
        </w:rPr>
      </w:pPr>
      <w:r>
        <w:rPr>
          <w:rFonts w:hint="eastAsia" w:ascii="仿宋" w:hAnsi="仿宋" w:eastAsia="仿宋" w:cs="仿宋"/>
          <w:color w:val="auto"/>
          <w:kern w:val="2"/>
          <w:sz w:val="32"/>
          <w:szCs w:val="32"/>
          <w:lang w:val="en-US" w:eastAsia="zh-CN" w:bidi="ar"/>
        </w:rPr>
        <w:t>（4）多方争取筹措资金，维修设施设备，努力改善办学条件，为教育教学的顺利开展提供保障</w:t>
      </w:r>
      <w:r>
        <w:rPr>
          <w:rFonts w:hint="eastAsia" w:ascii="仿宋" w:hAnsi="仿宋" w:eastAsia="仿宋" w:cs="仿宋"/>
          <w:sz w:val="32"/>
          <w:szCs w:val="32"/>
          <w:lang w:val="en-US" w:eastAsia="zh-CN"/>
        </w:rPr>
        <w:t>。</w:t>
      </w:r>
    </w:p>
    <w:p w14:paraId="6F417135">
      <w:pPr>
        <w:numPr>
          <w:ilvl w:val="0"/>
          <w:numId w:val="1"/>
        </w:numPr>
        <w:spacing w:line="600" w:lineRule="exact"/>
        <w:ind w:firstLine="640" w:firstLineChars="200"/>
        <w:outlineLvl w:val="0"/>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69" w:name="_Toc21545"/>
      <w:bookmarkStart w:id="70" w:name="_Toc25254"/>
      <w:bookmarkStart w:id="71" w:name="_Toc12036"/>
      <w:bookmarkStart w:id="72" w:name="_Toc23214"/>
      <w:r>
        <w:rPr>
          <w:rFonts w:hint="eastAsia" w:ascii="黑体" w:hAnsi="黑体" w:eastAsia="黑体" w:cs="黑体"/>
          <w:sz w:val="32"/>
          <w:szCs w:val="32"/>
          <w:lang w:val="en-US" w:eastAsia="zh-CN"/>
        </w:rPr>
        <w:t>部门预算单位构成</w:t>
      </w:r>
      <w:bookmarkEnd w:id="69"/>
      <w:bookmarkEnd w:id="70"/>
      <w:bookmarkEnd w:id="71"/>
      <w:bookmarkEnd w:id="72"/>
    </w:p>
    <w:p w14:paraId="573BC15C">
      <w:pPr>
        <w:numPr>
          <w:ilvl w:val="0"/>
          <w:numId w:val="0"/>
        </w:numPr>
        <w:spacing w:line="600" w:lineRule="exact"/>
        <w:ind w:firstLine="640" w:firstLineChars="200"/>
        <w:rPr>
          <w:rFonts w:hint="eastAsia" w:ascii="黑体" w:hAnsi="黑体" w:eastAsia="黑体" w:cs="黑体"/>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本单位为广元市昭化区柏林沟镇文村小学，是教育局下属的二级预算单位</w:t>
      </w:r>
      <w:r>
        <w:rPr>
          <w:rFonts w:hint="eastAsia" w:ascii="Times New Roman" w:hAnsi="Times New Roman" w:eastAsia="仿宋_GB2312"/>
          <w:sz w:val="32"/>
          <w:szCs w:val="32"/>
        </w:rPr>
        <w:t>。</w:t>
      </w:r>
    </w:p>
    <w:p w14:paraId="61E7BAA6">
      <w:pPr>
        <w:keepNext w:val="0"/>
        <w:keepLines w:val="0"/>
        <w:widowControl/>
        <w:numPr>
          <w:ilvl w:val="0"/>
          <w:numId w:val="1"/>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left="0" w:leftChars="0" w:right="0" w:firstLine="640" w:firstLineChars="200"/>
        <w:jc w:val="both"/>
        <w:outlineLvl w:val="0"/>
        <w:rPr>
          <w:rFonts w:hint="eastAsia" w:ascii="黑体" w:hAnsi="黑体" w:eastAsia="黑体" w:cs="黑体"/>
          <w:sz w:val="32"/>
          <w:szCs w:val="32"/>
          <w:lang w:val="en-US" w:eastAsia="zh-CN"/>
        </w:rPr>
      </w:pPr>
      <w:bookmarkStart w:id="73" w:name="_Toc18286"/>
      <w:bookmarkStart w:id="74" w:name="_Toc15572"/>
      <w:bookmarkStart w:id="75" w:name="_Toc1979"/>
      <w:bookmarkStart w:id="76" w:name="_Toc12001"/>
      <w:r>
        <w:rPr>
          <w:rFonts w:hint="eastAsia" w:ascii="黑体" w:hAnsi="黑体" w:eastAsia="黑体" w:cs="黑体"/>
          <w:sz w:val="32"/>
          <w:szCs w:val="32"/>
          <w:lang w:val="en-US" w:eastAsia="zh-CN"/>
        </w:rPr>
        <w:t>收支预算情况说明</w:t>
      </w:r>
      <w:bookmarkEnd w:id="73"/>
      <w:bookmarkEnd w:id="74"/>
      <w:bookmarkEnd w:id="75"/>
      <w:bookmarkEnd w:id="76"/>
    </w:p>
    <w:p w14:paraId="70DE1F63">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按照综合预算的原则，文村小学单位所有收入和支出均纳入部门预算管理。收入包括：一般公共预算拨款收入、上年结转；支出包括：教育支出、社会保障和就业支出。文村小学单位2024年收支总预算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394.05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万元,比2023年收支预算总数减少48.12万元，扣除上年结转资金、一次性安排等因素后，同口径减少48.12万元，主要原因是基本支出减少。</w:t>
      </w:r>
    </w:p>
    <w:p w14:paraId="304BDBA7">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outlineLvl w:val="1"/>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77" w:name="_Toc17743"/>
      <w:bookmarkStart w:id="78" w:name="_Toc6679"/>
      <w:bookmarkStart w:id="79" w:name="_Toc27746"/>
      <w:bookmarkStart w:id="80" w:name="_Toc1017"/>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（一）收入预算情况</w:t>
      </w:r>
      <w:bookmarkEnd w:id="77"/>
      <w:bookmarkEnd w:id="78"/>
      <w:bookmarkEnd w:id="79"/>
      <w:bookmarkEnd w:id="80"/>
    </w:p>
    <w:p w14:paraId="6C1CEC5C">
      <w:pPr>
        <w:keepNext w:val="0"/>
        <w:keepLines w:val="0"/>
        <w:widowControl/>
        <w:numPr>
          <w:ilvl w:val="0"/>
          <w:numId w:val="0"/>
        </w:numPr>
        <w:suppressLineNumbers w:val="0"/>
        <w:pBdr>
          <w:top w:val="none" w:color="auto" w:sz="0" w:space="0"/>
          <w:left w:val="none" w:color="auto" w:sz="0" w:space="0"/>
          <w:bottom w:val="single" w:color="FFFFFF" w:sz="8" w:space="31"/>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文村小学单位2024年收入预算394.05元，一般公共预算拨款收入394.05万元，占100%。</w:t>
      </w:r>
    </w:p>
    <w:p w14:paraId="364DA0A7">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right="0" w:rightChars="0" w:firstLine="640" w:firstLineChars="200"/>
        <w:jc w:val="both"/>
        <w:outlineLvl w:val="1"/>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bookmarkStart w:id="81" w:name="_Toc7849"/>
      <w:bookmarkStart w:id="82" w:name="_Toc23385"/>
      <w:bookmarkStart w:id="83" w:name="_Toc25234"/>
      <w:bookmarkStart w:id="84" w:name="_Toc27613"/>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（二）支出预算情况</w:t>
      </w:r>
      <w:bookmarkEnd w:id="81"/>
      <w:bookmarkEnd w:id="82"/>
      <w:bookmarkEnd w:id="83"/>
      <w:bookmarkEnd w:id="84"/>
    </w:p>
    <w:p w14:paraId="1D00D9EA">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right="0" w:rightChars="0" w:firstLine="640" w:firstLineChars="200"/>
        <w:jc w:val="both"/>
        <w:rPr>
          <w:rFonts w:hint="eastAsia" w:ascii="仿宋_GB2312" w:hAnsi="仿宋_GB2312" w:eastAsia="仿宋_GB2312" w:cs="仿宋_GB2312"/>
          <w:b w:val="0"/>
          <w:bCs w:val="0"/>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文村小学单位2024年支出预算394.05万元，其中：基本支出322.05万元，占81.73%；项目支出72万元，占18.27%</w:t>
      </w:r>
      <w:r>
        <w:rPr>
          <w:rFonts w:hint="eastAsia"/>
          <w:lang w:val="en-US" w:eastAsia="zh-CN"/>
        </w:rPr>
        <w:t>。</w:t>
      </w:r>
    </w:p>
    <w:p w14:paraId="3281DB27">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leftChars="0" w:right="0" w:firstLine="640" w:firstLineChars="200"/>
        <w:jc w:val="both"/>
        <w:outlineLvl w:val="0"/>
        <w:rPr>
          <w:rFonts w:hint="eastAsia" w:ascii="黑体" w:hAnsi="黑体" w:eastAsia="黑体" w:cs="黑体"/>
          <w:sz w:val="32"/>
          <w:szCs w:val="32"/>
          <w:lang w:val="en-US" w:eastAsia="zh-CN"/>
        </w:rPr>
      </w:pPr>
      <w:bookmarkStart w:id="85" w:name="_Toc25062"/>
      <w:bookmarkStart w:id="86" w:name="_Toc26161"/>
      <w:bookmarkStart w:id="87" w:name="_Toc4912"/>
      <w:bookmarkStart w:id="88" w:name="_Toc4941"/>
      <w:r>
        <w:rPr>
          <w:rFonts w:hint="eastAsia" w:ascii="黑体" w:hAnsi="黑体" w:eastAsia="黑体" w:cs="黑体"/>
          <w:sz w:val="32"/>
          <w:szCs w:val="32"/>
          <w:lang w:val="en-US" w:eastAsia="zh-CN"/>
        </w:rPr>
        <w:t>财政拨款收支预算情况说明</w:t>
      </w:r>
      <w:bookmarkEnd w:id="85"/>
      <w:bookmarkEnd w:id="86"/>
      <w:bookmarkEnd w:id="87"/>
      <w:bookmarkEnd w:id="88"/>
    </w:p>
    <w:p w14:paraId="66F93D8B">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right="0" w:rightChars="0" w:firstLine="640" w:firstLineChars="200"/>
        <w:jc w:val="both"/>
        <w:rPr>
          <w:rFonts w:hint="default" w:ascii="Times New Roman" w:hAnsi="Times New Roman" w:cs="Times New Roman"/>
          <w:i w:val="0"/>
          <w:caps w:val="0"/>
          <w:color w:val="333333"/>
          <w:spacing w:val="0"/>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文村小学单位2024年财政拨款收支总预算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394.05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万元,比2023年财政拨款收支总预算减少</w:t>
      </w:r>
      <w:r>
        <w:rPr>
          <w:rFonts w:hint="eastAsia" w:ascii="Times New Roman" w:hAnsi="Times New Roman" w:cs="Times New Roman"/>
          <w:i w:val="0"/>
          <w:caps w:val="0"/>
          <w:color w:val="333333"/>
          <w:spacing w:val="0"/>
          <w:kern w:val="0"/>
          <w:sz w:val="32"/>
          <w:szCs w:val="32"/>
          <w:shd w:val="clear" w:color="auto" w:fill="FFFFFF"/>
          <w:lang w:val="en-US" w:eastAsia="zh-CN" w:bidi="ar"/>
        </w:rPr>
        <w:t>48.12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元，主要原因是主要原因是基本支出减少。</w:t>
      </w:r>
    </w:p>
    <w:p w14:paraId="7248DF4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收入包括：本年一般公共预算拨款收入394.05万元；</w:t>
      </w:r>
    </w:p>
    <w:p w14:paraId="375D2B48">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支出包括：教育支出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322.05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r>
        <w:rPr>
          <w:rFonts w:hint="eastAsia" w:ascii="仿宋_GB2312" w:hAnsi="仿宋_GB2312" w:eastAsia="仿宋_GB2312" w:cs="仿宋_GB2312"/>
          <w:sz w:val="32"/>
          <w:szCs w:val="32"/>
          <w:lang w:val="en-US" w:eastAsia="zh-CN"/>
        </w:rPr>
        <w:t>社会保障和就业支出72万元</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p>
    <w:p w14:paraId="428EF30B">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9" w:name="_Toc10447"/>
      <w:bookmarkStart w:id="90" w:name="_Toc1440"/>
      <w:bookmarkStart w:id="91" w:name="_Toc20074"/>
      <w:bookmarkStart w:id="92" w:name="_Toc11250"/>
      <w:r>
        <w:rPr>
          <w:rFonts w:hint="eastAsia" w:ascii="黑体" w:hAnsi="黑体" w:eastAsia="黑体" w:cs="黑体"/>
          <w:sz w:val="32"/>
          <w:szCs w:val="32"/>
          <w:lang w:val="en-US" w:eastAsia="zh-CN"/>
        </w:rPr>
        <w:t>五、一般公共预算当年拨款情况说明</w:t>
      </w:r>
      <w:bookmarkEnd w:id="89"/>
      <w:bookmarkEnd w:id="90"/>
      <w:bookmarkEnd w:id="91"/>
      <w:bookmarkEnd w:id="92"/>
    </w:p>
    <w:p w14:paraId="55A40AD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outlineLvl w:val="1"/>
        <w:rPr>
          <w:rFonts w:hint="eastAsia" w:ascii="楷体_GB2312" w:hAnsi="楷体_GB2312" w:eastAsia="楷体_GB2312" w:cs="楷体_GB2312"/>
          <w:sz w:val="32"/>
          <w:szCs w:val="32"/>
          <w:lang w:val="en-US" w:eastAsia="zh-CN"/>
        </w:rPr>
      </w:pPr>
      <w:bookmarkStart w:id="93" w:name="_Toc29261"/>
      <w:bookmarkStart w:id="94" w:name="_Toc2675"/>
      <w:bookmarkStart w:id="95" w:name="_Toc24491"/>
      <w:bookmarkStart w:id="96" w:name="_Toc36"/>
      <w:r>
        <w:rPr>
          <w:rFonts w:hint="eastAsia" w:ascii="楷体_GB2312" w:hAnsi="楷体_GB2312" w:eastAsia="楷体_GB2312" w:cs="楷体_GB2312"/>
          <w:sz w:val="32"/>
          <w:szCs w:val="32"/>
          <w:lang w:val="en-US" w:eastAsia="zh-CN"/>
        </w:rPr>
        <w:t>（一）一般公共预算当年拨款规模变化情况</w:t>
      </w:r>
      <w:bookmarkEnd w:id="93"/>
      <w:bookmarkEnd w:id="94"/>
      <w:bookmarkEnd w:id="95"/>
      <w:bookmarkEnd w:id="96"/>
    </w:p>
    <w:p w14:paraId="35B56E5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文村小学单位2024年一般公共预算当年拨款</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394.05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万元，比2023年预算数减少</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48.12</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万元，主要原因是主要原因是基本支出减少。</w:t>
      </w:r>
    </w:p>
    <w:p w14:paraId="62C4D346">
      <w:pPr>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635" w:leftChars="0" w:right="0" w:firstLine="0" w:firstLineChars="0"/>
        <w:jc w:val="both"/>
        <w:outlineLvl w:val="1"/>
        <w:rPr>
          <w:rFonts w:hint="eastAsia" w:ascii="楷体_GB2312" w:hAnsi="楷体_GB2312" w:eastAsia="楷体_GB2312" w:cs="楷体_GB2312"/>
          <w:sz w:val="32"/>
          <w:szCs w:val="32"/>
          <w:lang w:val="en-US" w:eastAsia="zh-CN"/>
        </w:rPr>
      </w:pPr>
      <w:bookmarkStart w:id="97" w:name="_Toc14830"/>
      <w:bookmarkStart w:id="98" w:name="_Toc31502"/>
      <w:bookmarkStart w:id="99" w:name="_Toc14606"/>
      <w:bookmarkStart w:id="100" w:name="_Toc29506"/>
      <w:r>
        <w:rPr>
          <w:rFonts w:hint="eastAsia" w:ascii="楷体_GB2312" w:hAnsi="楷体_GB2312" w:eastAsia="楷体_GB2312" w:cs="楷体_GB2312"/>
          <w:sz w:val="32"/>
          <w:szCs w:val="32"/>
          <w:lang w:val="en-US" w:eastAsia="zh-CN"/>
        </w:rPr>
        <w:t>一般公共预算当年拨款结构情况</w:t>
      </w:r>
      <w:bookmarkEnd w:id="97"/>
      <w:bookmarkEnd w:id="98"/>
      <w:bookmarkEnd w:id="99"/>
      <w:bookmarkEnd w:id="100"/>
    </w:p>
    <w:p w14:paraId="35C0B08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教育支出</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322.05</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万元，占</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81.73</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r>
        <w:rPr>
          <w:rFonts w:hint="eastAsia" w:ascii="仿宋_GB2312" w:hAnsi="仿宋_GB2312" w:eastAsia="仿宋_GB2312" w:cs="仿宋_GB2312"/>
          <w:sz w:val="32"/>
          <w:szCs w:val="32"/>
          <w:lang w:val="en-US" w:eastAsia="zh-CN"/>
        </w:rPr>
        <w:t>社会保障和就业支出72万元，</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占</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18.27</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w:t>
      </w:r>
    </w:p>
    <w:p w14:paraId="09E4007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01" w:name="_Toc16707"/>
      <w:bookmarkStart w:id="102" w:name="_Toc12568"/>
      <w:bookmarkStart w:id="103" w:name="_Toc29762"/>
      <w:bookmarkStart w:id="104" w:name="_Toc13989"/>
      <w:r>
        <w:rPr>
          <w:rFonts w:hint="eastAsia" w:ascii="楷体_GB2312" w:hAnsi="楷体_GB2312" w:eastAsia="楷体_GB2312" w:cs="楷体_GB2312"/>
          <w:sz w:val="32"/>
          <w:szCs w:val="32"/>
          <w:lang w:val="en-US" w:eastAsia="zh-CN"/>
        </w:rPr>
        <w:t>（三）一般公共预算当年拨款具体使用情况</w:t>
      </w:r>
      <w:bookmarkEnd w:id="101"/>
      <w:bookmarkEnd w:id="102"/>
      <w:bookmarkEnd w:id="103"/>
      <w:bookmarkEnd w:id="104"/>
    </w:p>
    <w:p w14:paraId="2C985826">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Times New Roman" w:hAnsi="Times New Roman" w:eastAsia="仿宋_GB2312"/>
          <w:sz w:val="32"/>
          <w:szCs w:val="32"/>
        </w:rPr>
      </w:pPr>
      <w:r>
        <w:rPr>
          <w:rFonts w:hint="eastAsia" w:ascii="仿宋_GB2312" w:hAnsi="仿宋_GB2312" w:eastAsia="仿宋_GB2312" w:cs="仿宋_GB2312"/>
          <w:sz w:val="32"/>
          <w:szCs w:val="32"/>
          <w:lang w:val="en-US" w:eastAsia="zh-CN"/>
        </w:rPr>
        <w:t>1</w:t>
      </w:r>
      <w:r>
        <w:rPr>
          <w:rFonts w:hint="default" w:ascii="仿宋_GB2312" w:hAnsi="仿宋_GB2312" w:eastAsia="仿宋_GB2312" w:cs="仿宋_GB2312"/>
          <w:sz w:val="32"/>
          <w:szCs w:val="32"/>
          <w:lang w:val="en-US" w:eastAsia="zh-CN"/>
        </w:rPr>
        <w:t>.</w:t>
      </w:r>
      <w:r>
        <w:rPr>
          <w:rFonts w:hint="eastAsia" w:ascii="Times New Roman" w:hAnsi="Times New Roman" w:eastAsia="仿宋_GB2312"/>
          <w:sz w:val="32"/>
          <w:szCs w:val="32"/>
        </w:rPr>
        <w:t>教育支出</w:t>
      </w:r>
      <w:r>
        <w:rPr>
          <w:rFonts w:ascii="Times New Roman" w:hAnsi="Times New Roman" w:eastAsia="仿宋_GB2312"/>
          <w:sz w:val="32"/>
          <w:szCs w:val="32"/>
        </w:rPr>
        <w:t>（类）</w:t>
      </w:r>
      <w:r>
        <w:rPr>
          <w:rFonts w:hint="eastAsia" w:ascii="Times New Roman" w:hAnsi="Times New Roman" w:eastAsia="仿宋_GB2312"/>
          <w:sz w:val="32"/>
          <w:szCs w:val="32"/>
        </w:rPr>
        <w:t>普通教育</w:t>
      </w:r>
      <w:r>
        <w:rPr>
          <w:rFonts w:ascii="Times New Roman" w:hAnsi="Times New Roman" w:eastAsia="仿宋_GB2312"/>
          <w:sz w:val="32"/>
          <w:szCs w:val="32"/>
        </w:rPr>
        <w:t>（款）</w:t>
      </w:r>
      <w:r>
        <w:rPr>
          <w:rFonts w:hint="eastAsia" w:ascii="Times New Roman" w:hAnsi="Times New Roman" w:eastAsia="仿宋_GB2312"/>
          <w:sz w:val="32"/>
          <w:szCs w:val="32"/>
        </w:rPr>
        <w:t>小学教育</w:t>
      </w:r>
      <w:r>
        <w:rPr>
          <w:rFonts w:ascii="Times New Roman" w:hAnsi="Times New Roman" w:eastAsia="仿宋_GB2312"/>
          <w:sz w:val="32"/>
          <w:szCs w:val="32"/>
        </w:rPr>
        <w:t>（项）202</w:t>
      </w:r>
      <w:r>
        <w:rPr>
          <w:rFonts w:hint="eastAsia" w:ascii="Times New Roman" w:hAnsi="Times New Roman" w:eastAsia="仿宋_GB2312"/>
          <w:sz w:val="32"/>
          <w:szCs w:val="32"/>
          <w:lang w:val="en-US" w:eastAsia="zh-CN"/>
        </w:rPr>
        <w:t>4</w:t>
      </w:r>
      <w:r>
        <w:rPr>
          <w:rFonts w:ascii="Times New Roman" w:hAnsi="Times New Roman" w:eastAsia="仿宋_GB2312"/>
          <w:sz w:val="32"/>
          <w:szCs w:val="32"/>
        </w:rPr>
        <w:t>年预算数为</w:t>
      </w:r>
      <w:r>
        <w:rPr>
          <w:rFonts w:hint="eastAsia" w:ascii="Times New Roman" w:hAnsi="Times New Roman" w:eastAsia="仿宋_GB2312"/>
          <w:sz w:val="32"/>
          <w:szCs w:val="32"/>
          <w:lang w:val="en-US" w:eastAsia="zh-CN"/>
        </w:rPr>
        <w:t>322.05</w:t>
      </w:r>
      <w:r>
        <w:rPr>
          <w:rFonts w:ascii="Times New Roman" w:hAnsi="Times New Roman" w:eastAsia="仿宋_GB2312"/>
          <w:sz w:val="32"/>
          <w:szCs w:val="32"/>
        </w:rPr>
        <w:t>万元，主要用于：</w:t>
      </w:r>
      <w:r>
        <w:rPr>
          <w:rFonts w:hint="eastAsia" w:ascii="Times New Roman" w:hAnsi="Times New Roman" w:eastAsia="仿宋_GB2312"/>
          <w:sz w:val="32"/>
          <w:szCs w:val="32"/>
        </w:rPr>
        <w:t>义务教育小学教育发展的基本支出，</w:t>
      </w:r>
      <w:r>
        <w:rPr>
          <w:rFonts w:ascii="Times New Roman" w:hAnsi="Times New Roman" w:eastAsia="仿宋_GB2312"/>
          <w:sz w:val="32"/>
          <w:szCs w:val="32"/>
        </w:rPr>
        <w:t>包括基本工资、津贴补贴等人员经费以及办公费、印刷费、水电费</w:t>
      </w:r>
      <w:r>
        <w:rPr>
          <w:rFonts w:hint="eastAsia" w:ascii="Times New Roman" w:hAnsi="Times New Roman" w:eastAsia="仿宋_GB2312"/>
          <w:sz w:val="32"/>
          <w:szCs w:val="32"/>
          <w:lang w:eastAsia="zh-CN"/>
        </w:rPr>
        <w:t>、</w:t>
      </w:r>
      <w:r>
        <w:rPr>
          <w:rFonts w:hint="eastAsia" w:ascii="Times New Roman" w:hAnsi="Times New Roman" w:eastAsia="仿宋_GB2312"/>
          <w:sz w:val="32"/>
          <w:szCs w:val="32"/>
          <w:lang w:val="en-US" w:eastAsia="zh-CN"/>
        </w:rPr>
        <w:t>工会经费</w:t>
      </w:r>
      <w:r>
        <w:rPr>
          <w:rFonts w:ascii="Times New Roman" w:hAnsi="Times New Roman" w:eastAsia="仿宋_GB2312"/>
          <w:sz w:val="32"/>
          <w:szCs w:val="32"/>
        </w:rPr>
        <w:t>等日常公用经费</w:t>
      </w:r>
      <w:r>
        <w:rPr>
          <w:rFonts w:hint="eastAsia" w:ascii="Times New Roman" w:hAnsi="Times New Roman" w:eastAsia="仿宋_GB2312"/>
          <w:sz w:val="32"/>
          <w:szCs w:val="32"/>
        </w:rPr>
        <w:t>。</w:t>
      </w:r>
    </w:p>
    <w:p w14:paraId="27637CF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2.社会保障和就业（类）行政事业单位养老支出（款）事业单位离退休（项）2024年预算数为72万元，主要用于：部门下属事业单位离退休人员经费支出。</w:t>
      </w:r>
    </w:p>
    <w:p w14:paraId="6233676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05" w:name="_Toc27260"/>
      <w:bookmarkStart w:id="106" w:name="_Toc15130"/>
      <w:bookmarkStart w:id="107" w:name="_Toc10510"/>
      <w:bookmarkStart w:id="108" w:name="_Toc15725"/>
      <w:r>
        <w:rPr>
          <w:rFonts w:hint="eastAsia" w:ascii="黑体" w:hAnsi="黑体" w:eastAsia="黑体" w:cs="黑体"/>
          <w:sz w:val="32"/>
          <w:szCs w:val="32"/>
          <w:lang w:val="en-US" w:eastAsia="zh-CN"/>
        </w:rPr>
        <w:t>六、一般公共预算基本支出情况说明</w:t>
      </w:r>
      <w:bookmarkEnd w:id="105"/>
      <w:bookmarkEnd w:id="106"/>
      <w:bookmarkEnd w:id="107"/>
      <w:bookmarkEnd w:id="108"/>
    </w:p>
    <w:p w14:paraId="4331CD7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文村小学单位2024年一般公共预算基本支出365.17万元，其中：</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其中：人员经费</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365.17</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万元，主要包括：基本工资、津贴补贴、奖金、社会保险缴费、住房公积金等支出。</w:t>
      </w:r>
    </w:p>
    <w:p w14:paraId="673FE74E">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09" w:name="_Toc13834"/>
      <w:bookmarkStart w:id="110" w:name="_Toc4748"/>
      <w:bookmarkStart w:id="111" w:name="_Toc14074"/>
      <w:bookmarkStart w:id="112" w:name="_Toc21566"/>
      <w:r>
        <w:rPr>
          <w:rFonts w:hint="eastAsia" w:ascii="黑体" w:hAnsi="黑体" w:eastAsia="黑体" w:cs="黑体"/>
          <w:sz w:val="32"/>
          <w:szCs w:val="32"/>
          <w:lang w:val="en-US" w:eastAsia="zh-CN"/>
        </w:rPr>
        <w:t>七、“三公”经费财政拨款预算安排情况说明</w:t>
      </w:r>
      <w:bookmarkEnd w:id="109"/>
      <w:bookmarkEnd w:id="110"/>
      <w:bookmarkEnd w:id="111"/>
      <w:bookmarkEnd w:id="112"/>
    </w:p>
    <w:p w14:paraId="6E84E7D6">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文村小学单位2024年“三公”经费财政拨款预算数</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p>
    <w:p w14:paraId="31952132">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3" w:name="_Toc4681"/>
      <w:bookmarkStart w:id="114" w:name="_Toc22228"/>
      <w:bookmarkStart w:id="115" w:name="_Toc17036"/>
      <w:bookmarkStart w:id="116" w:name="_Toc8111"/>
      <w:r>
        <w:rPr>
          <w:rFonts w:hint="eastAsia" w:ascii="楷体_GB2312" w:hAnsi="楷体_GB2312" w:eastAsia="楷体_GB2312" w:cs="楷体_GB2312"/>
          <w:sz w:val="32"/>
          <w:szCs w:val="32"/>
          <w:lang w:val="en-US" w:eastAsia="zh-CN"/>
        </w:rPr>
        <w:t>（一）公务接待费</w:t>
      </w:r>
      <w:bookmarkEnd w:id="113"/>
      <w:bookmarkEnd w:id="114"/>
      <w:bookmarkEnd w:id="115"/>
      <w:bookmarkEnd w:id="116"/>
    </w:p>
    <w:p w14:paraId="63AFFD99">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公务接待费与2023年预算相比持平。</w:t>
      </w:r>
    </w:p>
    <w:p w14:paraId="19DC380D">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17" w:name="_Toc9077"/>
      <w:bookmarkStart w:id="118" w:name="_Toc26877"/>
      <w:bookmarkStart w:id="119" w:name="_Toc8681"/>
      <w:bookmarkStart w:id="120" w:name="_Toc10325"/>
      <w:r>
        <w:rPr>
          <w:rFonts w:hint="eastAsia" w:ascii="仿宋_GB2312" w:hAnsi="仿宋_GB2312" w:eastAsia="仿宋_GB2312" w:cs="仿宋_GB2312"/>
          <w:sz w:val="32"/>
          <w:szCs w:val="32"/>
          <w:lang w:val="en-US" w:eastAsia="zh-CN"/>
        </w:rPr>
        <w:t>（二）</w:t>
      </w:r>
      <w:r>
        <w:rPr>
          <w:rFonts w:hint="eastAsia" w:ascii="楷体_GB2312" w:hAnsi="楷体_GB2312" w:eastAsia="楷体_GB2312" w:cs="楷体_GB2312"/>
          <w:sz w:val="32"/>
          <w:szCs w:val="32"/>
          <w:lang w:val="en-US" w:eastAsia="zh-CN"/>
        </w:rPr>
        <w:t>公务用车购置及运行维护费</w:t>
      </w:r>
      <w:bookmarkEnd w:id="117"/>
      <w:bookmarkEnd w:id="118"/>
      <w:bookmarkEnd w:id="119"/>
      <w:bookmarkEnd w:id="120"/>
    </w:p>
    <w:p w14:paraId="2E607770">
      <w:pPr>
        <w:keepNext w:val="0"/>
        <w:keepLines w:val="0"/>
        <w:pageBreakBefore w:val="0"/>
        <w:widowControl w:val="0"/>
        <w:kinsoku/>
        <w:wordWrap/>
        <w:overflowPunct/>
        <w:topLinePunct w:val="0"/>
        <w:autoSpaceDE/>
        <w:autoSpaceDN/>
        <w:bidi w:val="0"/>
        <w:adjustRightInd/>
        <w:snapToGrid/>
        <w:spacing w:line="576" w:lineRule="exact"/>
        <w:ind w:left="638" w:leftChars="304" w:firstLine="0" w:firstLineChars="0"/>
        <w:textAlignment w:val="auto"/>
        <w:outlineLvl w:val="1"/>
        <w:rPr>
          <w:rFonts w:hint="eastAsia" w:ascii="仿宋_GB2312" w:hAnsi="仿宋_GB2312" w:eastAsia="仿宋_GB2312" w:cs="仿宋_GB2312"/>
          <w:sz w:val="32"/>
          <w:szCs w:val="32"/>
          <w:lang w:val="en-US" w:eastAsia="zh-CN"/>
        </w:rPr>
      </w:pPr>
      <w:bookmarkStart w:id="121" w:name="_Toc6192"/>
      <w:bookmarkStart w:id="122" w:name="_Toc32085"/>
      <w:bookmarkStart w:id="123" w:name="_Toc6019"/>
      <w:bookmarkStart w:id="124" w:name="_Toc5880"/>
      <w:r>
        <w:rPr>
          <w:rFonts w:hint="eastAsia" w:ascii="仿宋_GB2312" w:hAnsi="仿宋_GB2312" w:eastAsia="仿宋_GB2312" w:cs="仿宋_GB2312"/>
          <w:sz w:val="32"/>
          <w:szCs w:val="32"/>
          <w:lang w:val="en-US" w:eastAsia="zh-CN"/>
        </w:rPr>
        <w:t>公务</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用车购置及运行维护费与2023年预算持平。</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单位现有公务用车0辆。</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2024年未安排公务用车购置费。</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br w:type="textWrapping"/>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2024年安排公务用车运行维护费0万元。</w:t>
      </w:r>
      <w:bookmarkEnd w:id="121"/>
      <w:bookmarkEnd w:id="122"/>
      <w:bookmarkEnd w:id="123"/>
      <w:bookmarkEnd w:id="124"/>
      <w:r>
        <w:rPr>
          <w:rFonts w:hint="eastAsia" w:ascii="仿宋_GB2312" w:hAnsi="仿宋_GB2312" w:eastAsia="仿宋_GB2312" w:cs="仿宋_GB2312"/>
          <w:sz w:val="32"/>
          <w:szCs w:val="32"/>
          <w:lang w:val="en-US" w:eastAsia="zh-CN"/>
        </w:rPr>
        <w:t xml:space="preserve">    </w:t>
      </w:r>
    </w:p>
    <w:p w14:paraId="301E1036">
      <w:pPr>
        <w:keepNext w:val="0"/>
        <w:keepLines w:val="0"/>
        <w:pageBreakBefore w:val="0"/>
        <w:widowControl w:val="0"/>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bookmarkStart w:id="125" w:name="_Toc9719"/>
      <w:bookmarkStart w:id="126" w:name="_Toc27784"/>
      <w:bookmarkStart w:id="127" w:name="_Toc31306"/>
      <w:bookmarkStart w:id="128" w:name="_Toc4479"/>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125"/>
      <w:bookmarkEnd w:id="126"/>
      <w:bookmarkEnd w:id="127"/>
      <w:bookmarkEnd w:id="128"/>
    </w:p>
    <w:p w14:paraId="4CE2E9C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因公出国（境）经费与2023年预算相比持平。</w:t>
      </w:r>
    </w:p>
    <w:p w14:paraId="455FC9D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29" w:name="_Toc17678"/>
      <w:bookmarkStart w:id="130" w:name="_Toc7662"/>
      <w:bookmarkStart w:id="131" w:name="_Toc10506"/>
      <w:bookmarkStart w:id="132" w:name="_Toc11260"/>
      <w:r>
        <w:rPr>
          <w:rFonts w:hint="eastAsia" w:ascii="黑体" w:hAnsi="黑体" w:eastAsia="黑体" w:cs="黑体"/>
          <w:sz w:val="32"/>
          <w:szCs w:val="32"/>
          <w:lang w:val="en-US" w:eastAsia="zh-CN"/>
        </w:rPr>
        <w:t>八、政府性基金预算支出情况说明</w:t>
      </w:r>
      <w:bookmarkEnd w:id="129"/>
      <w:bookmarkEnd w:id="130"/>
      <w:bookmarkEnd w:id="131"/>
      <w:bookmarkEnd w:id="132"/>
    </w:p>
    <w:p w14:paraId="5BC09085">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文村小学单位2024年没有使用政府性基金预算拨款安排的支出。</w:t>
      </w:r>
    </w:p>
    <w:p w14:paraId="421FA8B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33" w:name="_Toc20341"/>
      <w:bookmarkStart w:id="134" w:name="_Toc32709"/>
      <w:bookmarkStart w:id="135" w:name="_Toc30791"/>
      <w:bookmarkStart w:id="136" w:name="_Toc31717"/>
      <w:r>
        <w:rPr>
          <w:rFonts w:hint="eastAsia" w:ascii="黑体" w:hAnsi="黑体" w:eastAsia="黑体" w:cs="黑体"/>
          <w:sz w:val="32"/>
          <w:szCs w:val="32"/>
          <w:lang w:val="en-US" w:eastAsia="zh-CN"/>
        </w:rPr>
        <w:t>九、国有资本经营预算支出情况说明</w:t>
      </w:r>
      <w:bookmarkEnd w:id="133"/>
      <w:bookmarkEnd w:id="134"/>
      <w:bookmarkEnd w:id="135"/>
      <w:bookmarkEnd w:id="136"/>
    </w:p>
    <w:p w14:paraId="4A1A603B">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文村小学单位2024年没有使用国有资本经营预算拨款安排的支出。</w:t>
      </w:r>
    </w:p>
    <w:p w14:paraId="4BB645E9">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37" w:name="_Toc28356"/>
      <w:bookmarkStart w:id="138" w:name="_Toc24026"/>
      <w:bookmarkStart w:id="139" w:name="_Toc13646"/>
      <w:bookmarkStart w:id="140" w:name="_Toc7899"/>
      <w:r>
        <w:rPr>
          <w:rFonts w:hint="eastAsia" w:ascii="黑体" w:hAnsi="黑体" w:eastAsia="黑体" w:cs="黑体"/>
          <w:sz w:val="32"/>
          <w:szCs w:val="32"/>
          <w:lang w:val="en-US" w:eastAsia="zh-CN"/>
        </w:rPr>
        <w:t>十、其他重要事项的情况说明</w:t>
      </w:r>
      <w:bookmarkEnd w:id="137"/>
      <w:bookmarkEnd w:id="138"/>
      <w:bookmarkEnd w:id="139"/>
      <w:bookmarkEnd w:id="140"/>
    </w:p>
    <w:p w14:paraId="2A30349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1" w:name="_Toc20055"/>
      <w:bookmarkStart w:id="142" w:name="_Toc3095"/>
      <w:bookmarkStart w:id="143" w:name="_Toc20951"/>
      <w:bookmarkStart w:id="144" w:name="_Toc16891"/>
      <w:r>
        <w:rPr>
          <w:rFonts w:hint="eastAsia" w:ascii="楷体_GB2312" w:hAnsi="楷体_GB2312" w:eastAsia="楷体_GB2312" w:cs="楷体_GB2312"/>
          <w:sz w:val="32"/>
          <w:szCs w:val="32"/>
          <w:lang w:val="en-US" w:eastAsia="zh-CN"/>
        </w:rPr>
        <w:t>（一）机关运行经费</w:t>
      </w:r>
      <w:bookmarkEnd w:id="141"/>
      <w:bookmarkEnd w:id="142"/>
      <w:bookmarkEnd w:id="143"/>
      <w:bookmarkEnd w:id="144"/>
    </w:p>
    <w:p w14:paraId="2AF5FB50">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2024年文村小学未安排机关运行经费。</w:t>
      </w:r>
    </w:p>
    <w:p w14:paraId="4D6EE054">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5" w:name="_Toc16123"/>
      <w:bookmarkStart w:id="146" w:name="_Toc5467"/>
      <w:bookmarkStart w:id="147" w:name="_Toc27228"/>
      <w:bookmarkStart w:id="148" w:name="_Toc27020"/>
      <w:r>
        <w:rPr>
          <w:rFonts w:hint="eastAsia" w:ascii="楷体_GB2312" w:hAnsi="楷体_GB2312" w:eastAsia="楷体_GB2312" w:cs="楷体_GB2312"/>
          <w:sz w:val="32"/>
          <w:szCs w:val="32"/>
          <w:lang w:val="en-US" w:eastAsia="zh-CN"/>
        </w:rPr>
        <w:t>（二）政府采购情况</w:t>
      </w:r>
      <w:bookmarkEnd w:id="145"/>
      <w:bookmarkEnd w:id="146"/>
      <w:bookmarkEnd w:id="147"/>
      <w:bookmarkEnd w:id="148"/>
    </w:p>
    <w:p w14:paraId="17D1801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default" w:ascii="Times New Roman" w:hAnsi="Times New Roman" w:cs="Times New Roman"/>
          <w:i w:val="0"/>
          <w:caps w:val="0"/>
          <w:color w:val="333333"/>
          <w:spacing w:val="0"/>
          <w:sz w:val="32"/>
          <w:szCs w:val="32"/>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2024年文村小学单位安排政府采购预算</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万元。</w:t>
      </w:r>
    </w:p>
    <w:p w14:paraId="38A44DFD">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9" w:name="_Toc21503"/>
      <w:bookmarkStart w:id="150" w:name="_Toc31565"/>
      <w:bookmarkStart w:id="151" w:name="_Toc25893"/>
      <w:bookmarkStart w:id="152" w:name="_Toc25805"/>
      <w:r>
        <w:rPr>
          <w:rFonts w:hint="eastAsia" w:ascii="楷体_GB2312" w:hAnsi="楷体_GB2312" w:eastAsia="楷体_GB2312" w:cs="楷体_GB2312"/>
          <w:sz w:val="32"/>
          <w:szCs w:val="32"/>
          <w:lang w:val="en-US" w:eastAsia="zh-CN"/>
        </w:rPr>
        <w:t>（三）国有资产占有使用情况</w:t>
      </w:r>
      <w:bookmarkEnd w:id="149"/>
      <w:bookmarkEnd w:id="150"/>
      <w:bookmarkEnd w:id="151"/>
      <w:bookmarkEnd w:id="152"/>
    </w:p>
    <w:p w14:paraId="2E291327">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截至2023年底，文村小学单位共有车辆</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辆，其中，领导干部用车</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辆、定向保障用车</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辆、执法执勤用车</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辆。单位价值0万元以上大型设备</w:t>
      </w:r>
      <w:r>
        <w:rPr>
          <w:rFonts w:hint="eastAsia" w:ascii="Times New Roman" w:hAnsi="Times New Roman" w:eastAsia="仿宋_GB2312" w:cs="Times New Roman"/>
          <w:i w:val="0"/>
          <w:caps w:val="0"/>
          <w:color w:val="333333"/>
          <w:spacing w:val="0"/>
          <w:kern w:val="0"/>
          <w:sz w:val="32"/>
          <w:szCs w:val="32"/>
          <w:shd w:val="clear" w:color="auto" w:fill="FFFFFF"/>
          <w:lang w:val="en-US" w:eastAsia="zh-CN" w:bidi="ar"/>
        </w:rPr>
        <w:t>0</w:t>
      </w: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台（套）。</w:t>
      </w:r>
    </w:p>
    <w:p w14:paraId="37C7BF6A">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153" w:name="_Toc10330"/>
      <w:bookmarkStart w:id="154" w:name="_Toc13746"/>
      <w:bookmarkStart w:id="155" w:name="_Toc6233"/>
      <w:bookmarkStart w:id="156" w:name="_Toc24620"/>
      <w:r>
        <w:rPr>
          <w:rFonts w:hint="eastAsia" w:ascii="楷体_GB2312" w:hAnsi="楷体_GB2312" w:eastAsia="楷体_GB2312" w:cs="楷体_GB2312"/>
          <w:sz w:val="32"/>
          <w:szCs w:val="32"/>
          <w:lang w:val="en-US" w:eastAsia="zh-CN"/>
        </w:rPr>
        <w:t>（四）绩效目标设置情况</w:t>
      </w:r>
      <w:bookmarkEnd w:id="153"/>
      <w:bookmarkEnd w:id="154"/>
      <w:bookmarkEnd w:id="155"/>
      <w:bookmarkEnd w:id="156"/>
    </w:p>
    <w:p w14:paraId="42BCC5B3">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2024年文村小学开展绩效目标管理的项目4个，涉及预算28.88万元。其中：人员类项目0个，涉及预算 0万元；运转类项目4个，涉及预算28.88万元；特定目标类项目0个，涉及预算0万元。因部分项目内容涉密，不予公开</w:t>
      </w:r>
      <w:r>
        <w:rPr>
          <w:rFonts w:hint="eastAsia" w:ascii="仿宋_GB2312" w:hAnsi="Times New Roman" w:eastAsia="仿宋_GB2312" w:cs="仿宋_GB2312"/>
          <w:i w:val="0"/>
          <w:caps w:val="0"/>
          <w:color w:val="333333"/>
          <w:spacing w:val="0"/>
          <w:kern w:val="0"/>
          <w:sz w:val="32"/>
          <w:szCs w:val="32"/>
          <w:highlight w:val="none"/>
          <w:shd w:val="clear" w:color="auto" w:fill="FFFFFF"/>
          <w:lang w:val="en-US" w:eastAsia="zh-CN" w:bidi="ar"/>
        </w:rPr>
        <w:t>。</w:t>
      </w:r>
    </w:p>
    <w:p w14:paraId="6F657D1E">
      <w:pPr>
        <w:keepNext w:val="0"/>
        <w:keepLines w:val="0"/>
        <w:pageBreakBefore w:val="0"/>
        <w:widowControl w:val="0"/>
        <w:numPr>
          <w:ilvl w:val="0"/>
          <w:numId w:val="3"/>
        </w:numPr>
        <w:kinsoku/>
        <w:wordWrap/>
        <w:overflowPunct/>
        <w:topLinePunct w:val="0"/>
        <w:autoSpaceDE/>
        <w:autoSpaceDN/>
        <w:bidi w:val="0"/>
        <w:adjustRightInd/>
        <w:snapToGrid/>
        <w:spacing w:line="576" w:lineRule="exact"/>
        <w:ind w:firstLine="640" w:firstLineChars="200"/>
        <w:textAlignment w:val="auto"/>
        <w:outlineLvl w:val="0"/>
        <w:rPr>
          <w:rFonts w:hint="eastAsia" w:ascii="仿宋_GB2312" w:hAnsi="仿宋_GB2312" w:eastAsia="仿宋_GB2312" w:cs="仿宋_GB2312"/>
          <w:sz w:val="32"/>
          <w:szCs w:val="32"/>
          <w:lang w:val="en-US" w:eastAsia="zh-CN"/>
        </w:rPr>
      </w:pPr>
      <w:bookmarkStart w:id="157" w:name="_Toc27500"/>
      <w:bookmarkStart w:id="158" w:name="_Toc6198"/>
      <w:bookmarkStart w:id="159" w:name="_Toc2761"/>
      <w:bookmarkStart w:id="160" w:name="_Toc6010"/>
      <w:r>
        <w:rPr>
          <w:rFonts w:hint="eastAsia" w:ascii="黑体" w:hAnsi="黑体" w:eastAsia="黑体" w:cs="黑体"/>
          <w:sz w:val="32"/>
          <w:szCs w:val="32"/>
          <w:lang w:val="en-US" w:eastAsia="zh-CN"/>
        </w:rPr>
        <w:t>名词解释</w:t>
      </w:r>
      <w:bookmarkEnd w:id="157"/>
      <w:bookmarkEnd w:id="158"/>
      <w:bookmarkEnd w:id="159"/>
      <w:bookmarkEnd w:id="160"/>
    </w:p>
    <w:p w14:paraId="64BDEA0A">
      <w:pPr>
        <w:keepNext w:val="0"/>
        <w:keepLines w:val="0"/>
        <w:pageBreakBefore w:val="0"/>
        <w:widowControl w:val="0"/>
        <w:numPr>
          <w:ilvl w:val="0"/>
          <w:numId w:val="0"/>
        </w:numPr>
        <w:kinsoku/>
        <w:wordWrap/>
        <w:overflowPunct/>
        <w:topLinePunct w:val="0"/>
        <w:autoSpaceDE/>
        <w:autoSpaceDN/>
        <w:bidi w:val="0"/>
        <w:adjustRightInd/>
        <w:snapToGrid/>
        <w:spacing w:line="576" w:lineRule="exact"/>
        <w:ind w:firstLine="720" w:firstLineChars="300"/>
        <w:textAlignment w:val="auto"/>
        <w:rPr>
          <w:rFonts w:hint="eastAsia" w:ascii="仿宋_GB2312" w:hAnsi="仿宋_GB2312" w:eastAsia="仿宋_GB2312" w:cs="仿宋_GB2312"/>
          <w:sz w:val="32"/>
          <w:szCs w:val="32"/>
          <w:lang w:val="en-US" w:eastAsia="zh-CN"/>
        </w:rPr>
      </w:pPr>
      <w:r>
        <w:rPr>
          <w:rFonts w:ascii="宋体" w:hAnsi="宋体" w:eastAsia="宋体" w:cs="宋体"/>
          <w:sz w:val="24"/>
          <w:szCs w:val="24"/>
        </w:rPr>
        <w:t>（</w:t>
      </w:r>
      <w:r>
        <w:rPr>
          <w:rFonts w:hint="eastAsia" w:ascii="仿宋_GB2312" w:hAnsi="仿宋_GB2312" w:eastAsia="仿宋_GB2312" w:cs="仿宋_GB2312"/>
          <w:sz w:val="32"/>
          <w:szCs w:val="32"/>
          <w:lang w:val="en-US" w:eastAsia="zh-CN"/>
        </w:rPr>
        <w:t>一）财政拨款收入:指财政当年安排的财政预算收入。按现行管理制度,部门预算中反映的财政拨款包括一般公共预算拨款和政府性基金预算拨款。</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（二）教育支出（类）普通教育（款）小学教育（项）：指全区小学教育发展的基本支出，包括基本工资、津贴补贴等人员经费以及办公费、印刷费、水电费等日常公用经费。</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xml:space="preserve">    （三）社会保障和就业（类）行政事业单位养老支出（款）事业单位离退休（项）：指事业单位离退休人员的支出。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（四）基本支出：指为保证机构正常运转，完成日常工作任务而发生的人员支出和公用支出。</w:t>
      </w:r>
      <w:r>
        <w:rPr>
          <w:rFonts w:hint="eastAsia" w:ascii="仿宋_GB2312" w:hAnsi="仿宋_GB2312" w:eastAsia="仿宋_GB2312" w:cs="仿宋_GB2312"/>
          <w:sz w:val="32"/>
          <w:szCs w:val="32"/>
          <w:lang w:val="en-US" w:eastAsia="zh-CN"/>
        </w:rPr>
        <w:br w:type="textWrapping"/>
      </w:r>
      <w:r>
        <w:rPr>
          <w:rFonts w:hint="eastAsia" w:ascii="仿宋_GB2312" w:hAnsi="仿宋_GB2312" w:eastAsia="仿宋_GB2312" w:cs="仿宋_GB2312"/>
          <w:sz w:val="32"/>
          <w:szCs w:val="32"/>
          <w:lang w:val="en-US" w:eastAsia="zh-CN"/>
        </w:rPr>
        <w:t>　　</w:t>
      </w:r>
      <w:r>
        <w:rPr>
          <w:rFonts w:hint="eastAsia" w:ascii="仿宋_GB2312" w:hAnsi="仿宋_GB2312" w:eastAsia="仿宋_GB2312" w:cs="仿宋_GB2312"/>
          <w:sz w:val="32"/>
          <w:szCs w:val="32"/>
          <w:lang w:val="en-US" w:eastAsia="zh-CN"/>
        </w:rPr>
        <w:br w:type="textWrapping"/>
      </w:r>
    </w:p>
    <w:p w14:paraId="2FFA3B10">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p>
    <w:p w14:paraId="2046F374">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p>
    <w:p w14:paraId="21F41C9F">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668"/>
        <w:jc w:val="both"/>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附件：1.预算公开表</w:t>
      </w:r>
    </w:p>
    <w:p w14:paraId="74DACE88">
      <w:pPr>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80" w:lineRule="atLeast"/>
        <w:ind w:left="0" w:right="0" w:firstLine="1654" w:firstLineChars="517"/>
        <w:jc w:val="both"/>
        <w:rPr>
          <w:rFonts w:hint="default" w:ascii="仿宋_GB2312" w:hAnsi="Times New Roman" w:eastAsia="仿宋_GB2312" w:cs="仿宋_GB2312"/>
          <w:i w:val="0"/>
          <w:caps w:val="0"/>
          <w:color w:val="333333"/>
          <w:spacing w:val="0"/>
          <w:kern w:val="0"/>
          <w:sz w:val="32"/>
          <w:szCs w:val="32"/>
          <w:shd w:val="clear" w:color="auto" w:fill="FFFFFF"/>
          <w:lang w:val="en-US" w:eastAsia="zh-CN" w:bidi="ar"/>
        </w:rPr>
      </w:pPr>
      <w:r>
        <w:rPr>
          <w:rFonts w:hint="eastAsia" w:ascii="仿宋_GB2312" w:hAnsi="Times New Roman" w:eastAsia="仿宋_GB2312" w:cs="仿宋_GB2312"/>
          <w:i w:val="0"/>
          <w:caps w:val="0"/>
          <w:color w:val="333333"/>
          <w:spacing w:val="0"/>
          <w:kern w:val="0"/>
          <w:sz w:val="32"/>
          <w:szCs w:val="32"/>
          <w:shd w:val="clear" w:color="auto" w:fill="FFFFFF"/>
          <w:lang w:val="en-US" w:eastAsia="zh-CN" w:bidi="ar"/>
        </w:rPr>
        <w:t>2.项目支出绩效目标表</w:t>
      </w:r>
    </w:p>
    <w:p w14:paraId="04E166C1">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黑体" w:hAnsi="黑体" w:eastAsia="黑体" w:cs="黑体"/>
          <w:sz w:val="32"/>
          <w:szCs w:val="32"/>
        </w:rPr>
      </w:pPr>
    </w:p>
    <w:p w14:paraId="6235183D">
      <w:pPr>
        <w:keepNext w:val="0"/>
        <w:keepLines w:val="0"/>
        <w:pageBreakBefore w:val="0"/>
        <w:widowControl w:val="0"/>
        <w:kinsoku/>
        <w:wordWrap/>
        <w:overflowPunct/>
        <w:topLinePunct w:val="0"/>
        <w:autoSpaceDE/>
        <w:autoSpaceDN/>
        <w:bidi w:val="0"/>
        <w:adjustRightInd/>
        <w:snapToGrid/>
        <w:spacing w:line="576" w:lineRule="exact"/>
        <w:ind w:firstLine="643" w:firstLineChars="200"/>
        <w:textAlignment w:val="auto"/>
        <w:rPr>
          <w:rFonts w:hint="eastAsia" w:ascii="仿宋_GB2312" w:hAnsi="仿宋_GB2312" w:eastAsia="仿宋_GB2312" w:cs="仿宋_GB2312"/>
          <w:b/>
          <w:bCs/>
          <w:sz w:val="32"/>
          <w:szCs w:val="32"/>
          <w:lang w:eastAsia="zh-CN"/>
        </w:rPr>
      </w:pPr>
    </w:p>
    <w:sectPr>
      <w:footerReference r:id="rId3" w:type="default"/>
      <w:pgSz w:w="11906" w:h="16838"/>
      <w:pgMar w:top="2098" w:right="1474" w:bottom="1984" w:left="1587" w:header="720" w:footer="1559"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F668184-FBC8-4C37-8FF5-E85E89F9F0F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Liberation Sans">
    <w:altName w:val="Segoe Print"/>
    <w:panose1 w:val="020B0604020202020204"/>
    <w:charset w:val="00"/>
    <w:family w:val="swiss"/>
    <w:pitch w:val="default"/>
    <w:sig w:usb0="00000000" w:usb1="00000000" w:usb2="00000000" w:usb3="00000000" w:csb0="6000009F" w:csb1="DFD70000"/>
  </w:font>
  <w:font w:name="Segoe Print">
    <w:panose1 w:val="02000600000000000000"/>
    <w:charset w:val="00"/>
    <w:family w:val="auto"/>
    <w:pitch w:val="default"/>
    <w:sig w:usb0="0000028F" w:usb1="00000000" w:usb2="00000000" w:usb3="00000000" w:csb0="2000009F" w:csb1="4701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2000000000000000000"/>
    <w:charset w:val="86"/>
    <w:family w:val="auto"/>
    <w:pitch w:val="default"/>
    <w:sig w:usb0="00000001" w:usb1="08000000" w:usb2="00000000" w:usb3="00000000" w:csb0="00040000" w:csb1="00000000"/>
    <w:embedRegular r:id="rId2" w:fontKey="{1858AD2B-33F5-4F56-9976-925102718F57}"/>
  </w:font>
  <w:font w:name="仿宋">
    <w:panose1 w:val="02010609060101010101"/>
    <w:charset w:val="86"/>
    <w:family w:val="auto"/>
    <w:pitch w:val="default"/>
    <w:sig w:usb0="800002BF" w:usb1="38CF7CFA" w:usb2="00000016" w:usb3="00000000" w:csb0="00040001" w:csb1="00000000"/>
    <w:embedRegular r:id="rId3" w:fontKey="{D962E2D3-A02E-4119-82A9-2B8A8B596CFF}"/>
  </w:font>
  <w:font w:name="楷体_GB2312">
    <w:panose1 w:val="02010609030101010101"/>
    <w:charset w:val="86"/>
    <w:family w:val="auto"/>
    <w:pitch w:val="default"/>
    <w:sig w:usb0="00000001" w:usb1="080E0000" w:usb2="00000000" w:usb3="00000000" w:csb0="00040000" w:csb1="00000000"/>
    <w:embedRegular r:id="rId4" w:fontKey="{77482AFC-6674-48AF-B776-42DD65A021EB}"/>
  </w:font>
  <w:font w:name="仿宋_GB2312">
    <w:altName w:val="仿宋"/>
    <w:panose1 w:val="02010609030101010101"/>
    <w:charset w:val="86"/>
    <w:family w:val="auto"/>
    <w:pitch w:val="default"/>
    <w:sig w:usb0="00000000" w:usb1="00000000" w:usb2="00000000" w:usb3="00000000" w:csb0="00040000" w:csb1="00000000"/>
    <w:embedRegular r:id="rId5" w:fontKey="{7F693708-5DFD-4144-9D81-3A7ED5FF050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E646C5">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4E2104">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4E2104">
                    <w:pPr>
                      <w:pStyle w:val="4"/>
                      <w:rPr>
                        <w:rFonts w:hint="eastAsia" w:ascii="宋体" w:hAnsi="宋体" w:eastAsia="宋体" w:cs="宋体"/>
                        <w:sz w:val="28"/>
                        <w:szCs w:val="28"/>
                      </w:rPr>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E4CF6A"/>
    <w:multiLevelType w:val="singleLevel"/>
    <w:tmpl w:val="B9E4CF6A"/>
    <w:lvl w:ilvl="0" w:tentative="0">
      <w:start w:val="2"/>
      <w:numFmt w:val="chineseCounting"/>
      <w:suff w:val="nothing"/>
      <w:lvlText w:val="%1、"/>
      <w:lvlJc w:val="left"/>
      <w:rPr>
        <w:rFonts w:hint="eastAsia"/>
      </w:rPr>
    </w:lvl>
  </w:abstractNum>
  <w:abstractNum w:abstractNumId="1">
    <w:nsid w:val="F0BCC606"/>
    <w:multiLevelType w:val="singleLevel"/>
    <w:tmpl w:val="F0BCC606"/>
    <w:lvl w:ilvl="0" w:tentative="0">
      <w:start w:val="1"/>
      <w:numFmt w:val="chineseCounting"/>
      <w:suff w:val="nothing"/>
      <w:lvlText w:val="（%1）"/>
      <w:lvlJc w:val="left"/>
      <w:rPr>
        <w:rFonts w:hint="eastAsia"/>
      </w:rPr>
    </w:lvl>
  </w:abstractNum>
  <w:abstractNum w:abstractNumId="2">
    <w:nsid w:val="2F5BA0F7"/>
    <w:multiLevelType w:val="singleLevel"/>
    <w:tmpl w:val="2F5BA0F7"/>
    <w:lvl w:ilvl="0" w:tentative="0">
      <w:start w:val="1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lhNTlmMWMwY2NkZGNhOTM0ZTIzOTMwM2UwMjVlYzgifQ=="/>
  </w:docVars>
  <w:rsids>
    <w:rsidRoot w:val="00000000"/>
    <w:rsid w:val="00A0756A"/>
    <w:rsid w:val="010F7FF3"/>
    <w:rsid w:val="012352D1"/>
    <w:rsid w:val="01753815"/>
    <w:rsid w:val="030B0662"/>
    <w:rsid w:val="05592701"/>
    <w:rsid w:val="05D968DA"/>
    <w:rsid w:val="0C5243F0"/>
    <w:rsid w:val="0C7C593C"/>
    <w:rsid w:val="1A18361C"/>
    <w:rsid w:val="1A33436E"/>
    <w:rsid w:val="1F7BF06F"/>
    <w:rsid w:val="1FEE4B73"/>
    <w:rsid w:val="20CA1EB0"/>
    <w:rsid w:val="23333F99"/>
    <w:rsid w:val="23CE9849"/>
    <w:rsid w:val="25284930"/>
    <w:rsid w:val="2635407F"/>
    <w:rsid w:val="27C22380"/>
    <w:rsid w:val="28615481"/>
    <w:rsid w:val="2B8061EE"/>
    <w:rsid w:val="2D8E1A65"/>
    <w:rsid w:val="2FD26C40"/>
    <w:rsid w:val="325125E8"/>
    <w:rsid w:val="328E11D8"/>
    <w:rsid w:val="36A712F0"/>
    <w:rsid w:val="37AE5E26"/>
    <w:rsid w:val="37F22ADF"/>
    <w:rsid w:val="3847480A"/>
    <w:rsid w:val="39F304DD"/>
    <w:rsid w:val="3AF85078"/>
    <w:rsid w:val="3B2F0685"/>
    <w:rsid w:val="3BC35D64"/>
    <w:rsid w:val="3D536F54"/>
    <w:rsid w:val="3F5C710F"/>
    <w:rsid w:val="3F600128"/>
    <w:rsid w:val="44EF5148"/>
    <w:rsid w:val="45161116"/>
    <w:rsid w:val="45D03C5F"/>
    <w:rsid w:val="471B3D49"/>
    <w:rsid w:val="48223371"/>
    <w:rsid w:val="48904C17"/>
    <w:rsid w:val="48996627"/>
    <w:rsid w:val="4CAE6D35"/>
    <w:rsid w:val="54244390"/>
    <w:rsid w:val="54662A63"/>
    <w:rsid w:val="548E156D"/>
    <w:rsid w:val="55AB78A3"/>
    <w:rsid w:val="56212A03"/>
    <w:rsid w:val="58064E12"/>
    <w:rsid w:val="59FD5DAF"/>
    <w:rsid w:val="5A8608D2"/>
    <w:rsid w:val="5BFEE015"/>
    <w:rsid w:val="5C4636B0"/>
    <w:rsid w:val="5D3257A6"/>
    <w:rsid w:val="5EEA2C92"/>
    <w:rsid w:val="5F8B2697"/>
    <w:rsid w:val="5FAA2928"/>
    <w:rsid w:val="613D2006"/>
    <w:rsid w:val="63EDCF55"/>
    <w:rsid w:val="63FBFBCF"/>
    <w:rsid w:val="64DE058B"/>
    <w:rsid w:val="65511EB3"/>
    <w:rsid w:val="65B0017A"/>
    <w:rsid w:val="66860EDB"/>
    <w:rsid w:val="669360FD"/>
    <w:rsid w:val="67A930D3"/>
    <w:rsid w:val="68547D58"/>
    <w:rsid w:val="68FF6A83"/>
    <w:rsid w:val="69D02B99"/>
    <w:rsid w:val="6B52612A"/>
    <w:rsid w:val="6D376C1C"/>
    <w:rsid w:val="6D5570B2"/>
    <w:rsid w:val="6DF04574"/>
    <w:rsid w:val="6F9F1E5D"/>
    <w:rsid w:val="6FBBC9CF"/>
    <w:rsid w:val="72251E8E"/>
    <w:rsid w:val="72BDE561"/>
    <w:rsid w:val="7401277B"/>
    <w:rsid w:val="74B00BCF"/>
    <w:rsid w:val="75CA2B92"/>
    <w:rsid w:val="76796366"/>
    <w:rsid w:val="77652F8D"/>
    <w:rsid w:val="78462278"/>
    <w:rsid w:val="7997EA6C"/>
    <w:rsid w:val="7AA41DEA"/>
    <w:rsid w:val="7AB12D5E"/>
    <w:rsid w:val="7AEAE675"/>
    <w:rsid w:val="7B4564CC"/>
    <w:rsid w:val="7B4E6013"/>
    <w:rsid w:val="7BAFCE5D"/>
    <w:rsid w:val="7BC648B3"/>
    <w:rsid w:val="7C523723"/>
    <w:rsid w:val="7D365EE0"/>
    <w:rsid w:val="7D46598C"/>
    <w:rsid w:val="7DFB240B"/>
    <w:rsid w:val="7E0070D5"/>
    <w:rsid w:val="7E0935ED"/>
    <w:rsid w:val="7E101A81"/>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character" w:default="1" w:styleId="11">
    <w:name w:val="Default Paragraph Font"/>
    <w:autoRedefine/>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caption"/>
    <w:basedOn w:val="1"/>
    <w:autoRedefine/>
    <w:qFormat/>
    <w:uiPriority w:val="0"/>
    <w:pPr>
      <w:widowControl w:val="0"/>
      <w:suppressLineNumbers/>
      <w:suppressAutoHyphens/>
      <w:spacing w:before="120" w:after="120"/>
    </w:pPr>
    <w:rPr>
      <w:i/>
      <w:iCs/>
      <w:sz w:val="24"/>
      <w:szCs w:val="24"/>
    </w:rPr>
  </w:style>
  <w:style w:type="paragraph" w:styleId="3">
    <w:name w:val="Body Text"/>
    <w:basedOn w:val="1"/>
    <w:autoRedefine/>
    <w:qFormat/>
    <w:uiPriority w:val="0"/>
    <w:pPr>
      <w:spacing w:before="0"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List"/>
    <w:basedOn w:val="3"/>
    <w:autoRedefine/>
    <w:qFormat/>
    <w:uiPriority w:val="0"/>
  </w:style>
  <w:style w:type="paragraph" w:styleId="8">
    <w:name w:val="toc 2"/>
    <w:basedOn w:val="1"/>
    <w:next w:val="1"/>
    <w:autoRedefine/>
    <w:qFormat/>
    <w:uiPriority w:val="0"/>
    <w:pPr>
      <w:ind w:left="420" w:leftChars="200"/>
    </w:pPr>
  </w:style>
  <w:style w:type="paragraph" w:styleId="9">
    <w:name w:val="Normal (Web)"/>
    <w:basedOn w:val="1"/>
    <w:autoRedefine/>
    <w:qFormat/>
    <w:uiPriority w:val="0"/>
    <w:rPr>
      <w:sz w:val="24"/>
    </w:rPr>
  </w:style>
  <w:style w:type="character" w:customStyle="1" w:styleId="12">
    <w:name w:val="默认段落字体1"/>
    <w:autoRedefine/>
    <w:qFormat/>
    <w:uiPriority w:val="0"/>
  </w:style>
  <w:style w:type="paragraph" w:customStyle="1" w:styleId="13">
    <w:name w:val="Heading"/>
    <w:basedOn w:val="1"/>
    <w:next w:val="3"/>
    <w:autoRedefine/>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4">
    <w:name w:val="Index"/>
    <w:basedOn w:val="1"/>
    <w:autoRedefine/>
    <w:qFormat/>
    <w:uiPriority w:val="0"/>
    <w:pPr>
      <w:widowControl w:val="0"/>
      <w:suppressLineNumbers/>
      <w:suppressAutoHyphens/>
    </w:pPr>
  </w:style>
  <w:style w:type="paragraph" w:customStyle="1" w:styleId="15">
    <w:name w:val="WPSOffice手动目录 1"/>
    <w:autoRedefine/>
    <w:qFormat/>
    <w:uiPriority w:val="0"/>
    <w:pPr>
      <w:ind w:leftChars="0"/>
    </w:pPr>
    <w:rPr>
      <w:rFonts w:ascii="Times New Roman" w:hAnsi="Times New Roman" w:eastAsia="宋体" w:cs="Times New Roman"/>
      <w:sz w:val="20"/>
      <w:szCs w:val="20"/>
    </w:rPr>
  </w:style>
  <w:style w:type="paragraph" w:customStyle="1" w:styleId="16">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12</Pages>
  <Words>4579</Words>
  <Characters>4801</Characters>
  <TotalTime>3</TotalTime>
  <ScaleCrop>false</ScaleCrop>
  <LinksUpToDate>false</LinksUpToDate>
  <CharactersWithSpaces>4896</CharactersWithSpaces>
  <Application>WPS Office_12.1.0.19302_F1E327BC-269C-435d-A152-05C5408002CA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2018-11-29T09:47:00Z</dcterms:created>
  <dc:creator>admin</dc:creator>
  <cp:lastModifiedBy>昭化融媒体</cp:lastModifiedBy>
  <dcterms:modified xsi:type="dcterms:W3CDTF">2025-01-09T01:19:01Z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FD9E4427DC0A4469B20311BB9494C5B0_13</vt:lpwstr>
  </property>
  <property fmtid="{D5CDD505-2E9C-101B-9397-08002B2CF9AE}" pid="4" name="KSOTemplateDocerSaveRecord">
    <vt:lpwstr>eyJoZGlkIjoiMGVhYTg4NGNkZWJkODFjNzcyZDRjM2M4Y2UzNjI5ZmUiLCJ1c2VySWQiOiI2MTE2MzEwMDYifQ==</vt:lpwstr>
  </property>
</Properties>
</file>