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BA4B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方正小标宋_GBK" w:cs="Times New Roman"/>
          <w:sz w:val="44"/>
          <w:szCs w:val="52"/>
          <w:lang w:val="en-US" w:eastAsia="zh-CN"/>
        </w:rPr>
      </w:pPr>
      <w:bookmarkStart w:id="0" w:name="_Toc25439"/>
      <w:bookmarkStart w:id="1" w:name="_Toc18093"/>
      <w:r>
        <w:rPr>
          <w:rFonts w:hint="default" w:ascii="Times New Roman" w:hAnsi="Times New Roman" w:eastAsia="方正小标宋_GBK" w:cs="Times New Roman"/>
          <w:sz w:val="44"/>
          <w:szCs w:val="52"/>
          <w:lang w:val="en-US" w:eastAsia="zh-CN"/>
        </w:rPr>
        <w:t>广元市昭化区王家镇小学</w:t>
      </w:r>
      <w:bookmarkEnd w:id="0"/>
      <w:bookmarkEnd w:id="1"/>
    </w:p>
    <w:p w14:paraId="04474E9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z w:val="44"/>
          <w:szCs w:val="52"/>
          <w:lang w:val="en-US" w:eastAsia="zh-CN"/>
        </w:rPr>
      </w:pPr>
      <w:r>
        <w:rPr>
          <w:rFonts w:hint="default" w:ascii="Times New Roman" w:hAnsi="Times New Roman" w:eastAsia="方正小标宋_GBK" w:cs="Times New Roman"/>
          <w:sz w:val="44"/>
          <w:szCs w:val="52"/>
          <w:lang w:val="en-US" w:eastAsia="zh-CN"/>
        </w:rPr>
        <w:t>2024年单位预算编制说明</w:t>
      </w:r>
    </w:p>
    <w:sdt>
      <w:sdtPr>
        <w:rPr>
          <w:rFonts w:hint="eastAsia" w:ascii="仿宋" w:hAnsi="仿宋" w:eastAsia="仿宋" w:cs="仿宋"/>
          <w:b/>
          <w:bCs/>
          <w:color w:val="auto"/>
          <w:kern w:val="2"/>
          <w:sz w:val="40"/>
          <w:szCs w:val="40"/>
          <w:lang w:val="en-US" w:eastAsia="zh-CN" w:bidi="ar-SA"/>
        </w:rPr>
        <w:id w:val="147463010"/>
        <w15:color w:val="DBDBDB"/>
        <w:docPartObj>
          <w:docPartGallery w:val="Table of Contents"/>
          <w:docPartUnique/>
        </w:docPartObj>
      </w:sdtPr>
      <w:sdtEndPr>
        <w:rPr>
          <w:rFonts w:hint="eastAsia" w:ascii="仿宋" w:hAnsi="仿宋" w:eastAsia="仿宋" w:cs="仿宋"/>
          <w:b/>
          <w:bCs/>
          <w:color w:val="auto"/>
          <w:kern w:val="2"/>
          <w:sz w:val="40"/>
          <w:szCs w:val="40"/>
          <w:lang w:val="en-US" w:eastAsia="zh-CN" w:bidi="ar-SA"/>
        </w:rPr>
      </w:sdtEndPr>
      <w:sdtContent>
        <w:p w14:paraId="207A61BF">
          <w:pPr>
            <w:spacing w:before="0" w:beforeLines="0" w:after="0" w:afterLines="0" w:line="240" w:lineRule="auto"/>
            <w:ind w:left="0" w:leftChars="0" w:right="0" w:rightChars="0" w:firstLine="0" w:firstLineChars="0"/>
            <w:jc w:val="center"/>
            <w:rPr>
              <w:rFonts w:hint="eastAsia" w:ascii="仿宋" w:hAnsi="仿宋" w:eastAsia="仿宋" w:cs="仿宋"/>
              <w:b/>
              <w:bCs/>
              <w:sz w:val="40"/>
              <w:szCs w:val="40"/>
            </w:rPr>
          </w:pPr>
          <w:r>
            <w:rPr>
              <w:rFonts w:hint="eastAsia" w:ascii="仿宋" w:hAnsi="仿宋" w:eastAsia="仿宋" w:cs="仿宋"/>
              <w:b/>
              <w:bCs/>
              <w:sz w:val="40"/>
              <w:szCs w:val="40"/>
            </w:rPr>
            <w:t>目录</w:t>
          </w:r>
        </w:p>
        <w:p w14:paraId="3E8E8354">
          <w:pPr>
            <w:pStyle w:val="16"/>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_Toc4734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_Toc4734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61458E9">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_Toc23256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_Toc23256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4690DE8">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_Toc18010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（二）单位2024年重点工作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_Toc18010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321E2AE">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_Toc9494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_Toc9494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4CFB550">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_Toc6218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_Toc6218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3E42CA0">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_Toc30441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_Toc30441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DF4A5C3">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_Toc16137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_Toc16137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A51DE76">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_Toc21662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_Toc21662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4387BBC">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_Toc15403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_Toc15403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40D8408">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_Toc30227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_Toc30227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D0FB825">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_Toc31332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_Toc31332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67CBEE4">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_Toc3142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一般公共预算当年拨款具体使用情况</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_Toc3142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C26A3DC">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_Toc6990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_Toc6990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7EDB364">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_Toc31903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_Toc31903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6999E17">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_Toc22557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_Toc22557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84790BD">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_Toc1860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_Toc1860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410FB7A">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_Toc13593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_Toc13593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09C39E2">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_Toc14638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_Toc14638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3E5D6C2">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_Toc1505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_Toc1505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0B30D74">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_Toc20452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_Toc20452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E0DE824">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_Toc8457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_Toc8457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F880E21">
          <w:r>
            <w:rPr>
              <w:rFonts w:hint="eastAsia" w:ascii="仿宋" w:hAnsi="仿宋" w:eastAsia="仿宋" w:cs="仿宋"/>
              <w:b/>
              <w:sz w:val="32"/>
              <w:szCs w:val="32"/>
            </w:rPr>
            <w:fldChar w:fldCharType="end"/>
          </w:r>
        </w:p>
      </w:sdtContent>
    </w:sdt>
    <w:p w14:paraId="5E4750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2" w:name="_Toc4734"/>
    </w:p>
    <w:p w14:paraId="49A535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70C129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0FDBF5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0F704C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1CC5B4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76AF82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0AE6F0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2D8BAF1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376F79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18D206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650618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6021CC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774891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358CAF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393AE7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p>
    <w:p w14:paraId="2DA7B8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rPr>
      </w:pPr>
      <w:r>
        <w:rPr>
          <w:rFonts w:hint="default" w:ascii="Times New Roman" w:hAnsi="Times New Roman" w:eastAsia="黑体" w:cs="Times New Roman"/>
          <w:sz w:val="32"/>
          <w:szCs w:val="40"/>
          <w:lang w:val="en-US" w:eastAsia="zh-CN"/>
        </w:rPr>
        <w:t>一、基本职能及主要工作</w:t>
      </w:r>
      <w:bookmarkEnd w:id="2"/>
    </w:p>
    <w:p w14:paraId="57A2EF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rPr>
      </w:pPr>
      <w:bookmarkStart w:id="3" w:name="_Toc23256"/>
      <w:r>
        <w:rPr>
          <w:rFonts w:hint="default" w:ascii="Times New Roman" w:hAnsi="Times New Roman" w:eastAsia="楷体_GB2312" w:cs="Times New Roman"/>
          <w:sz w:val="32"/>
          <w:szCs w:val="40"/>
          <w:lang w:val="en-US" w:eastAsia="zh-CN"/>
        </w:rPr>
        <w:t>（一）单位</w:t>
      </w:r>
      <w:r>
        <w:rPr>
          <w:rFonts w:hint="default" w:ascii="Times New Roman" w:hAnsi="Times New Roman" w:eastAsia="楷体_GB2312" w:cs="Times New Roman"/>
          <w:sz w:val="32"/>
          <w:szCs w:val="40"/>
        </w:rPr>
        <w:t>职能简介</w:t>
      </w:r>
      <w:bookmarkEnd w:id="3"/>
    </w:p>
    <w:p w14:paraId="7120BF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40"/>
          <w:lang w:eastAsia="zh-CN"/>
        </w:rPr>
      </w:pPr>
      <w:bookmarkStart w:id="4" w:name="_Toc26371"/>
      <w:r>
        <w:rPr>
          <w:rFonts w:hint="default" w:ascii="Times New Roman" w:hAnsi="Times New Roman" w:eastAsia="仿宋_GB2312" w:cs="Times New Roman"/>
          <w:sz w:val="32"/>
          <w:szCs w:val="40"/>
          <w:lang w:val="en-US" w:eastAsia="zh-CN"/>
        </w:rPr>
        <w:t>1.</w:t>
      </w:r>
      <w:r>
        <w:rPr>
          <w:rFonts w:hint="default" w:ascii="Times New Roman" w:hAnsi="Times New Roman" w:eastAsia="仿宋_GB2312" w:cs="Times New Roman"/>
          <w:sz w:val="32"/>
          <w:szCs w:val="40"/>
        </w:rPr>
        <w:t>贯彻执行中央、省、市有关教育方针政策和法律法规。</w:t>
      </w:r>
      <w:bookmarkEnd w:id="4"/>
    </w:p>
    <w:p w14:paraId="6CF54A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2.</w:t>
      </w:r>
      <w:r>
        <w:rPr>
          <w:rFonts w:hint="default" w:ascii="Times New Roman" w:hAnsi="Times New Roman" w:eastAsia="仿宋_GB2312" w:cs="Times New Roman"/>
          <w:sz w:val="32"/>
          <w:szCs w:val="40"/>
        </w:rPr>
        <w:t>制定学校发展规划和年度计划并组织实施；确定学校发展重点、规模和速度。</w:t>
      </w:r>
    </w:p>
    <w:p w14:paraId="5A39AA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3.</w:t>
      </w:r>
      <w:r>
        <w:rPr>
          <w:rFonts w:hint="default" w:ascii="Times New Roman" w:hAnsi="Times New Roman" w:eastAsia="仿宋_GB2312" w:cs="Times New Roman"/>
          <w:sz w:val="32"/>
          <w:szCs w:val="40"/>
        </w:rPr>
        <w:t>开展思想政治工作、教学工作、体育卫生工作、法制教育、国防教育和安全工作；管理教学质量、考试工作；建立适应社会主义市场经济体制、政治体制需要的教育体制和运行机制。</w:t>
      </w:r>
    </w:p>
    <w:p w14:paraId="38E5C4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4.</w:t>
      </w:r>
      <w:r>
        <w:rPr>
          <w:rFonts w:hint="default" w:ascii="Times New Roman" w:hAnsi="Times New Roman" w:eastAsia="仿宋_GB2312" w:cs="Times New Roman"/>
          <w:sz w:val="32"/>
          <w:szCs w:val="40"/>
        </w:rPr>
        <w:t>教师工作。按照教育系统人事管理工作的有关政策和规章制度；根据国家、省、市教育发展规划纲要和有关文件规定，组织实施，负责教师的招聘、调配交流、工资福利、考核奖惩工作，组织实施学校教师专业技术职务的评聘、技术工人的考核定级和资格认定工作，负责教师的培养和教师的继续教育，配合区教育系统管理离退休人员工作。</w:t>
      </w:r>
    </w:p>
    <w:p w14:paraId="433905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lang w:val="en-US" w:eastAsia="zh-CN"/>
        </w:rPr>
        <w:t>5.</w:t>
      </w:r>
      <w:r>
        <w:rPr>
          <w:rFonts w:hint="default" w:ascii="Times New Roman" w:hAnsi="Times New Roman" w:eastAsia="仿宋_GB2312" w:cs="Times New Roman"/>
          <w:sz w:val="32"/>
          <w:szCs w:val="40"/>
        </w:rPr>
        <w:t>贯彻执行国家语言文字工作的方针政策，拟订语言文字工作中长期规划和工作计划，推行推广普通话。</w:t>
      </w:r>
    </w:p>
    <w:p w14:paraId="4B9C7C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6.</w:t>
      </w:r>
      <w:r>
        <w:rPr>
          <w:rFonts w:hint="default" w:ascii="Times New Roman" w:hAnsi="Times New Roman" w:eastAsia="仿宋_GB2312" w:cs="Times New Roman"/>
          <w:sz w:val="32"/>
          <w:szCs w:val="40"/>
        </w:rPr>
        <w:t>制定我校教育管理资料统计、档案及信息系统的开发和建设工作；指导教育方针政策的宣传和舆论监督工作。</w:t>
      </w:r>
    </w:p>
    <w:p w14:paraId="4F56DD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bookmarkStart w:id="5" w:name="_Toc19130"/>
      <w:r>
        <w:rPr>
          <w:rFonts w:hint="default" w:ascii="Times New Roman" w:hAnsi="Times New Roman" w:eastAsia="仿宋_GB2312" w:cs="Times New Roman"/>
          <w:sz w:val="32"/>
          <w:szCs w:val="40"/>
          <w:lang w:val="en-US" w:eastAsia="zh-CN"/>
        </w:rPr>
        <w:t>7.</w:t>
      </w:r>
      <w:r>
        <w:rPr>
          <w:rFonts w:hint="default" w:ascii="Times New Roman" w:hAnsi="Times New Roman" w:eastAsia="仿宋_GB2312" w:cs="Times New Roman"/>
          <w:sz w:val="32"/>
          <w:szCs w:val="40"/>
        </w:rPr>
        <w:t>制定我校党群组织工作。</w:t>
      </w:r>
      <w:bookmarkEnd w:id="5"/>
    </w:p>
    <w:p w14:paraId="7391A6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6" w:name="_Toc18010"/>
      <w:r>
        <w:rPr>
          <w:rFonts w:hint="default" w:ascii="Times New Roman" w:hAnsi="Times New Roman" w:eastAsia="楷体_GB2312" w:cs="Times New Roman"/>
          <w:sz w:val="32"/>
          <w:szCs w:val="40"/>
          <w:lang w:val="en-US" w:eastAsia="zh-CN"/>
        </w:rPr>
        <w:t>（二）单位2024年重点工作</w:t>
      </w:r>
      <w:bookmarkEnd w:id="6"/>
    </w:p>
    <w:p w14:paraId="3AD35D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lang w:val="en-US" w:eastAsia="zh-CN"/>
        </w:rPr>
        <w:t>1.</w:t>
      </w:r>
      <w:r>
        <w:rPr>
          <w:rFonts w:hint="default" w:ascii="Times New Roman" w:hAnsi="Times New Roman" w:eastAsia="仿宋_GB2312" w:cs="Times New Roman"/>
          <w:sz w:val="32"/>
          <w:szCs w:val="40"/>
        </w:rPr>
        <w:t>坚持德育为首，切实加强学生的养成教育。认真开展对学生进行思想、政治、道德、学科、法制、美育和心理教育。还要对学生进行理想信念教育、民族精神教育、养成教育、诚信教育、文明礼仪教育等。促进我校校风、班风、学风建设，进一步促进我校德育工作的规范化和制度化，为更好地培养有理想、有文化、有纪律的在德、智、体、美、劳全面发展的社会主义事业，建设者和接班人打下良好的基础。一要继续组织学生学习社会主义核心价值观的活动，开展知荣辱树新风教育活动。让学生真真领会，落实在行动中，融合在生活中。二要上好道德与法治课，并组织学生深入学习《小学生日常行为规范》、《小学生守则》，做到要熟记于心，切实纠正学风不正。三要加强法制教育。组织学生学习《</w:t>
      </w:r>
      <w:r>
        <w:rPr>
          <w:rFonts w:hint="eastAsia" w:ascii="Times New Roman" w:hAnsi="Times New Roman" w:eastAsia="仿宋_GB2312" w:cs="Times New Roman"/>
          <w:sz w:val="32"/>
          <w:szCs w:val="40"/>
          <w:lang w:val="en-US" w:eastAsia="zh-CN"/>
        </w:rPr>
        <w:t>中华人民共和国</w:t>
      </w:r>
      <w:r>
        <w:rPr>
          <w:rFonts w:hint="default" w:ascii="Times New Roman" w:hAnsi="Times New Roman" w:eastAsia="仿宋_GB2312" w:cs="Times New Roman"/>
          <w:sz w:val="32"/>
          <w:szCs w:val="40"/>
        </w:rPr>
        <w:t>义务教育法》、《</w:t>
      </w:r>
      <w:r>
        <w:rPr>
          <w:rFonts w:hint="eastAsia" w:ascii="Times New Roman" w:hAnsi="Times New Roman" w:eastAsia="仿宋_GB2312" w:cs="Times New Roman"/>
          <w:sz w:val="32"/>
          <w:szCs w:val="40"/>
          <w:lang w:val="en-US" w:eastAsia="zh-CN"/>
        </w:rPr>
        <w:t>中华人民共和国</w:t>
      </w:r>
      <w:r>
        <w:rPr>
          <w:rFonts w:hint="default" w:ascii="Times New Roman" w:hAnsi="Times New Roman" w:eastAsia="仿宋_GB2312" w:cs="Times New Roman"/>
          <w:sz w:val="32"/>
          <w:szCs w:val="40"/>
        </w:rPr>
        <w:t>未成年人保护法》、《</w:t>
      </w:r>
      <w:r>
        <w:rPr>
          <w:rFonts w:hint="eastAsia" w:ascii="Times New Roman" w:hAnsi="Times New Roman" w:eastAsia="仿宋_GB2312" w:cs="Times New Roman"/>
          <w:sz w:val="32"/>
          <w:szCs w:val="40"/>
          <w:lang w:val="en-US" w:eastAsia="zh-CN"/>
        </w:rPr>
        <w:t>中华人民共和国</w:t>
      </w:r>
      <w:r>
        <w:rPr>
          <w:rFonts w:hint="default" w:ascii="Times New Roman" w:hAnsi="Times New Roman" w:eastAsia="仿宋_GB2312" w:cs="Times New Roman"/>
          <w:sz w:val="32"/>
          <w:szCs w:val="40"/>
        </w:rPr>
        <w:t>预防未成</w:t>
      </w:r>
      <w:r>
        <w:rPr>
          <w:rFonts w:hint="eastAsia" w:ascii="Times New Roman" w:hAnsi="Times New Roman" w:eastAsia="仿宋_GB2312" w:cs="Times New Roman"/>
          <w:sz w:val="32"/>
          <w:szCs w:val="40"/>
          <w:lang w:val="en-US" w:eastAsia="zh-CN"/>
        </w:rPr>
        <w:t>年</w:t>
      </w:r>
      <w:r>
        <w:rPr>
          <w:rFonts w:hint="default" w:ascii="Times New Roman" w:hAnsi="Times New Roman" w:eastAsia="仿宋_GB2312" w:cs="Times New Roman"/>
          <w:sz w:val="32"/>
          <w:szCs w:val="40"/>
        </w:rPr>
        <w:t>人犯罪法》等。要从正反两面教育，从典型事例入手让学生从小就懂法、爱法、守法和自觉抵制社会不良现象的影响和侵蚀。四要继续加强班务管理力度。各班主任要制订好班主任工作计划、做到有计划、有目的、有措施、要抓好落实</w:t>
      </w:r>
      <w:r>
        <w:rPr>
          <w:rFonts w:hint="default"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全面贯彻党和国家的教育方针，严格执行课程计划，开齐开足各类课程，确保教育质量，科学安排学生在校活动及作息时间。做到教书育人、管</w:t>
      </w:r>
      <w:bookmarkStart w:id="44" w:name="_GoBack"/>
      <w:bookmarkEnd w:id="44"/>
      <w:r>
        <w:rPr>
          <w:rFonts w:hint="default" w:ascii="Times New Roman" w:hAnsi="Times New Roman" w:eastAsia="仿宋_GB2312" w:cs="Times New Roman"/>
          <w:sz w:val="32"/>
          <w:szCs w:val="40"/>
        </w:rPr>
        <w:t>理育人、服务育人。</w:t>
      </w:r>
    </w:p>
    <w:p w14:paraId="13BFD5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lang w:val="en-US" w:eastAsia="zh-CN"/>
        </w:rPr>
        <w:t>2.</w:t>
      </w:r>
      <w:r>
        <w:rPr>
          <w:rFonts w:hint="default" w:ascii="Times New Roman" w:hAnsi="Times New Roman" w:eastAsia="仿宋_GB2312" w:cs="Times New Roman"/>
          <w:sz w:val="32"/>
          <w:szCs w:val="40"/>
        </w:rPr>
        <w:t>加强学习交流，塑造教师形象</w:t>
      </w:r>
      <w:r>
        <w:rPr>
          <w:rFonts w:hint="default"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学校将充分安排好每周教师的学习和交流活动，提高教师师德修养和依法执教、文明从教、科学施教的意识，规范教师的教育行为和工作方式;通过教务处组织的科研理论知识讲座和研讨交流活动，促进教师科研理论素养，提高教师的学习意识，在教学中能积极运用用新课程的理念指导自己的教学行为，促进教师专业发展。</w:t>
      </w:r>
    </w:p>
    <w:p w14:paraId="55A8D8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3.</w:t>
      </w:r>
      <w:r>
        <w:rPr>
          <w:rFonts w:hint="default" w:ascii="Times New Roman" w:hAnsi="Times New Roman" w:eastAsia="仿宋_GB2312" w:cs="Times New Roman"/>
          <w:sz w:val="32"/>
          <w:szCs w:val="40"/>
        </w:rPr>
        <w:t>我们将积极鼓励教师投身教育科研，参加学校组织的各项教学活动、教研活动、课题研究。要学会发现问题，学会同伴合作，学会反思，学会解决教育教学中的问题，努力做一个有思想、有追求的教师，力争成为一名智慧型和研究型的教师。努力培养造就一批师德高尚、教学优秀、教研突出、教改先进、有影响力的教师。加大课程管理与改革力度。增强全体教师课程法规意识，对照课程计划，认真上齐、上足、教好每一门课。严格按照国家颁布要求安排的课程计划，严格控制周活动总量和学科教学学时，不得随意增减课时，切实提高课堂教学质量。</w:t>
      </w:r>
    </w:p>
    <w:p w14:paraId="4A00DB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lang w:val="en-US" w:eastAsia="zh-CN"/>
        </w:rPr>
        <w:t>4.</w:t>
      </w:r>
      <w:r>
        <w:rPr>
          <w:rFonts w:hint="default" w:ascii="Times New Roman" w:hAnsi="Times New Roman" w:eastAsia="仿宋_GB2312" w:cs="Times New Roman"/>
          <w:sz w:val="32"/>
          <w:szCs w:val="40"/>
        </w:rPr>
        <w:t>安全工作坚持不懈地搞好学校安全工作，加大对安全工作的管理力度，进一步落实安全工作责任制，完善《学校安全检查制度》，继续实行领导干部、</w:t>
      </w:r>
      <w:r>
        <w:rPr>
          <w:rFonts w:hint="default" w:ascii="Times New Roman" w:hAnsi="Times New Roman" w:eastAsia="仿宋_GB2312" w:cs="Times New Roman"/>
          <w:sz w:val="32"/>
          <w:szCs w:val="40"/>
          <w:lang w:val="en-US" w:eastAsia="zh-CN"/>
        </w:rPr>
        <w:t>校内</w:t>
      </w:r>
      <w:r>
        <w:rPr>
          <w:rFonts w:hint="default" w:ascii="Times New Roman" w:hAnsi="Times New Roman" w:eastAsia="仿宋_GB2312" w:cs="Times New Roman"/>
          <w:sz w:val="32"/>
          <w:szCs w:val="40"/>
        </w:rPr>
        <w:t>安全护卫队、校内学生安全宣传督导队值班制度，对学生入校、放学、在校安全，实行全方位、无间隙监控，继续推行安全工作日报告制度、安全整改通知书制度。加强对学生进行交通、用电、防火、防溺水等方面的安全常识及自救自护知识教育。建立特殊学生跟踪档案，及时消除不稳定因素，确保师生安全和教育教学秩序的稳定。</w:t>
      </w:r>
      <w:bookmarkStart w:id="7" w:name="_Toc8236"/>
    </w:p>
    <w:p w14:paraId="49A5F2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2"/>
          <w:sz w:val="32"/>
          <w:szCs w:val="40"/>
          <w:lang w:val="en-US" w:eastAsia="zh-CN" w:bidi="ar-SA"/>
        </w:rPr>
      </w:pPr>
      <w:r>
        <w:rPr>
          <w:rFonts w:hint="default" w:ascii="Times New Roman" w:hAnsi="Times New Roman" w:eastAsia="仿宋_GB2312" w:cs="Times New Roman"/>
          <w:sz w:val="32"/>
          <w:szCs w:val="40"/>
          <w:lang w:val="en-US" w:eastAsia="zh-CN"/>
        </w:rPr>
        <w:t>5.后勤工作是学校教学秩序正常运行的有力保障，为此学校继续抓好学校的总务后勤工作，硬化后勤管理，进一步强化后勤人员的服务意识。严格财务管理，做好经费预算，收支平衡、开支合理、严格执行账务公示制度，控制学校财产流失，完善财务财产规章制度，认真落实兼管人员的工作职责，将有限的资金投入教育教学之中。</w:t>
      </w:r>
      <w:bookmarkEnd w:id="7"/>
      <w:bookmarkStart w:id="8" w:name="_Toc1477"/>
    </w:p>
    <w:p w14:paraId="6F5EE7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9" w:name="_Toc9494"/>
      <w:r>
        <w:rPr>
          <w:rFonts w:hint="default" w:ascii="Times New Roman" w:hAnsi="Times New Roman" w:eastAsia="黑体" w:cs="Times New Roman"/>
          <w:sz w:val="32"/>
          <w:szCs w:val="40"/>
          <w:lang w:val="en-US" w:eastAsia="zh-CN"/>
        </w:rPr>
        <w:t>二、部门预算单位构成</w:t>
      </w:r>
      <w:bookmarkEnd w:id="8"/>
      <w:bookmarkEnd w:id="9"/>
    </w:p>
    <w:p w14:paraId="117408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我单位为广元市昭化区教育局的下属二级预算单位，我单位无下属机构，属于公益一类公益单位。</w:t>
      </w:r>
    </w:p>
    <w:p w14:paraId="50563B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10" w:name="_Toc11296"/>
      <w:bookmarkStart w:id="11" w:name="_Toc6218"/>
      <w:r>
        <w:rPr>
          <w:rFonts w:hint="default" w:ascii="Times New Roman" w:hAnsi="Times New Roman" w:eastAsia="黑体" w:cs="Times New Roman"/>
          <w:sz w:val="32"/>
          <w:szCs w:val="40"/>
          <w:lang w:val="en-US" w:eastAsia="zh-CN"/>
        </w:rPr>
        <w:t>三、收支预算情况说明</w:t>
      </w:r>
      <w:bookmarkEnd w:id="10"/>
      <w:bookmarkEnd w:id="11"/>
    </w:p>
    <w:p w14:paraId="07CB36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rPr>
      </w:pPr>
      <w:r>
        <w:rPr>
          <w:rFonts w:hint="default" w:ascii="Times New Roman" w:hAnsi="Times New Roman" w:eastAsia="仿宋_GB2312" w:cs="Times New Roman"/>
          <w:sz w:val="32"/>
          <w:szCs w:val="40"/>
          <w:lang w:val="en-US" w:eastAsia="zh-CN"/>
        </w:rPr>
        <w:t>按照综合预算的原则，王家小学所有收入和支出均纳入部门预算管理。收入包括：一般公共预算拨款收入；支出包括：教育支出。王家小学2024年收支预算总数649.71万元,比2023年收支预算总数减少59.05万元，主要原因是基本支出减少。</w:t>
      </w:r>
    </w:p>
    <w:p w14:paraId="76F9B4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12" w:name="_Toc30441"/>
      <w:r>
        <w:rPr>
          <w:rFonts w:hint="default" w:ascii="Times New Roman" w:hAnsi="Times New Roman" w:eastAsia="楷体_GB2312" w:cs="Times New Roman"/>
          <w:sz w:val="32"/>
          <w:szCs w:val="40"/>
          <w:lang w:val="en-US" w:eastAsia="zh-CN"/>
        </w:rPr>
        <w:t>（一）收入预算情况</w:t>
      </w:r>
      <w:bookmarkEnd w:id="12"/>
    </w:p>
    <w:p w14:paraId="0F9D784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王家小学2024年收入预算649.71万元，其中：一般公共预算拨款收入649.71万元，占100%。</w:t>
      </w:r>
    </w:p>
    <w:p w14:paraId="0B753C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13" w:name="_Toc16137"/>
      <w:r>
        <w:rPr>
          <w:rFonts w:hint="default" w:ascii="Times New Roman" w:hAnsi="Times New Roman" w:eastAsia="楷体_GB2312" w:cs="Times New Roman"/>
          <w:sz w:val="32"/>
          <w:szCs w:val="40"/>
          <w:lang w:val="en-US" w:eastAsia="zh-CN"/>
        </w:rPr>
        <w:t>（二）支出预算情况</w:t>
      </w:r>
      <w:bookmarkEnd w:id="13"/>
    </w:p>
    <w:p w14:paraId="3B7826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王家小学2024年支出预算649.71万元，其中：基本支出614.47万元，占94.58%；项目支出35.24万元，占5.42%。</w:t>
      </w:r>
    </w:p>
    <w:p w14:paraId="1F62E3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14" w:name="_Toc22730"/>
      <w:bookmarkStart w:id="15" w:name="_Toc21662"/>
      <w:r>
        <w:rPr>
          <w:rFonts w:hint="default" w:ascii="Times New Roman" w:hAnsi="Times New Roman" w:eastAsia="黑体" w:cs="Times New Roman"/>
          <w:sz w:val="32"/>
          <w:szCs w:val="40"/>
          <w:lang w:val="en-US" w:eastAsia="zh-CN"/>
        </w:rPr>
        <w:t>四、财政拨款收支预算情况说明</w:t>
      </w:r>
      <w:bookmarkEnd w:id="14"/>
      <w:bookmarkEnd w:id="15"/>
    </w:p>
    <w:p w14:paraId="3B5B72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王家小学2024年财政拨款收支预算总数649.71万元,比2023年财政拨款收支预算总数减少59.05万元，主要原因是基本支出减少。</w:t>
      </w:r>
    </w:p>
    <w:p w14:paraId="0C31E2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收入包括：本年一般公共预算拨款收入649.71万元；支出包括：教育支出614.47万元，项目支出35.24万元。</w:t>
      </w:r>
    </w:p>
    <w:p w14:paraId="4C3406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16" w:name="_Toc15403"/>
      <w:bookmarkStart w:id="17" w:name="_Toc17424"/>
      <w:r>
        <w:rPr>
          <w:rFonts w:hint="default" w:ascii="Times New Roman" w:hAnsi="Times New Roman" w:eastAsia="黑体" w:cs="Times New Roman"/>
          <w:sz w:val="32"/>
          <w:szCs w:val="40"/>
          <w:lang w:val="en-US" w:eastAsia="zh-CN"/>
        </w:rPr>
        <w:t>五、一般公共预算当年拨款情况说明</w:t>
      </w:r>
      <w:bookmarkEnd w:id="16"/>
      <w:bookmarkEnd w:id="17"/>
    </w:p>
    <w:p w14:paraId="3BE440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18" w:name="_Toc30227"/>
      <w:r>
        <w:rPr>
          <w:rFonts w:hint="default" w:ascii="Times New Roman" w:hAnsi="Times New Roman" w:eastAsia="楷体_GB2312" w:cs="Times New Roman"/>
          <w:sz w:val="32"/>
          <w:szCs w:val="40"/>
          <w:lang w:val="en-US" w:eastAsia="zh-CN"/>
        </w:rPr>
        <w:t>（一）一般公共预算当年拨款规模变化情况</w:t>
      </w:r>
      <w:bookmarkEnd w:id="18"/>
    </w:p>
    <w:p w14:paraId="32C412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王家小学2024年一般公共预算当年拨款649.71万元，比2023年预算数减少59.05万元，主要原因是基本支出减少。</w:t>
      </w:r>
    </w:p>
    <w:p w14:paraId="0F2225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19" w:name="_Toc31332"/>
      <w:r>
        <w:rPr>
          <w:rFonts w:hint="default" w:ascii="Times New Roman" w:hAnsi="Times New Roman" w:eastAsia="楷体_GB2312" w:cs="Times New Roman"/>
          <w:sz w:val="32"/>
          <w:szCs w:val="40"/>
          <w:lang w:val="en-US" w:eastAsia="zh-CN"/>
        </w:rPr>
        <w:t>（二）一般公共预算当年拨款结构情况</w:t>
      </w:r>
      <w:bookmarkEnd w:id="19"/>
    </w:p>
    <w:p w14:paraId="0B60AD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教育支出649.071万元，占100%。</w:t>
      </w:r>
    </w:p>
    <w:p w14:paraId="1C3F82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仿宋_GB2312" w:cs="Times New Roman"/>
          <w:sz w:val="32"/>
          <w:szCs w:val="40"/>
          <w:lang w:val="en-US" w:eastAsia="zh-CN"/>
        </w:rPr>
      </w:pPr>
      <w:bookmarkStart w:id="20" w:name="_Toc3142"/>
      <w:r>
        <w:rPr>
          <w:rFonts w:hint="default" w:ascii="Times New Roman" w:hAnsi="Times New Roman" w:eastAsia="仿宋_GB2312" w:cs="Times New Roman"/>
          <w:sz w:val="32"/>
          <w:szCs w:val="40"/>
          <w:lang w:val="en-US" w:eastAsia="zh-CN"/>
        </w:rPr>
        <w:t>一般公共预算当年拨款具体使用情况</w:t>
      </w:r>
      <w:bookmarkEnd w:id="20"/>
    </w:p>
    <w:p w14:paraId="0AD027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教育支出（类）普通教育（款）小学教育（项）2024年预算数为649.71万元，主要用于：本单位的基本支出，包括基本工资、津贴补贴等人员经费以及办公费、差旅费、水电费等日常公用经费。</w:t>
      </w:r>
    </w:p>
    <w:p w14:paraId="59ED2C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21" w:name="_Toc6990"/>
      <w:bookmarkStart w:id="22" w:name="_Toc32033"/>
      <w:r>
        <w:rPr>
          <w:rFonts w:hint="default" w:ascii="Times New Roman" w:hAnsi="Times New Roman" w:eastAsia="黑体" w:cs="Times New Roman"/>
          <w:sz w:val="32"/>
          <w:szCs w:val="40"/>
          <w:lang w:val="en-US" w:eastAsia="zh-CN"/>
        </w:rPr>
        <w:t>六、一般公共预算基本支出情况说明</w:t>
      </w:r>
      <w:bookmarkEnd w:id="21"/>
      <w:bookmarkEnd w:id="22"/>
    </w:p>
    <w:p w14:paraId="29FDEA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王家小学2024年一般公共预算基本支出614.47万元，其中：</w:t>
      </w:r>
    </w:p>
    <w:p w14:paraId="1382E0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人员经费614.47万元，主要包括：基本工资、津贴补贴、奖金、社会保险缴费、住房公积金等支出。</w:t>
      </w:r>
    </w:p>
    <w:p w14:paraId="10A9BA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23" w:name="_Toc13618"/>
      <w:bookmarkStart w:id="24" w:name="_Toc31903"/>
      <w:r>
        <w:rPr>
          <w:rFonts w:hint="default" w:ascii="Times New Roman" w:hAnsi="Times New Roman" w:eastAsia="黑体" w:cs="Times New Roman"/>
          <w:sz w:val="32"/>
          <w:szCs w:val="40"/>
          <w:lang w:val="en-US" w:eastAsia="zh-CN"/>
        </w:rPr>
        <w:t>七、“三公”经费财政拨款预算安排情况说明</w:t>
      </w:r>
      <w:bookmarkEnd w:id="23"/>
      <w:bookmarkEnd w:id="24"/>
    </w:p>
    <w:p w14:paraId="13A91B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王家小学2024年“三公”经费财政拨款预算数0万元。</w:t>
      </w:r>
    </w:p>
    <w:p w14:paraId="1FC732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25" w:name="_Toc22557"/>
      <w:r>
        <w:rPr>
          <w:rFonts w:hint="default" w:ascii="Times New Roman" w:hAnsi="Times New Roman" w:eastAsia="楷体_GB2312" w:cs="Times New Roman"/>
          <w:sz w:val="32"/>
          <w:szCs w:val="40"/>
          <w:lang w:val="en-US" w:eastAsia="zh-CN"/>
        </w:rPr>
        <w:t>（一）公务接待费</w:t>
      </w:r>
      <w:bookmarkEnd w:id="25"/>
    </w:p>
    <w:p w14:paraId="200312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公务接待费与2023年预算相比下降0.16万元，主要原因是</w:t>
      </w:r>
    </w:p>
    <w:p w14:paraId="2D2547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bookmarkStart w:id="26" w:name="_Toc10083"/>
      <w:r>
        <w:rPr>
          <w:rFonts w:hint="default" w:ascii="Times New Roman" w:hAnsi="Times New Roman" w:eastAsia="仿宋_GB2312" w:cs="Times New Roman"/>
          <w:sz w:val="32"/>
          <w:szCs w:val="40"/>
          <w:lang w:val="en-US" w:eastAsia="zh-CN"/>
        </w:rPr>
        <w:t>公务接待费与2023年预算相比下降0.16万元，主要原因是按照党中央、国务院关于过“紧日子”和坚持厉行节约反对浪费的要求，进一步减少公务接待费支出。</w:t>
      </w:r>
      <w:bookmarkEnd w:id="26"/>
    </w:p>
    <w:p w14:paraId="649862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27" w:name="_Toc1860"/>
      <w:r>
        <w:rPr>
          <w:rFonts w:hint="default" w:ascii="Times New Roman" w:hAnsi="Times New Roman" w:eastAsia="楷体_GB2312" w:cs="Times New Roman"/>
          <w:sz w:val="32"/>
          <w:szCs w:val="40"/>
          <w:lang w:val="en-US" w:eastAsia="zh-CN"/>
        </w:rPr>
        <w:t>（二）公务用车购置及运行维护费</w:t>
      </w:r>
      <w:bookmarkEnd w:id="27"/>
    </w:p>
    <w:p w14:paraId="7D6473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rPr>
        <w:t>公务用车购置及运行维护费与2023年预算持平。</w:t>
      </w:r>
    </w:p>
    <w:p w14:paraId="373B14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lang w:val="en-US" w:eastAsia="zh-CN"/>
        </w:rPr>
        <w:t>王家小学</w:t>
      </w:r>
      <w:r>
        <w:rPr>
          <w:rFonts w:hint="default" w:ascii="Times New Roman" w:hAnsi="Times New Roman" w:eastAsia="仿宋_GB2312" w:cs="Times New Roman"/>
          <w:sz w:val="32"/>
          <w:szCs w:val="40"/>
        </w:rPr>
        <w:t>现有公务用车0辆。</w:t>
      </w:r>
    </w:p>
    <w:p w14:paraId="07E0F8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rPr>
        <w:t>2024年未安排公务用车购置费。</w:t>
      </w:r>
    </w:p>
    <w:p w14:paraId="0C747E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rPr>
        <w:t>2024年安排公务用车运行维护费0万元。</w:t>
      </w:r>
    </w:p>
    <w:p w14:paraId="39F513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28" w:name="_Toc13593"/>
      <w:r>
        <w:rPr>
          <w:rFonts w:hint="default" w:ascii="Times New Roman" w:hAnsi="Times New Roman" w:eastAsia="楷体_GB2312" w:cs="Times New Roman"/>
          <w:sz w:val="32"/>
          <w:szCs w:val="40"/>
          <w:lang w:val="en-US" w:eastAsia="zh-CN"/>
        </w:rPr>
        <w:t>（三）因公出国（境）经费</w:t>
      </w:r>
      <w:bookmarkEnd w:id="28"/>
    </w:p>
    <w:p w14:paraId="2154B1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王家小学2024年未安排因公出国（境）费用。</w:t>
      </w:r>
    </w:p>
    <w:p w14:paraId="63F286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29" w:name="_Toc29967"/>
      <w:bookmarkStart w:id="30" w:name="_Toc14638"/>
      <w:r>
        <w:rPr>
          <w:rFonts w:hint="default" w:ascii="Times New Roman" w:hAnsi="Times New Roman" w:eastAsia="黑体" w:cs="Times New Roman"/>
          <w:sz w:val="32"/>
          <w:szCs w:val="40"/>
          <w:lang w:val="en-US" w:eastAsia="zh-CN"/>
        </w:rPr>
        <w:t>八、政府性基金预算支出情况说明</w:t>
      </w:r>
      <w:bookmarkEnd w:id="29"/>
      <w:bookmarkEnd w:id="30"/>
    </w:p>
    <w:p w14:paraId="315A94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王家小学2024年没有使用政府性基金预算拨款安排的支出</w:t>
      </w:r>
    </w:p>
    <w:p w14:paraId="2C8377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31" w:name="_Toc1283"/>
      <w:bookmarkStart w:id="32" w:name="_Toc1505"/>
      <w:r>
        <w:rPr>
          <w:rFonts w:hint="default" w:ascii="Times New Roman" w:hAnsi="Times New Roman" w:eastAsia="黑体" w:cs="Times New Roman"/>
          <w:sz w:val="32"/>
          <w:szCs w:val="40"/>
          <w:lang w:val="en-US" w:eastAsia="zh-CN"/>
        </w:rPr>
        <w:t>九、国有资本经营预算支出情况说明</w:t>
      </w:r>
      <w:bookmarkEnd w:id="31"/>
      <w:bookmarkEnd w:id="32"/>
    </w:p>
    <w:p w14:paraId="7D96F8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王家小学2024年没有使用国有资本经营预算拨款安排的支出。</w:t>
      </w:r>
    </w:p>
    <w:p w14:paraId="7F7454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33" w:name="_Toc20452"/>
      <w:bookmarkStart w:id="34" w:name="_Toc31025"/>
      <w:r>
        <w:rPr>
          <w:rFonts w:hint="default" w:ascii="Times New Roman" w:hAnsi="Times New Roman" w:eastAsia="黑体" w:cs="Times New Roman"/>
          <w:sz w:val="32"/>
          <w:szCs w:val="40"/>
          <w:lang w:val="en-US" w:eastAsia="zh-CN"/>
        </w:rPr>
        <w:t>十、其他重要事项的情况说明</w:t>
      </w:r>
      <w:bookmarkEnd w:id="33"/>
      <w:bookmarkEnd w:id="34"/>
    </w:p>
    <w:p w14:paraId="158CD1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35" w:name="_Toc28860"/>
      <w:r>
        <w:rPr>
          <w:rFonts w:hint="default" w:ascii="Times New Roman" w:hAnsi="Times New Roman" w:eastAsia="楷体_GB2312" w:cs="Times New Roman"/>
          <w:sz w:val="32"/>
          <w:szCs w:val="40"/>
          <w:lang w:val="en-US" w:eastAsia="zh-CN"/>
        </w:rPr>
        <w:t>（一）机关运行经费</w:t>
      </w:r>
      <w:bookmarkEnd w:id="35"/>
    </w:p>
    <w:p w14:paraId="0EF206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2024年，本单位属于公益一类事业单位无机关运行经费。</w:t>
      </w:r>
    </w:p>
    <w:p w14:paraId="221684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36" w:name="_Toc9214"/>
      <w:r>
        <w:rPr>
          <w:rFonts w:hint="default" w:ascii="Times New Roman" w:hAnsi="Times New Roman" w:eastAsia="楷体_GB2312" w:cs="Times New Roman"/>
          <w:sz w:val="32"/>
          <w:szCs w:val="40"/>
          <w:lang w:val="en-US" w:eastAsia="zh-CN"/>
        </w:rPr>
        <w:t>（二）政府采购情况</w:t>
      </w:r>
      <w:bookmarkEnd w:id="36"/>
    </w:p>
    <w:p w14:paraId="1D0DFE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rPr>
      </w:pPr>
      <w:r>
        <w:rPr>
          <w:rFonts w:hint="default" w:ascii="Times New Roman" w:hAnsi="Times New Roman" w:eastAsia="仿宋_GB2312" w:cs="Times New Roman"/>
          <w:sz w:val="32"/>
          <w:szCs w:val="40"/>
          <w:lang w:val="en-US" w:eastAsia="zh-CN"/>
        </w:rPr>
        <w:t>2024年，王家小学未安排政府采购预算。</w:t>
      </w:r>
    </w:p>
    <w:p w14:paraId="45E28D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37" w:name="_Toc20873"/>
      <w:r>
        <w:rPr>
          <w:rFonts w:hint="default" w:ascii="Times New Roman" w:hAnsi="Times New Roman" w:eastAsia="楷体_GB2312" w:cs="Times New Roman"/>
          <w:sz w:val="32"/>
          <w:szCs w:val="40"/>
          <w:lang w:val="en-US" w:eastAsia="zh-CN"/>
        </w:rPr>
        <w:t>（三）国有资产占有使用情况</w:t>
      </w:r>
      <w:bookmarkEnd w:id="37"/>
    </w:p>
    <w:p w14:paraId="41C106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截至2023年底，王家小学共有车辆0辆，单位无价值200万元以上大型设备。</w:t>
      </w:r>
    </w:p>
    <w:p w14:paraId="2AD5D2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2024年王家小学预算未安排购置车辆及单位价值200万元以上大型设备。</w:t>
      </w:r>
    </w:p>
    <w:p w14:paraId="36BD42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40"/>
          <w:lang w:val="en-US" w:eastAsia="zh-CN"/>
        </w:rPr>
      </w:pPr>
      <w:bookmarkStart w:id="38" w:name="_Toc6373"/>
      <w:r>
        <w:rPr>
          <w:rFonts w:hint="default" w:ascii="Times New Roman" w:hAnsi="Times New Roman" w:eastAsia="楷体_GB2312" w:cs="Times New Roman"/>
          <w:sz w:val="32"/>
          <w:szCs w:val="40"/>
          <w:lang w:val="en-US" w:eastAsia="zh-CN"/>
        </w:rPr>
        <w:t>（四）绩效目标设置情况</w:t>
      </w:r>
      <w:bookmarkEnd w:id="38"/>
    </w:p>
    <w:p w14:paraId="4CBA39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2024年王家小学开展绩效目标管理的项目4个，涉及预算35.24万元。其中：人员类项目0个，涉及预算0万元；运转类项目4个，涉及预算35.24万元；特定目标类项目0个，涉及预算0万元。因部分项目内容涉密，不予公开。</w:t>
      </w:r>
    </w:p>
    <w:p w14:paraId="7B5839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40"/>
          <w:lang w:val="en-US" w:eastAsia="zh-CN"/>
        </w:rPr>
      </w:pPr>
      <w:bookmarkStart w:id="39" w:name="_Toc8457"/>
      <w:bookmarkStart w:id="40" w:name="_Toc17335"/>
      <w:r>
        <w:rPr>
          <w:rFonts w:hint="default" w:ascii="Times New Roman" w:hAnsi="Times New Roman" w:eastAsia="黑体" w:cs="Times New Roman"/>
          <w:sz w:val="32"/>
          <w:szCs w:val="40"/>
          <w:lang w:val="en-US" w:eastAsia="zh-CN"/>
        </w:rPr>
        <w:t>十一、名词解释</w:t>
      </w:r>
      <w:bookmarkEnd w:id="39"/>
      <w:bookmarkEnd w:id="40"/>
    </w:p>
    <w:p w14:paraId="1E54A0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bookmarkStart w:id="41" w:name="_Toc30054"/>
      <w:r>
        <w:rPr>
          <w:rFonts w:hint="default" w:ascii="Times New Roman" w:hAnsi="Times New Roman" w:eastAsia="楷体_GB2312" w:cs="Times New Roman"/>
          <w:sz w:val="32"/>
          <w:szCs w:val="40"/>
          <w:lang w:val="en-US" w:eastAsia="zh-CN"/>
        </w:rPr>
        <w:t>（一）财政拨款收入</w:t>
      </w:r>
      <w:r>
        <w:rPr>
          <w:rFonts w:hint="default" w:ascii="Times New Roman" w:hAnsi="Times New Roman" w:eastAsia="仿宋_GB2312" w:cs="Times New Roman"/>
          <w:sz w:val="32"/>
          <w:szCs w:val="40"/>
          <w:lang w:val="en-US" w:eastAsia="zh-CN"/>
        </w:rPr>
        <w:t>：指财政当年安排的财政预算收入。按现行管理制度，部门预算中反映的财政拨款包括一般公共预算拨款和政府性基金预算拨款。</w:t>
      </w:r>
    </w:p>
    <w:p w14:paraId="0E1E42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楷体_GB2312" w:cs="Times New Roman"/>
          <w:sz w:val="32"/>
          <w:szCs w:val="40"/>
          <w:lang w:val="en-US" w:eastAsia="zh-CN"/>
        </w:rPr>
        <w:t>（二）教育支出（类）普通教育（款）小学教育（项）：</w:t>
      </w:r>
      <w:r>
        <w:rPr>
          <w:rFonts w:hint="default" w:ascii="Times New Roman" w:hAnsi="Times New Roman" w:eastAsia="仿宋_GB2312" w:cs="Times New Roman"/>
          <w:sz w:val="32"/>
          <w:szCs w:val="40"/>
          <w:lang w:val="en-US" w:eastAsia="zh-CN"/>
        </w:rPr>
        <w:t>指全区小学教育发展的基本支出，包括基本工资、津贴补贴等人员经费以及办公费、印刷费、水电费等日常公用经费。</w:t>
      </w:r>
    </w:p>
    <w:p w14:paraId="7FC7A7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楷体_GB2312" w:cs="Times New Roman"/>
          <w:sz w:val="32"/>
          <w:szCs w:val="40"/>
          <w:lang w:val="en-US" w:eastAsia="zh-CN"/>
        </w:rPr>
        <w:t>（三）基本支出：</w:t>
      </w:r>
      <w:r>
        <w:rPr>
          <w:rFonts w:hint="default" w:ascii="Times New Roman" w:hAnsi="Times New Roman" w:eastAsia="仿宋_GB2312" w:cs="Times New Roman"/>
          <w:sz w:val="32"/>
          <w:szCs w:val="40"/>
          <w:lang w:val="en-US" w:eastAsia="zh-CN"/>
        </w:rPr>
        <w:t>指为保证机构正常运转，完成日常工作任务而发生的人员支出和公用支出。</w:t>
      </w:r>
    </w:p>
    <w:p w14:paraId="4079BD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楷体_GB2312" w:cs="Times New Roman"/>
          <w:sz w:val="32"/>
          <w:szCs w:val="40"/>
          <w:lang w:val="en-US" w:eastAsia="zh-CN"/>
        </w:rPr>
        <w:t>（四）项目支出</w:t>
      </w:r>
      <w:r>
        <w:rPr>
          <w:rFonts w:hint="default" w:ascii="Times New Roman" w:hAnsi="Times New Roman" w:eastAsia="仿宋_GB2312" w:cs="Times New Roman"/>
          <w:sz w:val="32"/>
          <w:szCs w:val="40"/>
          <w:lang w:val="en-US" w:eastAsia="zh-CN"/>
        </w:rPr>
        <w:t>：指在基本支出之外为完成特定行政任务和事业发展目标所发生的支出。</w:t>
      </w:r>
      <w:bookmarkEnd w:id="41"/>
    </w:p>
    <w:p w14:paraId="36067A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bookmarkStart w:id="42" w:name="_Toc22847"/>
    </w:p>
    <w:p w14:paraId="7F27C1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r>
        <w:rPr>
          <w:rFonts w:hint="default" w:ascii="Times New Roman" w:hAnsi="Times New Roman" w:eastAsia="仿宋_GB2312" w:cs="Times New Roman"/>
          <w:sz w:val="32"/>
          <w:szCs w:val="40"/>
          <w:lang w:val="en-US" w:eastAsia="zh-CN"/>
        </w:rPr>
        <w:t>    </w:t>
      </w:r>
      <w:bookmarkEnd w:id="42"/>
      <w:r>
        <w:rPr>
          <w:rFonts w:hint="default" w:ascii="Times New Roman" w:hAnsi="Times New Roman" w:eastAsia="仿宋_GB2312" w:cs="Times New Roman"/>
          <w:sz w:val="32"/>
          <w:szCs w:val="40"/>
          <w:lang w:val="en-US" w:eastAsia="zh-CN"/>
        </w:rPr>
        <w:t>附件：1.预算公开表</w:t>
      </w:r>
    </w:p>
    <w:p w14:paraId="76E362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lang w:val="en-US" w:eastAsia="zh-CN"/>
        </w:rPr>
      </w:pPr>
      <w:bookmarkStart w:id="43" w:name="_Toc31989"/>
      <w:r>
        <w:rPr>
          <w:rFonts w:hint="default" w:ascii="Times New Roman" w:hAnsi="Times New Roman" w:eastAsia="仿宋_GB2312" w:cs="Times New Roman"/>
          <w:sz w:val="32"/>
          <w:szCs w:val="40"/>
          <w:lang w:val="en-US" w:eastAsia="zh-CN"/>
        </w:rPr>
        <w:t>2.项目支出绩效目标表</w:t>
      </w:r>
      <w:bookmarkEnd w:id="43"/>
    </w:p>
    <w:p w14:paraId="79175C0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Times New Roman" w:hAnsi="Times New Roman" w:eastAsia="仿宋_GB2312" w:cs="Times New Roman"/>
          <w:b/>
          <w:bCs/>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B7F528-F7BF-4188-B264-71FE4FD587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_GBK">
    <w:panose1 w:val="02000000000000000000"/>
    <w:charset w:val="86"/>
    <w:family w:val="auto"/>
    <w:pitch w:val="default"/>
    <w:sig w:usb0="A00002BF" w:usb1="38CF7CFA" w:usb2="00082016" w:usb3="00000000" w:csb0="00040001" w:csb1="00000000"/>
    <w:embedRegular r:id="rId2" w:fontKey="{83072F78-B524-4105-8BEC-9E867193A4FC}"/>
  </w:font>
  <w:font w:name="仿宋">
    <w:panose1 w:val="02010609060101010101"/>
    <w:charset w:val="86"/>
    <w:family w:val="auto"/>
    <w:pitch w:val="default"/>
    <w:sig w:usb0="800002BF" w:usb1="38CF7CFA" w:usb2="00000016" w:usb3="00000000" w:csb0="00040001" w:csb1="00000000"/>
    <w:embedRegular r:id="rId3" w:fontKey="{4F8CA63E-CE14-48A5-B248-62D4AF4131B6}"/>
  </w:font>
  <w:font w:name="楷体_GB2312">
    <w:panose1 w:val="02010609030101010101"/>
    <w:charset w:val="86"/>
    <w:family w:val="auto"/>
    <w:pitch w:val="default"/>
    <w:sig w:usb0="00000001" w:usb1="080E0000" w:usb2="00000000" w:usb3="00000000" w:csb0="00040000" w:csb1="00000000"/>
    <w:embedRegular r:id="rId4" w:fontKey="{A5BBD4C1-F092-4E2D-802B-D4F0DE1CC27F}"/>
  </w:font>
  <w:font w:name="仿宋_GB2312">
    <w:altName w:val="仿宋"/>
    <w:panose1 w:val="02010609030101010101"/>
    <w:charset w:val="86"/>
    <w:family w:val="auto"/>
    <w:pitch w:val="default"/>
    <w:sig w:usb0="00000000" w:usb1="00000000" w:usb2="00000000" w:usb3="00000000" w:csb0="00040000" w:csb1="00000000"/>
    <w:embedRegular r:id="rId5" w:fontKey="{948EDBB1-403B-4711-B2C1-47C552DA88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2791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97844">
                          <w:pPr>
                            <w:pStyle w:val="5"/>
                            <w:rPr>
                              <w:sz w:val="30"/>
                              <w:szCs w:val="30"/>
                            </w:rPr>
                          </w:pPr>
                          <w:r>
                            <w:rPr>
                              <w:sz w:val="30"/>
                              <w:szCs w:val="30"/>
                            </w:rPr>
                            <w:t>—</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  \* MERGEFORMAT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sz w:val="30"/>
                              <w:szCs w:val="30"/>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C997844">
                    <w:pPr>
                      <w:pStyle w:val="5"/>
                      <w:rPr>
                        <w:sz w:val="30"/>
                        <w:szCs w:val="30"/>
                      </w:rPr>
                    </w:pPr>
                    <w:r>
                      <w:rPr>
                        <w:sz w:val="30"/>
                        <w:szCs w:val="30"/>
                      </w:rPr>
                      <w:t>—</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  \* MERGEFORMAT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sz w:val="30"/>
                        <w:szCs w:val="30"/>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1722330"/>
    <w:rsid w:val="03326A5B"/>
    <w:rsid w:val="07F45FD0"/>
    <w:rsid w:val="085E53BC"/>
    <w:rsid w:val="088C69DF"/>
    <w:rsid w:val="0B74461D"/>
    <w:rsid w:val="0ECA4EB3"/>
    <w:rsid w:val="0FE06358"/>
    <w:rsid w:val="17DE3E23"/>
    <w:rsid w:val="19740D84"/>
    <w:rsid w:val="19F63234"/>
    <w:rsid w:val="1DCA197B"/>
    <w:rsid w:val="1F7BF06F"/>
    <w:rsid w:val="1FEE4B73"/>
    <w:rsid w:val="23CE9849"/>
    <w:rsid w:val="247F2436"/>
    <w:rsid w:val="2A0D5BD8"/>
    <w:rsid w:val="2B344C41"/>
    <w:rsid w:val="2BE0641B"/>
    <w:rsid w:val="2F373426"/>
    <w:rsid w:val="2FEF2C1A"/>
    <w:rsid w:val="35670D6E"/>
    <w:rsid w:val="37384DD7"/>
    <w:rsid w:val="39F304DD"/>
    <w:rsid w:val="3F1D78FA"/>
    <w:rsid w:val="420F0DA5"/>
    <w:rsid w:val="45A235E2"/>
    <w:rsid w:val="49CA0359"/>
    <w:rsid w:val="4B692207"/>
    <w:rsid w:val="4B865217"/>
    <w:rsid w:val="4BCB06DD"/>
    <w:rsid w:val="4E4F0D21"/>
    <w:rsid w:val="4E993F8A"/>
    <w:rsid w:val="50A622E8"/>
    <w:rsid w:val="50A85380"/>
    <w:rsid w:val="54244390"/>
    <w:rsid w:val="54662A63"/>
    <w:rsid w:val="555356E7"/>
    <w:rsid w:val="58064E12"/>
    <w:rsid w:val="5BFEE015"/>
    <w:rsid w:val="601D2E0B"/>
    <w:rsid w:val="630A6F40"/>
    <w:rsid w:val="63EDCF55"/>
    <w:rsid w:val="63FBFBCF"/>
    <w:rsid w:val="669360FD"/>
    <w:rsid w:val="68D46385"/>
    <w:rsid w:val="68FF6A83"/>
    <w:rsid w:val="6E135426"/>
    <w:rsid w:val="6ED86E88"/>
    <w:rsid w:val="6FAC3CDD"/>
    <w:rsid w:val="6FBBC9CF"/>
    <w:rsid w:val="71550FAC"/>
    <w:rsid w:val="72206ADD"/>
    <w:rsid w:val="72BDE561"/>
    <w:rsid w:val="73BE3C54"/>
    <w:rsid w:val="74510D7A"/>
    <w:rsid w:val="74EC43CC"/>
    <w:rsid w:val="78462278"/>
    <w:rsid w:val="78E33F6B"/>
    <w:rsid w:val="7997EA6C"/>
    <w:rsid w:val="7AEAE675"/>
    <w:rsid w:val="7BAFCE5D"/>
    <w:rsid w:val="7C523723"/>
    <w:rsid w:val="7D46598C"/>
    <w:rsid w:val="7DFB240B"/>
    <w:rsid w:val="7E0935ED"/>
    <w:rsid w:val="7EB32734"/>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4"/>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3526</Words>
  <Characters>3740</Characters>
  <TotalTime>0</TotalTime>
  <ScaleCrop>false</ScaleCrop>
  <LinksUpToDate>false</LinksUpToDate>
  <CharactersWithSpaces>3807</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2025-06-16T00:50:11Z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96081F72B7444D3C8C1C7DDAED24732C_13</vt:lpwstr>
  </property>
  <property fmtid="{D5CDD505-2E9C-101B-9397-08002B2CF9AE}" pid="4" name="KSOTemplateDocerSaveRecord">
    <vt:lpwstr>eyJoZGlkIjoiMGVhYTg4NGNkZWJkODFjNzcyZDRjM2M4Y2UzNjI5ZmUiLCJ1c2VySWQiOiI2MTE2MzEwMDYifQ==</vt:lpwstr>
  </property>
</Properties>
</file>