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3150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广元市昭化区磨滩镇观音小学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目录</w:t>
      </w:r>
    </w:p>
    <w:sdt>
      <w:sdtPr>
        <w:rPr>
          <w:rFonts w:ascii="宋体" w:hAnsi="宋体" w:eastAsia="宋体" w:cs="Times New Roman"/>
          <w:color w:val="auto"/>
          <w:kern w:val="2"/>
          <w:sz w:val="21"/>
          <w:szCs w:val="24"/>
          <w:lang w:val="en-US" w:eastAsia="zh-CN" w:bidi="ar-SA"/>
        </w:rPr>
        <w:id w:val="147454982"/>
        <w15:color w:val="DBDBDB"/>
        <w:docPartObj>
          <w:docPartGallery w:val="Table of Contents"/>
          <w:docPartUnique/>
        </w:docPartObj>
      </w:sdtPr>
      <w:sdtEndPr>
        <w:rPr>
          <w:rFonts w:hint="default" w:ascii="宋体" w:hAnsi="宋体" w:eastAsia="宋体" w:cs="宋体"/>
          <w:b/>
          <w:i w:val="0"/>
          <w:caps w:val="0"/>
          <w:color w:val="000000" w:themeColor="text1"/>
          <w:spacing w:val="0"/>
          <w:kern w:val="2"/>
          <w:sz w:val="24"/>
          <w:szCs w:val="28"/>
          <w:highlight w:val="none"/>
          <w:shd w:val="clear" w:color="auto" w:fill="FFFFFF"/>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instrText xml:space="preserve">TOC \o "1-2" \h \u </w:instrText>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_Toc28490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一、基本职能及主要工作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_Toc28490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_Toc21836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_Toc28550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en-US"/>
            </w:rPr>
            <w:t>2024</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_Toc28550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_Toc16070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二、部门预算单位构成</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_Toc16070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_Toc12078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三、收支预算情况说明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_Toc12078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_Toc23468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_Toc21629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_Toc21629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_Toc18650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四、财政拨款收支预算情况说明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_Toc18650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_Toc580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五、一般公共预算当年拨款情况说明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_Toc580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_Toc14774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_Toc12993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_Toc18989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_Toc6700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六、一般公共预算基本支出情况说明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_Toc6700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_Toc19860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七、“三公”经费财政拨款预算安排情况说明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_Toc19860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_Toc22175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（一）公务接待费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_Toc22175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_Toc26983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（二） 公务用车购置及运行维护费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i w:val="0"/>
              <w:caps w:val="0"/>
              <w:spacing w:val="0"/>
              <w:sz w:val="32"/>
              <w:szCs w:val="32"/>
              <w:highlight w:val="none"/>
              <w:shd w:val="clear" w:color="auto" w:fill="FFFFFF"/>
              <w:lang w:val="en-US" w:eastAsia="zh-CN"/>
            </w:rPr>
            <w:instrText xml:space="preserve"> HYPERLINK \l _Toc8258 </w:instrText>
          </w:r>
          <w:r>
            <w:rPr>
              <w:rFonts w:hint="eastAsia" w:ascii="仿宋_GB2312" w:hAnsi="仿宋_GB2312" w:eastAsia="仿宋_GB2312" w:cs="仿宋_GB2312"/>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sz w:val="32"/>
              <w:szCs w:val="32"/>
              <w:lang w:val="en-US" w:eastAsia="zh-CN"/>
            </w:rPr>
            <w:t>（三）因公出国（境）经费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_Toc8258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_Toc839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八、政府性基金预算支出情况说明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_Toc839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_Toc1000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九、国有资本经营预算支出情况说明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_Toc1000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_Toc933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十、其他重要事项的情况说明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_Toc933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begin"/>
          </w:r>
          <w:r>
            <w:rPr>
              <w:rFonts w:hint="eastAsia" w:ascii="仿宋_GB2312" w:hAnsi="仿宋_GB2312" w:eastAsia="仿宋_GB2312" w:cs="仿宋_GB2312"/>
              <w:b/>
              <w:i w:val="0"/>
              <w:caps w:val="0"/>
              <w:spacing w:val="0"/>
              <w:sz w:val="32"/>
              <w:szCs w:val="32"/>
              <w:highlight w:val="none"/>
              <w:shd w:val="clear" w:color="auto" w:fill="FFFFFF"/>
              <w:lang w:val="en-US" w:eastAsia="zh-CN"/>
            </w:rPr>
            <w:instrText xml:space="preserve"> HYPERLINK \l _Toc23960 </w:instrText>
          </w:r>
          <w:r>
            <w:rPr>
              <w:rFonts w:hint="eastAsia" w:ascii="仿宋_GB2312" w:hAnsi="仿宋_GB2312" w:eastAsia="仿宋_GB2312" w:cs="仿宋_GB2312"/>
              <w:b/>
              <w:i w:val="0"/>
              <w:caps w:val="0"/>
              <w:spacing w:val="0"/>
              <w:sz w:val="32"/>
              <w:szCs w:val="32"/>
              <w:highlight w:val="none"/>
              <w:shd w:val="clear" w:color="auto" w:fill="FFFFFF"/>
              <w:lang w:val="en-US" w:eastAsia="zh-CN"/>
            </w:rPr>
            <w:fldChar w:fldCharType="separate"/>
          </w:r>
          <w:r>
            <w:rPr>
              <w:rFonts w:hint="eastAsia" w:ascii="仿宋_GB2312" w:hAnsi="仿宋_GB2312" w:eastAsia="仿宋_GB2312" w:cs="仿宋_GB2312"/>
              <w:b/>
              <w:sz w:val="32"/>
              <w:szCs w:val="32"/>
              <w:lang w:val="en-US" w:eastAsia="zh-CN"/>
            </w:rPr>
            <w:t>十一、名词解释</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_Toc23960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b/>
              <w:i w:val="0"/>
              <w:caps w:val="0"/>
              <w:color w:val="000000" w:themeColor="text1"/>
              <w:spacing w:val="0"/>
              <w:sz w:val="32"/>
              <w:szCs w:val="32"/>
              <w:highlight w:val="none"/>
              <w:shd w:val="clear" w:color="auto" w:fill="FFFFFF"/>
              <w:lang w:val="en-US" w:eastAsia="zh-CN"/>
              <w14:textFill>
                <w14:solidFill>
                  <w14:schemeClr w14:val="tx1"/>
                </w14:solidFill>
              </w14:textFill>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bookmarkStart w:id="1" w:name="_Toc28490"/>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183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4.负责制定学校教育发展规划，并抓好组织实施和落实工作。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7.负责依法制定本校教师及其他职工聘任办法并对教师及其他员工实施包括奖励、处分在内的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8550"/>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6070"/>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2078"/>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按照综合预算的原则，观音小学所有收入和支出均纳入部门预算管理。收入包括：一般公共预算拨款收入；支出包括：教育支出。观音小学2024年收支预算总数481.2万元,比2023年初收支预算总数</w:t>
      </w:r>
      <w:r>
        <w:rPr>
          <w:rFonts w:hint="eastAsia" w:ascii="仿宋_GB2312" w:hAnsi="仿宋_GB2312" w:eastAsia="仿宋_GB2312" w:cs="仿宋_GB2312"/>
          <w:color w:val="auto"/>
          <w:sz w:val="32"/>
          <w:szCs w:val="32"/>
          <w:lang w:val="en-US" w:eastAsia="zh-CN"/>
        </w:rPr>
        <w:t>增加6.39</w:t>
      </w:r>
      <w:r>
        <w:rPr>
          <w:rFonts w:hint="eastAsia" w:ascii="仿宋_GB2312" w:hAnsi="仿宋_GB2312" w:eastAsia="仿宋_GB2312" w:cs="仿宋_GB2312"/>
          <w:sz w:val="32"/>
          <w:szCs w:val="32"/>
          <w:lang w:val="en-US" w:eastAsia="zh-CN"/>
        </w:rPr>
        <w:t>万元，主要原因是人员支出增加。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3468"/>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观音小学2024年收入预算481.2万元，其中：一般公共预算拨款收入481.2万元，占100%。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1629"/>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观音小学2024年支出预算481.2万元，其中：基本支出435.94万元，占90.59%；项目支出45.26万元，占9.41%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8650"/>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观音小学2024年财政拨款收支预算总数481.2万元,比2023年初财政拨款收支预算总数</w:t>
      </w:r>
      <w:r>
        <w:rPr>
          <w:rFonts w:hint="eastAsia" w:ascii="仿宋_GB2312" w:hAnsi="仿宋_GB2312" w:eastAsia="仿宋_GB2312" w:cs="仿宋_GB2312"/>
          <w:color w:val="auto"/>
          <w:sz w:val="32"/>
          <w:szCs w:val="32"/>
          <w:lang w:val="en-US" w:eastAsia="zh-CN"/>
        </w:rPr>
        <w:t>增加6.39</w:t>
      </w:r>
      <w:r>
        <w:rPr>
          <w:rFonts w:hint="eastAsia" w:ascii="仿宋_GB2312" w:hAnsi="仿宋_GB2312" w:eastAsia="仿宋_GB2312" w:cs="仿宋_GB2312"/>
          <w:sz w:val="32"/>
          <w:szCs w:val="32"/>
          <w:lang w:val="en-US" w:eastAsia="zh-CN"/>
        </w:rPr>
        <w:t>万元，主要原因是人员支出增加。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收入包括：本年一般公共预算拨款收入481.2万元；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支出包括：教育支出481.2万元、社会保障和就业支出0万元。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580"/>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477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观音小学2024年一般公共预算当年拨款481.2万元，比2023年初预算数</w:t>
      </w:r>
      <w:r>
        <w:rPr>
          <w:rFonts w:hint="eastAsia" w:ascii="仿宋_GB2312" w:hAnsi="仿宋_GB2312" w:eastAsia="仿宋_GB2312" w:cs="仿宋_GB2312"/>
          <w:color w:val="auto"/>
          <w:sz w:val="32"/>
          <w:szCs w:val="32"/>
          <w:lang w:val="en-US" w:eastAsia="zh-CN"/>
        </w:rPr>
        <w:t>增加6.39</w:t>
      </w:r>
      <w:r>
        <w:rPr>
          <w:rFonts w:hint="eastAsia" w:ascii="仿宋_GB2312" w:hAnsi="仿宋_GB2312" w:eastAsia="仿宋_GB2312" w:cs="仿宋_GB2312"/>
          <w:sz w:val="32"/>
          <w:szCs w:val="32"/>
          <w:lang w:val="en-US" w:eastAsia="zh-CN"/>
        </w:rPr>
        <w:t>万元，主要原因是人员支出增加。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2993"/>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教育支出481.2万元，占100%；社会保障和就业支出0万元。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8989"/>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教育支出（类）普通教育（款）小学教育（项）</w:t>
      </w:r>
      <w:r>
        <w:rPr>
          <w:rFonts w:hint="eastAsia" w:ascii="仿宋_GB2312" w:hAnsi="仿宋_GB2312" w:eastAsia="仿宋_GB2312" w:cs="仿宋_GB2312"/>
          <w:sz w:val="32"/>
          <w:szCs w:val="32"/>
          <w:lang w:val="en-US" w:eastAsia="zh-CN"/>
        </w:rPr>
        <w:t>2024年预算数为481.2万元，主要用于：本单位基本支出，包括基本工资、津贴补贴、基础绩效奖等人员经费以及机构运行所需的办公费、印刷费、维修（护）费、工会经费等运行补助经费。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b/>
          <w:bCs/>
          <w:sz w:val="32"/>
          <w:szCs w:val="32"/>
          <w:lang w:val="en-US" w:eastAsia="zh-CN"/>
        </w:rPr>
        <w:t>社会保障和就业（类）行政事业单位养老支出（款）事业单位离退休（项）</w:t>
      </w:r>
      <w:r>
        <w:rPr>
          <w:rFonts w:hint="eastAsia" w:ascii="仿宋_GB2312" w:hAnsi="仿宋_GB2312" w:eastAsia="仿宋_GB2312" w:cs="仿宋_GB2312"/>
          <w:sz w:val="32"/>
          <w:szCs w:val="32"/>
          <w:lang w:val="en-US" w:eastAsia="zh-CN"/>
        </w:rPr>
        <w:t>2024年预算数为0万元。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6700"/>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观音小学2024年一般公共预算基本支出435.94万元，其中：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人员经费435.94万元，主要包括：基本工资、津贴补贴、奖金、社会保险缴费、住房公积金、离退休目标奖、遗属人员生活补助等支出。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9860"/>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2175"/>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6983"/>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bookmarkStart w:id="17" w:name="_Toc825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839"/>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观音小学2024年政府性基金预算拨款安排支出0万元。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000"/>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观音小学2024年无国有资本经营预算拨款安排的支出。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933"/>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7278"/>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509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2024年，观音小学未安排政府采购预算。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4853"/>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截至2023年底，观音小学共有车辆0辆，单位无价值200万元以上的大型设备。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5967"/>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观音小学开展绩效目标管理的项目3个，涉及预算45.26万元。其中：人员类项目0个，涉及预算0万元；运转类项目3个，涉及预算45.26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3960"/>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（一）财政拨款收入:</w:t>
      </w:r>
      <w:r>
        <w:rPr>
          <w:rFonts w:hint="eastAsia" w:ascii="仿宋_GB2312" w:hAnsi="仿宋_GB2312" w:eastAsia="仿宋_GB2312" w:cs="仿宋_GB2312"/>
          <w:sz w:val="32"/>
          <w:szCs w:val="32"/>
          <w:lang w:val="en-US" w:eastAsia="zh-CN"/>
        </w:rPr>
        <w:t>指</w:t>
      </w:r>
      <w:bookmarkStart w:id="26" w:name="_GoBack"/>
      <w:bookmarkEnd w:id="26"/>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（五）教育（类）教育管理事务（款）行政运行（项）：</w:t>
      </w:r>
      <w:r>
        <w:rPr>
          <w:rFonts w:hint="eastAsia" w:ascii="仿宋_GB2312" w:hAnsi="仿宋_GB2312" w:eastAsia="仿宋_GB2312" w:cs="仿宋_GB2312"/>
          <w:sz w:val="32"/>
          <w:szCs w:val="32"/>
          <w:lang w:val="en-US" w:eastAsia="zh-CN"/>
        </w:rPr>
        <w:t>指教育局机关单位用于保障机构正常运行、开展日常工作的基本支出。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（六）教育支出（类）普通教育（款）学前教育（项）：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（七）教育支出（类）普通教育（款）小学教育（项）：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（八）教育支出（类）普通教育（款）初中教育（项）：</w:t>
      </w:r>
      <w:r>
        <w:rPr>
          <w:rFonts w:hint="eastAsia" w:ascii="仿宋_GB2312" w:hAnsi="仿宋_GB2312" w:eastAsia="仿宋_GB2312" w:cs="仿宋_GB2312"/>
          <w:sz w:val="32"/>
          <w:szCs w:val="32"/>
          <w:lang w:val="en-US" w:eastAsia="zh-CN"/>
        </w:rPr>
        <w:t>指全区初中教育发展的基本支出，包括基本工资、津贴补贴等人员经费以及办公费、印刷费、水电费等日常公用经费。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（九）教育支出（类）普通教育（款）高中教育（项）：</w:t>
      </w:r>
      <w:r>
        <w:rPr>
          <w:rFonts w:hint="eastAsia" w:ascii="仿宋_GB2312" w:hAnsi="仿宋_GB2312" w:eastAsia="仿宋_GB2312" w:cs="仿宋_GB2312"/>
          <w:sz w:val="32"/>
          <w:szCs w:val="32"/>
          <w:lang w:val="en-US" w:eastAsia="zh-CN"/>
        </w:rPr>
        <w:t>指全区高中教育发展的基本支出，包括基本工资、津贴补贴等人员经费以及办公费、印刷费、水电费等日常公用经费。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（十）教育支出（类）普通教育（款）其他普通教育（项）：</w:t>
      </w:r>
      <w:r>
        <w:rPr>
          <w:rFonts w:hint="eastAsia" w:ascii="仿宋_GB2312" w:hAnsi="仿宋_GB2312" w:eastAsia="仿宋_GB2312" w:cs="仿宋_GB2312"/>
          <w:sz w:val="32"/>
          <w:szCs w:val="32"/>
          <w:lang w:val="en-US" w:eastAsia="zh-CN"/>
        </w:rPr>
        <w:t>指除上述项目以外其他用于普通教育方面的支出。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（十一）教育支出（类）普通教育（款）中等职业教育（项）：</w:t>
      </w:r>
      <w:r>
        <w:rPr>
          <w:rFonts w:hint="eastAsia" w:ascii="仿宋_GB2312" w:hAnsi="仿宋_GB2312" w:eastAsia="仿宋_GB2312" w:cs="仿宋_GB2312"/>
          <w:sz w:val="32"/>
          <w:szCs w:val="32"/>
          <w:lang w:val="en-US" w:eastAsia="zh-CN"/>
        </w:rPr>
        <w:t>指全区中等职业教育发展的基本支出，包括基本工资、津贴补贴等人员经费以及办公费、印刷费、水电费等日常公用经费。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（十二）社会保障和就业（类）行政事业单位养老支出（款）事业单位离退休（项）：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（十三）住房保障（类）住房改革支出（款）住房公积金（项）：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（十六）“三公”经费：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（十七）机关运行经费：</w:t>
      </w:r>
      <w:r>
        <w:rPr>
          <w:rFonts w:hint="eastAsia" w:ascii="仿宋_GB2312" w:hAnsi="仿宋_GB2312" w:eastAsia="仿宋_GB2312" w:cs="仿宋_GB2312"/>
          <w:sz w:val="32"/>
          <w:szCs w:val="32"/>
          <w:lang w:val="en-US" w:eastAsia="zh-CN"/>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预算公开报表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4B3B3D"/>
    <w:rsid w:val="012352D1"/>
    <w:rsid w:val="02E30171"/>
    <w:rsid w:val="04306F50"/>
    <w:rsid w:val="0D89385E"/>
    <w:rsid w:val="16AE1708"/>
    <w:rsid w:val="1F7BF06F"/>
    <w:rsid w:val="1FEE4B73"/>
    <w:rsid w:val="23CE9849"/>
    <w:rsid w:val="2FE44129"/>
    <w:rsid w:val="39F304DD"/>
    <w:rsid w:val="496C72CE"/>
    <w:rsid w:val="49E51714"/>
    <w:rsid w:val="4E4F72FA"/>
    <w:rsid w:val="54244390"/>
    <w:rsid w:val="54662A63"/>
    <w:rsid w:val="58064E12"/>
    <w:rsid w:val="59547AB7"/>
    <w:rsid w:val="5AB87F28"/>
    <w:rsid w:val="5BFEE015"/>
    <w:rsid w:val="5C9C41C2"/>
    <w:rsid w:val="5FA573C3"/>
    <w:rsid w:val="63EDCF55"/>
    <w:rsid w:val="63FBFBCF"/>
    <w:rsid w:val="669360FD"/>
    <w:rsid w:val="68FF6A83"/>
    <w:rsid w:val="6FBBC9CF"/>
    <w:rsid w:val="72BDE561"/>
    <w:rsid w:val="78462278"/>
    <w:rsid w:val="7997EA6C"/>
    <w:rsid w:val="7AEAE675"/>
    <w:rsid w:val="7B8F65E6"/>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autoRedefine/>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