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C9531">
      <w:pPr>
        <w:widowControl/>
        <w:shd w:val="clear" w:color="auto" w:fill="FFFFFF"/>
        <w:spacing w:line="580" w:lineRule="atLeast"/>
        <w:ind w:firstLine="0" w:firstLineChars="0"/>
        <w:jc w:val="center"/>
        <w:outlineLvl w:val="0"/>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0" w:name="_Toc13133"/>
      <w:bookmarkStart w:id="1" w:name="_Toc176"/>
      <w:bookmarkStart w:id="2" w:name="_Toc30873"/>
      <w:bookmarkStart w:id="3" w:name="_Toc20753"/>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广元市昭化区元坝镇紫云小学</w:t>
      </w:r>
      <w:bookmarkEnd w:id="0"/>
      <w:bookmarkEnd w:id="1"/>
      <w:bookmarkEnd w:id="2"/>
      <w:bookmarkEnd w:id="3"/>
    </w:p>
    <w:p w14:paraId="7A1CBF1F">
      <w:pPr>
        <w:widowControl/>
        <w:shd w:val="clear" w:color="auto" w:fill="FFFFFF"/>
        <w:spacing w:line="580" w:lineRule="atLeast"/>
        <w:ind w:firstLine="0" w:firstLineChars="0"/>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2024年单位预算编制说明</w:t>
      </w:r>
    </w:p>
    <w:p w14:paraId="0589A355">
      <w:pPr>
        <w:spacing w:line="240" w:lineRule="auto"/>
        <w:ind w:firstLine="0" w:firstLineChars="0"/>
        <w:jc w:val="center"/>
        <w:rPr>
          <w:rFonts w:ascii="黑体" w:hAnsi="黑体" w:eastAsia="黑体" w:cs="黑体"/>
          <w:b/>
          <w:bCs/>
          <w:color w:val="000000" w:themeColor="text1"/>
          <w:kern w:val="0"/>
          <w:shd w:val="clear" w:color="auto" w:fill="FFFFFF"/>
          <w:lang w:bidi="ar"/>
          <w14:textFill>
            <w14:solidFill>
              <w14:schemeClr w14:val="tx1"/>
            </w14:solidFill>
          </w14:textFill>
        </w:rPr>
      </w:pPr>
      <w:r>
        <w:rPr>
          <w:rFonts w:hint="eastAsia" w:ascii="黑体" w:hAnsi="黑体" w:eastAsia="黑体" w:cs="黑体"/>
          <w:color w:val="000000" w:themeColor="text1"/>
          <w:kern w:val="0"/>
          <w:shd w:val="clear" w:color="auto" w:fill="FFFFFF"/>
          <w:lang w:bidi="ar"/>
          <w14:textFill>
            <w14:solidFill>
              <w14:schemeClr w14:val="tx1"/>
            </w14:solidFill>
          </w14:textFill>
        </w:rPr>
        <w:t>目   录</w:t>
      </w:r>
    </w:p>
    <w:sdt>
      <w:sdtPr>
        <w:rPr>
          <w:rFonts w:hint="eastAsia" w:ascii="仿宋" w:hAnsi="仿宋" w:eastAsia="仿宋" w:cs="仿宋"/>
        </w:rPr>
        <w:id w:val="147482113"/>
        <w15:color w:val="DBDBDB"/>
        <w:docPartObj>
          <w:docPartGallery w:val="Table of Contents"/>
          <w:docPartUnique/>
        </w:docPartObj>
      </w:sdtPr>
      <w:sdtEndPr>
        <w:rPr>
          <w:rFonts w:hint="eastAsia" w:ascii="仿宋" w:hAnsi="仿宋" w:eastAsia="仿宋" w:cs="仿宋"/>
          <w:b/>
        </w:rPr>
      </w:sdtEndPr>
      <w:sdtContent>
        <w:p w14:paraId="484C580A">
          <w:pPr>
            <w:spacing w:line="240" w:lineRule="auto"/>
            <w:ind w:firstLine="0" w:firstLineChars="0"/>
            <w:rPr>
              <w:rFonts w:ascii="仿宋" w:hAnsi="仿宋" w:eastAsia="仿宋" w:cs="仿宋"/>
            </w:rPr>
          </w:pPr>
        </w:p>
        <w:p w14:paraId="0D288ABE">
          <w:pPr>
            <w:widowControl/>
            <w:tabs>
              <w:tab w:val="right" w:leader="dot" w:pos="8845"/>
            </w:tabs>
            <w:suppressAutoHyphens w:val="0"/>
            <w:spacing w:line="240" w:lineRule="auto"/>
            <w:ind w:firstLine="0" w:firstLineChars="0"/>
            <w:jc w:val="left"/>
            <w:rPr>
              <w:rFonts w:ascii="仿宋" w:hAnsi="仿宋" w:eastAsia="仿宋" w:cs="仿宋"/>
              <w:b/>
              <w:kern w:val="0"/>
            </w:rPr>
          </w:pPr>
          <w:r>
            <w:rPr>
              <w:rFonts w:hint="eastAsia" w:ascii="仿宋" w:hAnsi="仿宋" w:eastAsia="仿宋" w:cs="仿宋"/>
              <w:kern w:val="0"/>
            </w:rPr>
            <w:fldChar w:fldCharType="begin"/>
          </w:r>
          <w:r>
            <w:rPr>
              <w:rFonts w:hint="eastAsia" w:ascii="仿宋" w:hAnsi="仿宋" w:eastAsia="仿宋" w:cs="仿宋"/>
              <w:kern w:val="0"/>
            </w:rPr>
            <w:instrText xml:space="preserve">TOC \o "1-2" \h \u </w:instrText>
          </w:r>
          <w:r>
            <w:rPr>
              <w:rFonts w:hint="eastAsia" w:ascii="仿宋" w:hAnsi="仿宋" w:eastAsia="仿宋" w:cs="仿宋"/>
              <w:kern w:val="0"/>
            </w:rPr>
            <w:fldChar w:fldCharType="separate"/>
          </w:r>
          <w:r>
            <w:fldChar w:fldCharType="begin"/>
          </w:r>
          <w:r>
            <w:instrText xml:space="preserve"> HYPERLINK \l "_Toc17930" </w:instrText>
          </w:r>
          <w:r>
            <w:fldChar w:fldCharType="separate"/>
          </w:r>
          <w:r>
            <w:rPr>
              <w:rFonts w:hint="eastAsia" w:ascii="仿宋" w:hAnsi="仿宋" w:eastAsia="仿宋" w:cs="仿宋"/>
              <w:b/>
              <w:kern w:val="0"/>
            </w:rPr>
            <w:t>一、基本职能及主要工作</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_Toc17930 \h </w:instrText>
          </w:r>
          <w:r>
            <w:rPr>
              <w:rFonts w:hint="eastAsia" w:ascii="仿宋" w:hAnsi="仿宋" w:eastAsia="仿宋" w:cs="仿宋"/>
              <w:b/>
              <w:kern w:val="0"/>
            </w:rPr>
            <w:fldChar w:fldCharType="separate"/>
          </w:r>
          <w:r>
            <w:rPr>
              <w:rFonts w:hint="eastAsia" w:ascii="仿宋" w:hAnsi="仿宋" w:eastAsia="仿宋" w:cs="仿宋"/>
              <w:b/>
              <w:kern w:val="0"/>
            </w:rPr>
            <w:t>3</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3514A9D7">
          <w:pPr>
            <w:widowControl/>
            <w:tabs>
              <w:tab w:val="right" w:leader="dot" w:pos="8845"/>
            </w:tabs>
            <w:suppressAutoHyphens w:val="0"/>
            <w:spacing w:line="240" w:lineRule="auto"/>
            <w:ind w:left="640" w:leftChars="200" w:firstLine="0" w:firstLineChars="0"/>
            <w:jc w:val="left"/>
            <w:rPr>
              <w:rFonts w:ascii="仿宋" w:hAnsi="仿宋" w:eastAsia="仿宋" w:cs="仿宋"/>
              <w:kern w:val="0"/>
            </w:rPr>
          </w:pPr>
          <w:r>
            <w:fldChar w:fldCharType="begin"/>
          </w:r>
          <w:r>
            <w:instrText xml:space="preserve"> HYPERLINK \l "_Toc16936" </w:instrText>
          </w:r>
          <w:r>
            <w:fldChar w:fldCharType="separate"/>
          </w:r>
          <w:r>
            <w:rPr>
              <w:rFonts w:hint="eastAsia" w:ascii="仿宋" w:hAnsi="仿宋" w:eastAsia="仿宋" w:cs="仿宋"/>
              <w:kern w:val="0"/>
            </w:rPr>
            <w:t>（一）单位职能简介</w:t>
          </w:r>
          <w:r>
            <w:rPr>
              <w:rFonts w:hint="eastAsia" w:ascii="仿宋" w:hAnsi="仿宋" w:eastAsia="仿宋" w:cs="仿宋"/>
              <w:kern w:val="0"/>
            </w:rPr>
            <w:tab/>
          </w:r>
          <w:r>
            <w:rPr>
              <w:rFonts w:hint="eastAsia" w:ascii="仿宋" w:hAnsi="仿宋" w:eastAsia="仿宋" w:cs="仿宋"/>
              <w:kern w:val="0"/>
            </w:rPr>
            <w:fldChar w:fldCharType="begin"/>
          </w:r>
          <w:r>
            <w:rPr>
              <w:rFonts w:hint="eastAsia" w:ascii="仿宋" w:hAnsi="仿宋" w:eastAsia="仿宋" w:cs="仿宋"/>
              <w:kern w:val="0"/>
            </w:rPr>
            <w:instrText xml:space="preserve"> PAGEREF _Toc16936 \h </w:instrText>
          </w:r>
          <w:r>
            <w:rPr>
              <w:rFonts w:hint="eastAsia" w:ascii="仿宋" w:hAnsi="仿宋" w:eastAsia="仿宋" w:cs="仿宋"/>
              <w:kern w:val="0"/>
            </w:rPr>
            <w:fldChar w:fldCharType="separate"/>
          </w:r>
          <w:r>
            <w:rPr>
              <w:rFonts w:hint="eastAsia" w:ascii="仿宋" w:hAnsi="仿宋" w:eastAsia="仿宋" w:cs="仿宋"/>
              <w:kern w:val="0"/>
            </w:rPr>
            <w:t>3</w:t>
          </w:r>
          <w:r>
            <w:rPr>
              <w:rFonts w:hint="eastAsia" w:ascii="仿宋" w:hAnsi="仿宋" w:eastAsia="仿宋" w:cs="仿宋"/>
              <w:kern w:val="0"/>
            </w:rPr>
            <w:fldChar w:fldCharType="end"/>
          </w:r>
          <w:r>
            <w:rPr>
              <w:rFonts w:hint="eastAsia" w:ascii="仿宋" w:hAnsi="仿宋" w:eastAsia="仿宋" w:cs="仿宋"/>
              <w:kern w:val="0"/>
            </w:rPr>
            <w:fldChar w:fldCharType="end"/>
          </w:r>
        </w:p>
        <w:p w14:paraId="6290F0CC">
          <w:pPr>
            <w:widowControl/>
            <w:tabs>
              <w:tab w:val="right" w:leader="dot" w:pos="8845"/>
            </w:tabs>
            <w:suppressAutoHyphens w:val="0"/>
            <w:spacing w:line="240" w:lineRule="auto"/>
            <w:ind w:left="640" w:leftChars="200" w:firstLine="0" w:firstLineChars="0"/>
            <w:jc w:val="left"/>
            <w:rPr>
              <w:rFonts w:ascii="仿宋" w:hAnsi="仿宋" w:eastAsia="仿宋" w:cs="仿宋"/>
              <w:kern w:val="0"/>
            </w:rPr>
          </w:pPr>
          <w:r>
            <w:fldChar w:fldCharType="begin"/>
          </w:r>
          <w:r>
            <w:instrText xml:space="preserve"> HYPERLINK \l "_Toc23867" </w:instrText>
          </w:r>
          <w:r>
            <w:fldChar w:fldCharType="separate"/>
          </w:r>
          <w:r>
            <w:rPr>
              <w:rFonts w:hint="eastAsia" w:ascii="仿宋" w:hAnsi="仿宋" w:eastAsia="仿宋" w:cs="仿宋"/>
              <w:kern w:val="0"/>
            </w:rPr>
            <w:t>（二）单位2024年重点工作</w:t>
          </w:r>
          <w:r>
            <w:rPr>
              <w:rFonts w:hint="eastAsia" w:ascii="仿宋" w:hAnsi="仿宋" w:eastAsia="仿宋" w:cs="仿宋"/>
              <w:kern w:val="0"/>
            </w:rPr>
            <w:tab/>
          </w:r>
          <w:r>
            <w:rPr>
              <w:rFonts w:hint="eastAsia" w:ascii="仿宋" w:hAnsi="仿宋" w:eastAsia="仿宋" w:cs="仿宋"/>
              <w:kern w:val="0"/>
            </w:rPr>
            <w:fldChar w:fldCharType="begin"/>
          </w:r>
          <w:r>
            <w:rPr>
              <w:rFonts w:hint="eastAsia" w:ascii="仿宋" w:hAnsi="仿宋" w:eastAsia="仿宋" w:cs="仿宋"/>
              <w:kern w:val="0"/>
            </w:rPr>
            <w:instrText xml:space="preserve"> PAGEREF _Toc23867 \h </w:instrText>
          </w:r>
          <w:r>
            <w:rPr>
              <w:rFonts w:hint="eastAsia" w:ascii="仿宋" w:hAnsi="仿宋" w:eastAsia="仿宋" w:cs="仿宋"/>
              <w:kern w:val="0"/>
            </w:rPr>
            <w:fldChar w:fldCharType="separate"/>
          </w:r>
          <w:r>
            <w:rPr>
              <w:rFonts w:hint="eastAsia" w:ascii="仿宋" w:hAnsi="仿宋" w:eastAsia="仿宋" w:cs="仿宋"/>
              <w:kern w:val="0"/>
            </w:rPr>
            <w:t>3</w:t>
          </w:r>
          <w:r>
            <w:rPr>
              <w:rFonts w:hint="eastAsia" w:ascii="仿宋" w:hAnsi="仿宋" w:eastAsia="仿宋" w:cs="仿宋"/>
              <w:kern w:val="0"/>
            </w:rPr>
            <w:fldChar w:fldCharType="end"/>
          </w:r>
          <w:r>
            <w:rPr>
              <w:rFonts w:hint="eastAsia" w:ascii="仿宋" w:hAnsi="仿宋" w:eastAsia="仿宋" w:cs="仿宋"/>
              <w:kern w:val="0"/>
            </w:rPr>
            <w:fldChar w:fldCharType="end"/>
          </w:r>
        </w:p>
        <w:p w14:paraId="0657D38A">
          <w:pPr>
            <w:widowControl/>
            <w:tabs>
              <w:tab w:val="right" w:leader="dot" w:pos="8845"/>
            </w:tabs>
            <w:suppressAutoHyphens w:val="0"/>
            <w:spacing w:line="240" w:lineRule="auto"/>
            <w:ind w:firstLine="0" w:firstLineChars="0"/>
            <w:jc w:val="left"/>
            <w:rPr>
              <w:rFonts w:ascii="仿宋" w:hAnsi="仿宋" w:eastAsia="仿宋" w:cs="仿宋"/>
              <w:b/>
              <w:kern w:val="0"/>
            </w:rPr>
          </w:pPr>
          <w:r>
            <w:fldChar w:fldCharType="begin"/>
          </w:r>
          <w:r>
            <w:instrText xml:space="preserve"> HYPERLINK \l "_Toc10246" </w:instrText>
          </w:r>
          <w:r>
            <w:fldChar w:fldCharType="separate"/>
          </w:r>
          <w:r>
            <w:rPr>
              <w:rFonts w:hint="eastAsia" w:ascii="仿宋" w:hAnsi="仿宋" w:eastAsia="仿宋" w:cs="仿宋"/>
              <w:b/>
              <w:kern w:val="0"/>
            </w:rPr>
            <w:t>二、部门预算单位构成</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_Toc10246 \h </w:instrText>
          </w:r>
          <w:r>
            <w:rPr>
              <w:rFonts w:hint="eastAsia" w:ascii="仿宋" w:hAnsi="仿宋" w:eastAsia="仿宋" w:cs="仿宋"/>
              <w:b/>
              <w:kern w:val="0"/>
            </w:rPr>
            <w:fldChar w:fldCharType="separate"/>
          </w:r>
          <w:r>
            <w:rPr>
              <w:rFonts w:hint="eastAsia" w:ascii="仿宋" w:hAnsi="仿宋" w:eastAsia="仿宋" w:cs="仿宋"/>
              <w:b/>
              <w:kern w:val="0"/>
            </w:rPr>
            <w:t>10</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18AF3AAE">
          <w:pPr>
            <w:widowControl/>
            <w:tabs>
              <w:tab w:val="right" w:leader="dot" w:pos="8845"/>
            </w:tabs>
            <w:suppressAutoHyphens w:val="0"/>
            <w:spacing w:line="240" w:lineRule="auto"/>
            <w:ind w:firstLine="0" w:firstLineChars="0"/>
            <w:jc w:val="left"/>
            <w:rPr>
              <w:rFonts w:ascii="仿宋" w:hAnsi="仿宋" w:eastAsia="仿宋" w:cs="仿宋"/>
              <w:b/>
              <w:kern w:val="0"/>
            </w:rPr>
          </w:pPr>
          <w:r>
            <w:fldChar w:fldCharType="begin"/>
          </w:r>
          <w:r>
            <w:instrText xml:space="preserve"> HYPERLINK \l "_Toc11287" </w:instrText>
          </w:r>
          <w:r>
            <w:fldChar w:fldCharType="separate"/>
          </w:r>
          <w:r>
            <w:rPr>
              <w:rFonts w:hint="eastAsia" w:ascii="仿宋" w:hAnsi="仿宋" w:eastAsia="仿宋" w:cs="仿宋"/>
              <w:b/>
              <w:kern w:val="0"/>
            </w:rPr>
            <w:t>三、收支预算情况说明</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_Toc11287 \h </w:instrText>
          </w:r>
          <w:r>
            <w:rPr>
              <w:rFonts w:hint="eastAsia" w:ascii="仿宋" w:hAnsi="仿宋" w:eastAsia="仿宋" w:cs="仿宋"/>
              <w:b/>
              <w:kern w:val="0"/>
            </w:rPr>
            <w:fldChar w:fldCharType="separate"/>
          </w:r>
          <w:r>
            <w:rPr>
              <w:rFonts w:hint="eastAsia" w:ascii="仿宋" w:hAnsi="仿宋" w:eastAsia="仿宋" w:cs="仿宋"/>
              <w:b/>
              <w:kern w:val="0"/>
            </w:rPr>
            <w:t>10</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5BF8BFCF">
          <w:pPr>
            <w:widowControl/>
            <w:tabs>
              <w:tab w:val="right" w:leader="dot" w:pos="8845"/>
            </w:tabs>
            <w:suppressAutoHyphens w:val="0"/>
            <w:spacing w:line="240" w:lineRule="auto"/>
            <w:ind w:left="640" w:leftChars="200" w:firstLine="0" w:firstLineChars="0"/>
            <w:jc w:val="left"/>
            <w:rPr>
              <w:rFonts w:ascii="仿宋" w:hAnsi="仿宋" w:eastAsia="仿宋" w:cs="仿宋"/>
              <w:kern w:val="0"/>
            </w:rPr>
          </w:pPr>
          <w:r>
            <w:fldChar w:fldCharType="begin"/>
          </w:r>
          <w:r>
            <w:instrText xml:space="preserve"> HYPERLINK \l "_Toc7242" </w:instrText>
          </w:r>
          <w:r>
            <w:fldChar w:fldCharType="separate"/>
          </w:r>
          <w:r>
            <w:rPr>
              <w:rFonts w:hint="eastAsia" w:ascii="仿宋" w:hAnsi="仿宋" w:eastAsia="仿宋" w:cs="仿宋"/>
              <w:kern w:val="0"/>
            </w:rPr>
            <w:t>（一）收入预算情况</w:t>
          </w:r>
          <w:r>
            <w:rPr>
              <w:rFonts w:hint="eastAsia" w:ascii="仿宋" w:hAnsi="仿宋" w:eastAsia="仿宋" w:cs="仿宋"/>
              <w:kern w:val="0"/>
            </w:rPr>
            <w:tab/>
          </w:r>
          <w:r>
            <w:rPr>
              <w:rFonts w:hint="eastAsia" w:ascii="仿宋" w:hAnsi="仿宋" w:eastAsia="仿宋" w:cs="仿宋"/>
              <w:kern w:val="0"/>
            </w:rPr>
            <w:fldChar w:fldCharType="begin"/>
          </w:r>
          <w:r>
            <w:rPr>
              <w:rFonts w:hint="eastAsia" w:ascii="仿宋" w:hAnsi="仿宋" w:eastAsia="仿宋" w:cs="仿宋"/>
              <w:kern w:val="0"/>
            </w:rPr>
            <w:instrText xml:space="preserve"> PAGEREF _Toc7242 \h </w:instrText>
          </w:r>
          <w:r>
            <w:rPr>
              <w:rFonts w:hint="eastAsia" w:ascii="仿宋" w:hAnsi="仿宋" w:eastAsia="仿宋" w:cs="仿宋"/>
              <w:kern w:val="0"/>
            </w:rPr>
            <w:fldChar w:fldCharType="separate"/>
          </w:r>
          <w:r>
            <w:rPr>
              <w:rFonts w:hint="eastAsia" w:ascii="仿宋" w:hAnsi="仿宋" w:eastAsia="仿宋" w:cs="仿宋"/>
              <w:kern w:val="0"/>
            </w:rPr>
            <w:t>10</w:t>
          </w:r>
          <w:r>
            <w:rPr>
              <w:rFonts w:hint="eastAsia" w:ascii="仿宋" w:hAnsi="仿宋" w:eastAsia="仿宋" w:cs="仿宋"/>
              <w:kern w:val="0"/>
            </w:rPr>
            <w:fldChar w:fldCharType="end"/>
          </w:r>
          <w:r>
            <w:rPr>
              <w:rFonts w:hint="eastAsia" w:ascii="仿宋" w:hAnsi="仿宋" w:eastAsia="仿宋" w:cs="仿宋"/>
              <w:kern w:val="0"/>
            </w:rPr>
            <w:fldChar w:fldCharType="end"/>
          </w:r>
        </w:p>
        <w:p w14:paraId="713B64D4">
          <w:pPr>
            <w:widowControl/>
            <w:tabs>
              <w:tab w:val="right" w:leader="dot" w:pos="8845"/>
            </w:tabs>
            <w:suppressAutoHyphens w:val="0"/>
            <w:spacing w:line="240" w:lineRule="auto"/>
            <w:ind w:left="640" w:leftChars="200" w:firstLine="0" w:firstLineChars="0"/>
            <w:jc w:val="left"/>
            <w:rPr>
              <w:rFonts w:ascii="仿宋" w:hAnsi="仿宋" w:eastAsia="仿宋" w:cs="仿宋"/>
              <w:kern w:val="0"/>
            </w:rPr>
          </w:pPr>
          <w:r>
            <w:fldChar w:fldCharType="begin"/>
          </w:r>
          <w:r>
            <w:instrText xml:space="preserve"> HYPERLINK \l "_Toc2222" </w:instrText>
          </w:r>
          <w:r>
            <w:fldChar w:fldCharType="separate"/>
          </w:r>
          <w:r>
            <w:rPr>
              <w:rFonts w:hint="eastAsia" w:ascii="仿宋" w:hAnsi="仿宋" w:eastAsia="仿宋" w:cs="仿宋"/>
              <w:kern w:val="0"/>
            </w:rPr>
            <w:t>（二）支出预算情况</w:t>
          </w:r>
          <w:r>
            <w:rPr>
              <w:rFonts w:hint="eastAsia" w:ascii="仿宋" w:hAnsi="仿宋" w:eastAsia="仿宋" w:cs="仿宋"/>
              <w:kern w:val="0"/>
            </w:rPr>
            <w:tab/>
          </w:r>
          <w:r>
            <w:rPr>
              <w:rFonts w:hint="eastAsia" w:ascii="仿宋" w:hAnsi="仿宋" w:eastAsia="仿宋" w:cs="仿宋"/>
              <w:kern w:val="0"/>
            </w:rPr>
            <w:fldChar w:fldCharType="begin"/>
          </w:r>
          <w:r>
            <w:rPr>
              <w:rFonts w:hint="eastAsia" w:ascii="仿宋" w:hAnsi="仿宋" w:eastAsia="仿宋" w:cs="仿宋"/>
              <w:kern w:val="0"/>
            </w:rPr>
            <w:instrText xml:space="preserve"> PAGEREF _Toc2222 \h </w:instrText>
          </w:r>
          <w:r>
            <w:rPr>
              <w:rFonts w:hint="eastAsia" w:ascii="仿宋" w:hAnsi="仿宋" w:eastAsia="仿宋" w:cs="仿宋"/>
              <w:kern w:val="0"/>
            </w:rPr>
            <w:fldChar w:fldCharType="separate"/>
          </w:r>
          <w:r>
            <w:rPr>
              <w:rFonts w:hint="eastAsia" w:ascii="仿宋" w:hAnsi="仿宋" w:eastAsia="仿宋" w:cs="仿宋"/>
              <w:kern w:val="0"/>
            </w:rPr>
            <w:t>1</w:t>
          </w:r>
          <w:r>
            <w:rPr>
              <w:rFonts w:hint="eastAsia" w:ascii="仿宋" w:hAnsi="仿宋" w:eastAsia="仿宋" w:cs="仿宋"/>
              <w:kern w:val="0"/>
              <w:lang w:val="en-US" w:eastAsia="zh-CN"/>
            </w:rPr>
            <w:t>0</w:t>
          </w:r>
          <w:r>
            <w:rPr>
              <w:rFonts w:hint="eastAsia" w:ascii="仿宋" w:hAnsi="仿宋" w:eastAsia="仿宋" w:cs="仿宋"/>
              <w:kern w:val="0"/>
            </w:rPr>
            <w:fldChar w:fldCharType="end"/>
          </w:r>
          <w:r>
            <w:rPr>
              <w:rFonts w:hint="eastAsia" w:ascii="仿宋" w:hAnsi="仿宋" w:eastAsia="仿宋" w:cs="仿宋"/>
              <w:kern w:val="0"/>
            </w:rPr>
            <w:fldChar w:fldCharType="end"/>
          </w:r>
        </w:p>
        <w:p w14:paraId="5044A635">
          <w:pPr>
            <w:widowControl/>
            <w:tabs>
              <w:tab w:val="right" w:leader="dot" w:pos="8845"/>
            </w:tabs>
            <w:suppressAutoHyphens w:val="0"/>
            <w:spacing w:line="240" w:lineRule="auto"/>
            <w:ind w:firstLine="0" w:firstLineChars="0"/>
            <w:jc w:val="left"/>
            <w:rPr>
              <w:rFonts w:ascii="仿宋" w:hAnsi="仿宋" w:eastAsia="仿宋" w:cs="仿宋"/>
              <w:b/>
              <w:kern w:val="0"/>
            </w:rPr>
          </w:pPr>
          <w:r>
            <w:fldChar w:fldCharType="begin"/>
          </w:r>
          <w:r>
            <w:instrText xml:space="preserve"> HYPERLINK \l "_Toc13822" </w:instrText>
          </w:r>
          <w:r>
            <w:fldChar w:fldCharType="separate"/>
          </w:r>
          <w:r>
            <w:rPr>
              <w:rFonts w:hint="eastAsia" w:ascii="仿宋" w:hAnsi="仿宋" w:eastAsia="仿宋" w:cs="仿宋"/>
              <w:b/>
              <w:kern w:val="0"/>
            </w:rPr>
            <w:t>四、财政拨款收支预算情况说明</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_Toc13822 \h </w:instrText>
          </w:r>
          <w:r>
            <w:rPr>
              <w:rFonts w:hint="eastAsia" w:ascii="仿宋" w:hAnsi="仿宋" w:eastAsia="仿宋" w:cs="仿宋"/>
              <w:b/>
              <w:kern w:val="0"/>
            </w:rPr>
            <w:fldChar w:fldCharType="separate"/>
          </w:r>
          <w:r>
            <w:rPr>
              <w:rFonts w:hint="eastAsia" w:ascii="仿宋" w:hAnsi="仿宋" w:eastAsia="仿宋" w:cs="仿宋"/>
              <w:b/>
              <w:kern w:val="0"/>
            </w:rPr>
            <w:t>1</w:t>
          </w:r>
          <w:r>
            <w:rPr>
              <w:rFonts w:hint="eastAsia" w:ascii="仿宋" w:hAnsi="仿宋" w:eastAsia="仿宋" w:cs="仿宋"/>
              <w:b/>
              <w:kern w:val="0"/>
              <w:lang w:val="en-US" w:eastAsia="zh-CN"/>
            </w:rPr>
            <w:t>0</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2E631009">
          <w:pPr>
            <w:widowControl/>
            <w:tabs>
              <w:tab w:val="right" w:leader="dot" w:pos="8845"/>
            </w:tabs>
            <w:suppressAutoHyphens w:val="0"/>
            <w:spacing w:line="240" w:lineRule="auto"/>
            <w:ind w:firstLine="0" w:firstLineChars="0"/>
            <w:jc w:val="left"/>
            <w:rPr>
              <w:rFonts w:ascii="仿宋" w:hAnsi="仿宋" w:eastAsia="仿宋" w:cs="仿宋"/>
              <w:b/>
              <w:kern w:val="0"/>
            </w:rPr>
          </w:pPr>
          <w:r>
            <w:fldChar w:fldCharType="begin"/>
          </w:r>
          <w:r>
            <w:instrText xml:space="preserve"> HYPERLINK \l "_Toc6726" </w:instrText>
          </w:r>
          <w:r>
            <w:fldChar w:fldCharType="separate"/>
          </w:r>
          <w:r>
            <w:rPr>
              <w:rFonts w:hint="eastAsia" w:ascii="仿宋" w:hAnsi="仿宋" w:eastAsia="仿宋" w:cs="仿宋"/>
              <w:b/>
              <w:kern w:val="0"/>
            </w:rPr>
            <w:t>五、一般公共预算当年拨款情况说明</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_Toc6726 \h </w:instrText>
          </w:r>
          <w:r>
            <w:rPr>
              <w:rFonts w:hint="eastAsia" w:ascii="仿宋" w:hAnsi="仿宋" w:eastAsia="仿宋" w:cs="仿宋"/>
              <w:b/>
              <w:kern w:val="0"/>
            </w:rPr>
            <w:fldChar w:fldCharType="separate"/>
          </w:r>
          <w:r>
            <w:rPr>
              <w:rFonts w:hint="eastAsia" w:ascii="仿宋" w:hAnsi="仿宋" w:eastAsia="仿宋" w:cs="仿宋"/>
              <w:b/>
              <w:kern w:val="0"/>
            </w:rPr>
            <w:t>11</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397672AA">
          <w:pPr>
            <w:widowControl/>
            <w:tabs>
              <w:tab w:val="right" w:leader="dot" w:pos="8845"/>
            </w:tabs>
            <w:suppressAutoHyphens w:val="0"/>
            <w:spacing w:line="240" w:lineRule="auto"/>
            <w:ind w:left="640" w:leftChars="200" w:firstLine="0" w:firstLineChars="0"/>
            <w:jc w:val="left"/>
            <w:rPr>
              <w:rFonts w:ascii="仿宋" w:hAnsi="仿宋" w:eastAsia="仿宋" w:cs="仿宋"/>
              <w:kern w:val="0"/>
            </w:rPr>
          </w:pPr>
          <w:r>
            <w:fldChar w:fldCharType="begin"/>
          </w:r>
          <w:r>
            <w:instrText xml:space="preserve"> HYPERLINK \l "_Toc7606" </w:instrText>
          </w:r>
          <w:r>
            <w:fldChar w:fldCharType="separate"/>
          </w:r>
          <w:r>
            <w:rPr>
              <w:rFonts w:hint="eastAsia" w:ascii="仿宋" w:hAnsi="仿宋" w:eastAsia="仿宋" w:cs="仿宋"/>
              <w:kern w:val="0"/>
            </w:rPr>
            <w:t>（一）一般公共预算当年拨款规模变化情况</w:t>
          </w:r>
          <w:r>
            <w:rPr>
              <w:rFonts w:hint="eastAsia" w:ascii="仿宋" w:hAnsi="仿宋" w:eastAsia="仿宋" w:cs="仿宋"/>
              <w:kern w:val="0"/>
            </w:rPr>
            <w:tab/>
          </w:r>
          <w:r>
            <w:rPr>
              <w:rFonts w:hint="eastAsia" w:ascii="仿宋" w:hAnsi="仿宋" w:eastAsia="仿宋" w:cs="仿宋"/>
              <w:kern w:val="0"/>
            </w:rPr>
            <w:fldChar w:fldCharType="begin"/>
          </w:r>
          <w:r>
            <w:rPr>
              <w:rFonts w:hint="eastAsia" w:ascii="仿宋" w:hAnsi="仿宋" w:eastAsia="仿宋" w:cs="仿宋"/>
              <w:kern w:val="0"/>
            </w:rPr>
            <w:instrText xml:space="preserve"> PAGEREF _Toc7606 \h </w:instrText>
          </w:r>
          <w:r>
            <w:rPr>
              <w:rFonts w:hint="eastAsia" w:ascii="仿宋" w:hAnsi="仿宋" w:eastAsia="仿宋" w:cs="仿宋"/>
              <w:kern w:val="0"/>
            </w:rPr>
            <w:fldChar w:fldCharType="separate"/>
          </w:r>
          <w:r>
            <w:rPr>
              <w:rFonts w:hint="eastAsia" w:ascii="仿宋" w:hAnsi="仿宋" w:eastAsia="仿宋" w:cs="仿宋"/>
              <w:kern w:val="0"/>
            </w:rPr>
            <w:t>11</w:t>
          </w:r>
          <w:r>
            <w:rPr>
              <w:rFonts w:hint="eastAsia" w:ascii="仿宋" w:hAnsi="仿宋" w:eastAsia="仿宋" w:cs="仿宋"/>
              <w:kern w:val="0"/>
            </w:rPr>
            <w:fldChar w:fldCharType="end"/>
          </w:r>
          <w:r>
            <w:rPr>
              <w:rFonts w:hint="eastAsia" w:ascii="仿宋" w:hAnsi="仿宋" w:eastAsia="仿宋" w:cs="仿宋"/>
              <w:kern w:val="0"/>
            </w:rPr>
            <w:fldChar w:fldCharType="end"/>
          </w:r>
        </w:p>
        <w:p w14:paraId="3159428A">
          <w:pPr>
            <w:widowControl/>
            <w:tabs>
              <w:tab w:val="right" w:leader="dot" w:pos="8845"/>
            </w:tabs>
            <w:suppressAutoHyphens w:val="0"/>
            <w:spacing w:line="240" w:lineRule="auto"/>
            <w:ind w:left="640" w:leftChars="200" w:firstLine="0" w:firstLineChars="0"/>
            <w:jc w:val="left"/>
            <w:rPr>
              <w:rFonts w:ascii="仿宋" w:hAnsi="仿宋" w:eastAsia="仿宋" w:cs="仿宋"/>
              <w:kern w:val="0"/>
            </w:rPr>
          </w:pPr>
          <w:r>
            <w:fldChar w:fldCharType="begin"/>
          </w:r>
          <w:r>
            <w:instrText xml:space="preserve"> HYPERLINK \l "_Toc25537" </w:instrText>
          </w:r>
          <w:r>
            <w:fldChar w:fldCharType="separate"/>
          </w:r>
          <w:r>
            <w:rPr>
              <w:rFonts w:hint="eastAsia" w:ascii="仿宋" w:hAnsi="仿宋" w:eastAsia="仿宋" w:cs="仿宋"/>
              <w:kern w:val="0"/>
            </w:rPr>
            <w:t>（二）一般公共预算当年拨款结构情况</w:t>
          </w:r>
          <w:r>
            <w:rPr>
              <w:rFonts w:hint="eastAsia" w:ascii="仿宋" w:hAnsi="仿宋" w:eastAsia="仿宋" w:cs="仿宋"/>
              <w:kern w:val="0"/>
            </w:rPr>
            <w:tab/>
          </w:r>
          <w:r>
            <w:rPr>
              <w:rFonts w:hint="eastAsia" w:ascii="仿宋" w:hAnsi="仿宋" w:eastAsia="仿宋" w:cs="仿宋"/>
              <w:kern w:val="0"/>
            </w:rPr>
            <w:fldChar w:fldCharType="begin"/>
          </w:r>
          <w:r>
            <w:rPr>
              <w:rFonts w:hint="eastAsia" w:ascii="仿宋" w:hAnsi="仿宋" w:eastAsia="仿宋" w:cs="仿宋"/>
              <w:kern w:val="0"/>
            </w:rPr>
            <w:instrText xml:space="preserve"> PAGEREF _Toc25537 \h </w:instrText>
          </w:r>
          <w:r>
            <w:rPr>
              <w:rFonts w:hint="eastAsia" w:ascii="仿宋" w:hAnsi="仿宋" w:eastAsia="仿宋" w:cs="仿宋"/>
              <w:kern w:val="0"/>
            </w:rPr>
            <w:fldChar w:fldCharType="separate"/>
          </w:r>
          <w:r>
            <w:rPr>
              <w:rFonts w:hint="eastAsia" w:ascii="仿宋" w:hAnsi="仿宋" w:eastAsia="仿宋" w:cs="仿宋"/>
              <w:kern w:val="0"/>
            </w:rPr>
            <w:t>11</w:t>
          </w:r>
          <w:r>
            <w:rPr>
              <w:rFonts w:hint="eastAsia" w:ascii="仿宋" w:hAnsi="仿宋" w:eastAsia="仿宋" w:cs="仿宋"/>
              <w:kern w:val="0"/>
            </w:rPr>
            <w:fldChar w:fldCharType="end"/>
          </w:r>
          <w:r>
            <w:rPr>
              <w:rFonts w:hint="eastAsia" w:ascii="仿宋" w:hAnsi="仿宋" w:eastAsia="仿宋" w:cs="仿宋"/>
              <w:kern w:val="0"/>
            </w:rPr>
            <w:fldChar w:fldCharType="end"/>
          </w:r>
        </w:p>
        <w:p w14:paraId="41F7A6B2">
          <w:pPr>
            <w:widowControl/>
            <w:tabs>
              <w:tab w:val="right" w:leader="dot" w:pos="8845"/>
            </w:tabs>
            <w:suppressAutoHyphens w:val="0"/>
            <w:spacing w:line="240" w:lineRule="auto"/>
            <w:ind w:left="640" w:leftChars="200" w:firstLine="0" w:firstLineChars="0"/>
            <w:jc w:val="left"/>
            <w:rPr>
              <w:rFonts w:ascii="仿宋" w:hAnsi="仿宋" w:eastAsia="仿宋" w:cs="仿宋"/>
              <w:kern w:val="0"/>
            </w:rPr>
          </w:pPr>
          <w:r>
            <w:fldChar w:fldCharType="begin"/>
          </w:r>
          <w:r>
            <w:instrText xml:space="preserve"> HYPERLINK \l "_Toc15610" </w:instrText>
          </w:r>
          <w:r>
            <w:fldChar w:fldCharType="separate"/>
          </w:r>
          <w:r>
            <w:rPr>
              <w:rFonts w:hint="eastAsia" w:ascii="仿宋" w:hAnsi="仿宋" w:eastAsia="仿宋" w:cs="仿宋"/>
              <w:kern w:val="0"/>
            </w:rPr>
            <w:t>（三）一般公共预算当年拨款具体使用情况</w:t>
          </w:r>
          <w:r>
            <w:rPr>
              <w:rFonts w:hint="eastAsia" w:ascii="仿宋" w:hAnsi="仿宋" w:eastAsia="仿宋" w:cs="仿宋"/>
              <w:kern w:val="0"/>
            </w:rPr>
            <w:tab/>
          </w:r>
          <w:r>
            <w:rPr>
              <w:rFonts w:hint="eastAsia" w:ascii="仿宋" w:hAnsi="仿宋" w:eastAsia="仿宋" w:cs="仿宋"/>
              <w:kern w:val="0"/>
            </w:rPr>
            <w:fldChar w:fldCharType="begin"/>
          </w:r>
          <w:r>
            <w:rPr>
              <w:rFonts w:hint="eastAsia" w:ascii="仿宋" w:hAnsi="仿宋" w:eastAsia="仿宋" w:cs="仿宋"/>
              <w:kern w:val="0"/>
            </w:rPr>
            <w:instrText xml:space="preserve"> PAGEREF _Toc15610 \h </w:instrText>
          </w:r>
          <w:r>
            <w:rPr>
              <w:rFonts w:hint="eastAsia" w:ascii="仿宋" w:hAnsi="仿宋" w:eastAsia="仿宋" w:cs="仿宋"/>
              <w:kern w:val="0"/>
            </w:rPr>
            <w:fldChar w:fldCharType="separate"/>
          </w:r>
          <w:r>
            <w:rPr>
              <w:rFonts w:hint="eastAsia" w:ascii="仿宋" w:hAnsi="仿宋" w:eastAsia="仿宋" w:cs="仿宋"/>
              <w:kern w:val="0"/>
            </w:rPr>
            <w:t>11</w:t>
          </w:r>
          <w:r>
            <w:rPr>
              <w:rFonts w:hint="eastAsia" w:ascii="仿宋" w:hAnsi="仿宋" w:eastAsia="仿宋" w:cs="仿宋"/>
              <w:kern w:val="0"/>
            </w:rPr>
            <w:fldChar w:fldCharType="end"/>
          </w:r>
          <w:r>
            <w:rPr>
              <w:rFonts w:hint="eastAsia" w:ascii="仿宋" w:hAnsi="仿宋" w:eastAsia="仿宋" w:cs="仿宋"/>
              <w:kern w:val="0"/>
            </w:rPr>
            <w:fldChar w:fldCharType="end"/>
          </w:r>
        </w:p>
        <w:p w14:paraId="0F9015D7">
          <w:pPr>
            <w:widowControl/>
            <w:tabs>
              <w:tab w:val="right" w:leader="dot" w:pos="8845"/>
            </w:tabs>
            <w:suppressAutoHyphens w:val="0"/>
            <w:spacing w:line="240" w:lineRule="auto"/>
            <w:ind w:firstLine="0" w:firstLineChars="0"/>
            <w:jc w:val="left"/>
            <w:rPr>
              <w:rFonts w:ascii="仿宋" w:hAnsi="仿宋" w:eastAsia="仿宋" w:cs="仿宋"/>
              <w:b/>
              <w:kern w:val="0"/>
            </w:rPr>
          </w:pPr>
          <w:r>
            <w:fldChar w:fldCharType="begin"/>
          </w:r>
          <w:r>
            <w:instrText xml:space="preserve"> HYPERLINK \l "_Toc6639" </w:instrText>
          </w:r>
          <w:r>
            <w:fldChar w:fldCharType="separate"/>
          </w:r>
          <w:r>
            <w:rPr>
              <w:rFonts w:hint="eastAsia" w:ascii="仿宋" w:hAnsi="仿宋" w:eastAsia="仿宋" w:cs="仿宋"/>
              <w:b/>
              <w:kern w:val="0"/>
            </w:rPr>
            <w:t>六、一般公共预算基本支出情况说明</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_Toc6639 \h </w:instrText>
          </w:r>
          <w:r>
            <w:rPr>
              <w:rFonts w:hint="eastAsia" w:ascii="仿宋" w:hAnsi="仿宋" w:eastAsia="仿宋" w:cs="仿宋"/>
              <w:b/>
              <w:kern w:val="0"/>
            </w:rPr>
            <w:fldChar w:fldCharType="separate"/>
          </w:r>
          <w:r>
            <w:rPr>
              <w:rFonts w:hint="eastAsia" w:ascii="仿宋" w:hAnsi="仿宋" w:eastAsia="仿宋" w:cs="仿宋"/>
              <w:b/>
              <w:kern w:val="0"/>
            </w:rPr>
            <w:t>1</w:t>
          </w:r>
          <w:r>
            <w:rPr>
              <w:rFonts w:hint="eastAsia" w:ascii="仿宋" w:hAnsi="仿宋" w:eastAsia="仿宋" w:cs="仿宋"/>
              <w:b/>
              <w:kern w:val="0"/>
              <w:lang w:val="en-US" w:eastAsia="zh-CN"/>
            </w:rPr>
            <w:t>1</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316602CC">
          <w:pPr>
            <w:widowControl/>
            <w:tabs>
              <w:tab w:val="right" w:leader="dot" w:pos="8845"/>
            </w:tabs>
            <w:suppressAutoHyphens w:val="0"/>
            <w:spacing w:line="240" w:lineRule="auto"/>
            <w:ind w:firstLine="0" w:firstLineChars="0"/>
            <w:jc w:val="left"/>
            <w:rPr>
              <w:rFonts w:ascii="仿宋" w:hAnsi="仿宋" w:eastAsia="仿宋" w:cs="仿宋"/>
              <w:b/>
              <w:kern w:val="0"/>
            </w:rPr>
          </w:pPr>
          <w:r>
            <w:fldChar w:fldCharType="begin"/>
          </w:r>
          <w:r>
            <w:instrText xml:space="preserve"> HYPERLINK \l "_Toc18723" </w:instrText>
          </w:r>
          <w:r>
            <w:fldChar w:fldCharType="separate"/>
          </w:r>
          <w:r>
            <w:rPr>
              <w:rFonts w:hint="eastAsia" w:ascii="仿宋" w:hAnsi="仿宋" w:eastAsia="仿宋" w:cs="仿宋"/>
              <w:b/>
              <w:kern w:val="0"/>
            </w:rPr>
            <w:t>七、“三公”经费财政拨款预算安排情况说明</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_Toc18723 \h </w:instrText>
          </w:r>
          <w:r>
            <w:rPr>
              <w:rFonts w:hint="eastAsia" w:ascii="仿宋" w:hAnsi="仿宋" w:eastAsia="仿宋" w:cs="仿宋"/>
              <w:b/>
              <w:kern w:val="0"/>
            </w:rPr>
            <w:fldChar w:fldCharType="separate"/>
          </w:r>
          <w:r>
            <w:rPr>
              <w:rFonts w:hint="eastAsia" w:ascii="仿宋" w:hAnsi="仿宋" w:eastAsia="仿宋" w:cs="仿宋"/>
              <w:b/>
              <w:kern w:val="0"/>
            </w:rPr>
            <w:t>12</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5900FF8A">
          <w:pPr>
            <w:widowControl/>
            <w:tabs>
              <w:tab w:val="right" w:leader="dot" w:pos="8845"/>
            </w:tabs>
            <w:suppressAutoHyphens w:val="0"/>
            <w:spacing w:line="240" w:lineRule="auto"/>
            <w:ind w:left="640" w:leftChars="200" w:firstLine="0" w:firstLineChars="0"/>
            <w:jc w:val="left"/>
            <w:rPr>
              <w:rFonts w:ascii="仿宋" w:hAnsi="仿宋" w:eastAsia="仿宋" w:cs="仿宋"/>
              <w:kern w:val="0"/>
            </w:rPr>
          </w:pPr>
        </w:p>
        <w:p w14:paraId="423E29F1">
          <w:pPr>
            <w:widowControl/>
            <w:tabs>
              <w:tab w:val="right" w:leader="dot" w:pos="8845"/>
            </w:tabs>
            <w:suppressAutoHyphens w:val="0"/>
            <w:spacing w:line="240" w:lineRule="auto"/>
            <w:ind w:firstLine="0" w:firstLineChars="0"/>
            <w:jc w:val="left"/>
            <w:rPr>
              <w:rFonts w:ascii="仿宋" w:hAnsi="仿宋" w:eastAsia="仿宋" w:cs="仿宋"/>
              <w:b/>
              <w:kern w:val="0"/>
            </w:rPr>
          </w:pPr>
          <w:r>
            <w:fldChar w:fldCharType="begin"/>
          </w:r>
          <w:r>
            <w:instrText xml:space="preserve"> HYPERLINK \l "_Toc3498" </w:instrText>
          </w:r>
          <w:r>
            <w:fldChar w:fldCharType="separate"/>
          </w:r>
          <w:r>
            <w:rPr>
              <w:rFonts w:hint="eastAsia" w:ascii="仿宋" w:hAnsi="仿宋" w:eastAsia="仿宋" w:cs="仿宋"/>
              <w:b/>
              <w:kern w:val="0"/>
            </w:rPr>
            <w:t>八、政府性基金预算支出情况说明</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_Toc3498 \h </w:instrText>
          </w:r>
          <w:r>
            <w:rPr>
              <w:rFonts w:hint="eastAsia" w:ascii="仿宋" w:hAnsi="仿宋" w:eastAsia="仿宋" w:cs="仿宋"/>
              <w:b/>
              <w:kern w:val="0"/>
            </w:rPr>
            <w:fldChar w:fldCharType="separate"/>
          </w:r>
          <w:r>
            <w:rPr>
              <w:rFonts w:hint="eastAsia" w:ascii="仿宋" w:hAnsi="仿宋" w:eastAsia="仿宋" w:cs="仿宋"/>
              <w:b/>
              <w:kern w:val="0"/>
            </w:rPr>
            <w:t>12</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7166A337">
          <w:pPr>
            <w:widowControl/>
            <w:tabs>
              <w:tab w:val="right" w:leader="dot" w:pos="8845"/>
            </w:tabs>
            <w:suppressAutoHyphens w:val="0"/>
            <w:spacing w:line="240" w:lineRule="auto"/>
            <w:ind w:firstLine="0" w:firstLineChars="0"/>
            <w:jc w:val="left"/>
            <w:rPr>
              <w:rFonts w:ascii="仿宋" w:hAnsi="仿宋" w:eastAsia="仿宋" w:cs="仿宋"/>
              <w:b/>
              <w:kern w:val="0"/>
            </w:rPr>
          </w:pPr>
          <w:r>
            <w:fldChar w:fldCharType="begin"/>
          </w:r>
          <w:r>
            <w:instrText xml:space="preserve"> HYPERLINK \l "_Toc21166" </w:instrText>
          </w:r>
          <w:r>
            <w:fldChar w:fldCharType="separate"/>
          </w:r>
          <w:r>
            <w:rPr>
              <w:rFonts w:hint="eastAsia" w:ascii="仿宋" w:hAnsi="仿宋" w:eastAsia="仿宋" w:cs="仿宋"/>
              <w:b/>
              <w:kern w:val="0"/>
            </w:rPr>
            <w:t>九、国有资本经营预算支出情况说明</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_Toc21166 \h </w:instrText>
          </w:r>
          <w:r>
            <w:rPr>
              <w:rFonts w:hint="eastAsia" w:ascii="仿宋" w:hAnsi="仿宋" w:eastAsia="仿宋" w:cs="仿宋"/>
              <w:b/>
              <w:kern w:val="0"/>
            </w:rPr>
            <w:fldChar w:fldCharType="separate"/>
          </w:r>
          <w:r>
            <w:rPr>
              <w:rFonts w:hint="eastAsia" w:ascii="仿宋" w:hAnsi="仿宋" w:eastAsia="仿宋" w:cs="仿宋"/>
              <w:b/>
              <w:kern w:val="0"/>
            </w:rPr>
            <w:t>1</w:t>
          </w:r>
          <w:r>
            <w:rPr>
              <w:rFonts w:hint="eastAsia" w:ascii="仿宋" w:hAnsi="仿宋" w:eastAsia="仿宋" w:cs="仿宋"/>
              <w:b/>
              <w:kern w:val="0"/>
              <w:lang w:val="en-US" w:eastAsia="zh-CN"/>
            </w:rPr>
            <w:t>2</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72DB9683">
          <w:pPr>
            <w:widowControl/>
            <w:tabs>
              <w:tab w:val="right" w:leader="dot" w:pos="8845"/>
            </w:tabs>
            <w:suppressAutoHyphens w:val="0"/>
            <w:spacing w:line="240" w:lineRule="auto"/>
            <w:ind w:firstLine="0" w:firstLineChars="0"/>
            <w:jc w:val="left"/>
            <w:rPr>
              <w:rFonts w:ascii="仿宋" w:hAnsi="仿宋" w:eastAsia="仿宋" w:cs="仿宋"/>
              <w:b/>
              <w:kern w:val="0"/>
            </w:rPr>
          </w:pPr>
          <w:r>
            <w:fldChar w:fldCharType="begin"/>
          </w:r>
          <w:r>
            <w:instrText xml:space="preserve"> HYPERLINK \l "_Toc15452" </w:instrText>
          </w:r>
          <w:r>
            <w:fldChar w:fldCharType="separate"/>
          </w:r>
          <w:r>
            <w:rPr>
              <w:rFonts w:hint="eastAsia" w:ascii="仿宋" w:hAnsi="仿宋" w:eastAsia="仿宋" w:cs="仿宋"/>
              <w:b/>
              <w:kern w:val="0"/>
            </w:rPr>
            <w:t>十、其他重要事项的情况说明</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_Toc15452 \h </w:instrText>
          </w:r>
          <w:r>
            <w:rPr>
              <w:rFonts w:hint="eastAsia" w:ascii="仿宋" w:hAnsi="仿宋" w:eastAsia="仿宋" w:cs="仿宋"/>
              <w:b/>
              <w:kern w:val="0"/>
            </w:rPr>
            <w:fldChar w:fldCharType="separate"/>
          </w:r>
          <w:r>
            <w:rPr>
              <w:rFonts w:hint="eastAsia" w:ascii="仿宋" w:hAnsi="仿宋" w:eastAsia="仿宋" w:cs="仿宋"/>
              <w:b/>
              <w:kern w:val="0"/>
            </w:rPr>
            <w:t>1</w:t>
          </w:r>
          <w:r>
            <w:rPr>
              <w:rFonts w:hint="eastAsia" w:ascii="仿宋" w:hAnsi="仿宋" w:eastAsia="仿宋" w:cs="仿宋"/>
              <w:b/>
              <w:kern w:val="0"/>
              <w:lang w:val="en-US" w:eastAsia="zh-CN"/>
            </w:rPr>
            <w:t>2</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74111AEE">
          <w:pPr>
            <w:widowControl/>
            <w:tabs>
              <w:tab w:val="right" w:leader="dot" w:pos="8845"/>
            </w:tabs>
            <w:suppressAutoHyphens w:val="0"/>
            <w:spacing w:line="240" w:lineRule="auto"/>
            <w:ind w:firstLine="0" w:firstLineChars="0"/>
            <w:jc w:val="left"/>
            <w:rPr>
              <w:rFonts w:ascii="仿宋" w:hAnsi="仿宋" w:eastAsia="仿宋" w:cs="仿宋"/>
              <w:kern w:val="0"/>
            </w:rPr>
          </w:pPr>
          <w:r>
            <w:fldChar w:fldCharType="begin"/>
          </w:r>
          <w:r>
            <w:instrText xml:space="preserve"> HYPERLINK \l "_Toc16774" </w:instrText>
          </w:r>
          <w:r>
            <w:fldChar w:fldCharType="separate"/>
          </w:r>
          <w:r>
            <w:rPr>
              <w:rFonts w:hint="eastAsia" w:ascii="仿宋" w:hAnsi="仿宋" w:eastAsia="仿宋" w:cs="仿宋"/>
              <w:b/>
              <w:kern w:val="0"/>
            </w:rPr>
            <w:t>十一、名词解释</w:t>
          </w:r>
          <w:r>
            <w:rPr>
              <w:rFonts w:hint="eastAsia" w:ascii="仿宋" w:hAnsi="仿宋" w:eastAsia="仿宋" w:cs="仿宋"/>
              <w:b/>
              <w:kern w:val="0"/>
            </w:rPr>
            <w:tab/>
          </w:r>
          <w:r>
            <w:rPr>
              <w:rFonts w:hint="eastAsia" w:ascii="仿宋" w:hAnsi="仿宋" w:eastAsia="仿宋" w:cs="仿宋"/>
              <w:b/>
              <w:kern w:val="0"/>
            </w:rPr>
            <w:fldChar w:fldCharType="begin"/>
          </w:r>
          <w:r>
            <w:rPr>
              <w:rFonts w:hint="eastAsia" w:ascii="仿宋" w:hAnsi="仿宋" w:eastAsia="仿宋" w:cs="仿宋"/>
              <w:b/>
              <w:kern w:val="0"/>
            </w:rPr>
            <w:instrText xml:space="preserve"> PAGEREF _Toc16774 \h </w:instrText>
          </w:r>
          <w:r>
            <w:rPr>
              <w:rFonts w:hint="eastAsia" w:ascii="仿宋" w:hAnsi="仿宋" w:eastAsia="仿宋" w:cs="仿宋"/>
              <w:b/>
              <w:kern w:val="0"/>
            </w:rPr>
            <w:fldChar w:fldCharType="separate"/>
          </w:r>
          <w:r>
            <w:rPr>
              <w:rFonts w:hint="eastAsia" w:ascii="仿宋" w:hAnsi="仿宋" w:eastAsia="仿宋" w:cs="仿宋"/>
              <w:b/>
              <w:kern w:val="0"/>
            </w:rPr>
            <w:t>13</w:t>
          </w:r>
          <w:r>
            <w:rPr>
              <w:rFonts w:hint="eastAsia" w:ascii="仿宋" w:hAnsi="仿宋" w:eastAsia="仿宋" w:cs="仿宋"/>
              <w:b/>
              <w:kern w:val="0"/>
            </w:rPr>
            <w:fldChar w:fldCharType="end"/>
          </w:r>
          <w:r>
            <w:rPr>
              <w:rFonts w:hint="eastAsia" w:ascii="仿宋" w:hAnsi="仿宋" w:eastAsia="仿宋" w:cs="仿宋"/>
              <w:b/>
              <w:kern w:val="0"/>
            </w:rPr>
            <w:fldChar w:fldCharType="end"/>
          </w:r>
        </w:p>
        <w:p w14:paraId="79CC9856">
          <w:pPr>
            <w:spacing w:line="240" w:lineRule="auto"/>
            <w:ind w:firstLine="0" w:firstLineChars="0"/>
            <w:rPr>
              <w:rFonts w:ascii="Calibri" w:hAnsi="Calibri" w:eastAsia="宋体" w:cs="Times New Roman"/>
              <w:sz w:val="21"/>
              <w:szCs w:val="24"/>
            </w:rPr>
          </w:pPr>
          <w:r>
            <w:rPr>
              <w:rFonts w:hint="eastAsia" w:ascii="仿宋" w:hAnsi="仿宋" w:eastAsia="仿宋" w:cs="仿宋"/>
              <w:b/>
            </w:rPr>
            <w:fldChar w:fldCharType="end"/>
          </w:r>
        </w:p>
      </w:sdtContent>
    </w:sdt>
    <w:p w14:paraId="3C352E76">
      <w:pPr>
        <w:widowControl/>
        <w:shd w:val="clear" w:color="auto" w:fill="FFFFFF"/>
        <w:spacing w:before="130" w:line="580" w:lineRule="atLeast"/>
        <w:ind w:firstLine="0" w:firstLineChars="0"/>
        <w:rPr>
          <w:rFonts w:ascii="宋体" w:hAnsi="宋体" w:eastAsia="宋体" w:cs="宋体"/>
          <w:b/>
          <w:color w:val="000000" w:themeColor="text1"/>
          <w:sz w:val="28"/>
          <w:szCs w:val="28"/>
          <w:shd w:val="clear" w:color="auto" w:fill="FFFFFF"/>
          <w14:textFill>
            <w14:solidFill>
              <w14:schemeClr w14:val="tx1"/>
            </w14:solidFill>
          </w14:textFill>
        </w:rPr>
      </w:pPr>
      <w:r>
        <w:rPr>
          <w:rFonts w:hint="eastAsia" w:ascii="宋体" w:hAnsi="宋体" w:eastAsia="宋体" w:cs="宋体"/>
          <w:b/>
          <w:color w:val="000000" w:themeColor="text1"/>
          <w:sz w:val="28"/>
          <w:szCs w:val="28"/>
          <w:shd w:val="clear" w:color="auto" w:fill="FFFFFF"/>
          <w14:textFill>
            <w14:solidFill>
              <w14:schemeClr w14:val="tx1"/>
            </w14:solidFill>
          </w14:textFill>
        </w:rPr>
        <w:t xml:space="preserve">   </w:t>
      </w:r>
    </w:p>
    <w:p w14:paraId="3090C24C">
      <w:pPr>
        <w:widowControl/>
        <w:shd w:val="clear" w:color="auto" w:fill="FFFFFF"/>
        <w:spacing w:before="130" w:line="580" w:lineRule="atLeast"/>
        <w:ind w:firstLine="0" w:firstLineChars="0"/>
        <w:rPr>
          <w:rFonts w:ascii="宋体" w:hAnsi="宋体" w:eastAsia="宋体" w:cs="宋体"/>
          <w:b/>
          <w:color w:val="000000" w:themeColor="text1"/>
          <w:sz w:val="28"/>
          <w:szCs w:val="28"/>
          <w:shd w:val="clear" w:color="auto" w:fill="FFFFFF"/>
          <w14:textFill>
            <w14:solidFill>
              <w14:schemeClr w14:val="tx1"/>
            </w14:solidFill>
          </w14:textFill>
        </w:rPr>
      </w:pPr>
    </w:p>
    <w:p w14:paraId="4323C4F3">
      <w:pPr>
        <w:widowControl/>
        <w:shd w:val="clear" w:color="auto" w:fill="FFFFFF"/>
        <w:spacing w:before="130" w:line="580" w:lineRule="atLeast"/>
        <w:ind w:firstLine="0" w:firstLineChars="0"/>
        <w:rPr>
          <w:rFonts w:ascii="宋体" w:hAnsi="宋体" w:eastAsia="宋体" w:cs="宋体"/>
          <w:b/>
          <w:color w:val="000000" w:themeColor="text1"/>
          <w:sz w:val="28"/>
          <w:szCs w:val="28"/>
          <w:shd w:val="clear" w:color="auto" w:fill="FFFFFF"/>
          <w14:textFill>
            <w14:solidFill>
              <w14:schemeClr w14:val="tx1"/>
            </w14:solidFill>
          </w14:textFill>
        </w:rPr>
      </w:pPr>
      <w:r>
        <w:rPr>
          <w:rFonts w:hint="eastAsia" w:ascii="宋体" w:hAnsi="宋体" w:eastAsia="宋体" w:cs="宋体"/>
          <w:b/>
          <w:color w:val="000000" w:themeColor="text1"/>
          <w:sz w:val="28"/>
          <w:szCs w:val="28"/>
          <w:shd w:val="clear" w:color="auto" w:fill="FFFFFF"/>
          <w14:textFill>
            <w14:solidFill>
              <w14:schemeClr w14:val="tx1"/>
            </w14:solidFill>
          </w14:textFill>
        </w:rPr>
        <w:t xml:space="preserve"> </w:t>
      </w:r>
    </w:p>
    <w:p w14:paraId="3ED46282">
      <w:pPr>
        <w:widowControl/>
        <w:shd w:val="clear" w:color="auto" w:fill="FFFFFF"/>
        <w:spacing w:before="130" w:line="580" w:lineRule="atLeast"/>
        <w:ind w:firstLine="560"/>
        <w:rPr>
          <w:rFonts w:ascii="宋体" w:hAnsi="宋体" w:eastAsia="宋体" w:cs="宋体"/>
          <w:color w:val="000000" w:themeColor="text1"/>
          <w:kern w:val="0"/>
          <w:sz w:val="28"/>
          <w:szCs w:val="28"/>
          <w:shd w:val="clear" w:color="auto" w:fill="FFFFFF"/>
          <w:lang w:bidi="ar"/>
          <w14:textFill>
            <w14:solidFill>
              <w14:schemeClr w14:val="tx1"/>
            </w14:solidFill>
          </w14:textFill>
        </w:rPr>
      </w:pPr>
    </w:p>
    <w:p w14:paraId="2D93D788">
      <w:pPr>
        <w:widowControl/>
        <w:shd w:val="clear" w:color="auto" w:fill="FFFFFF"/>
        <w:spacing w:before="130" w:line="580" w:lineRule="atLeast"/>
        <w:ind w:firstLine="560"/>
        <w:rPr>
          <w:rFonts w:ascii="宋体" w:hAnsi="宋体" w:eastAsia="宋体" w:cs="宋体"/>
          <w:color w:val="000000" w:themeColor="text1"/>
          <w:kern w:val="0"/>
          <w:sz w:val="28"/>
          <w:szCs w:val="28"/>
          <w:shd w:val="clear" w:color="auto" w:fill="FFFFFF"/>
          <w:lang w:bidi="ar"/>
          <w14:textFill>
            <w14:solidFill>
              <w14:schemeClr w14:val="tx1"/>
            </w14:solidFill>
          </w14:textFill>
        </w:rPr>
      </w:pPr>
    </w:p>
    <w:p w14:paraId="091BF8C7">
      <w:pPr>
        <w:pStyle w:val="2"/>
        <w:rPr>
          <w:rFonts w:ascii="宋体" w:hAnsi="宋体" w:eastAsia="宋体" w:cs="宋体"/>
          <w:color w:val="000000" w:themeColor="text1"/>
          <w:kern w:val="0"/>
          <w:sz w:val="28"/>
          <w:szCs w:val="28"/>
          <w:shd w:val="clear" w:color="auto" w:fill="FFFFFF"/>
          <w:lang w:bidi="ar"/>
          <w14:textFill>
            <w14:solidFill>
              <w14:schemeClr w14:val="tx1"/>
            </w14:solidFill>
          </w14:textFill>
        </w:rPr>
      </w:pPr>
    </w:p>
    <w:p w14:paraId="228B05CC">
      <w:pPr>
        <w:rPr>
          <w:rFonts w:ascii="宋体" w:hAnsi="宋体" w:eastAsia="宋体" w:cs="宋体"/>
          <w:color w:val="000000" w:themeColor="text1"/>
          <w:kern w:val="0"/>
          <w:sz w:val="28"/>
          <w:szCs w:val="28"/>
          <w:shd w:val="clear" w:color="auto" w:fill="FFFFFF"/>
          <w:lang w:bidi="ar"/>
          <w14:textFill>
            <w14:solidFill>
              <w14:schemeClr w14:val="tx1"/>
            </w14:solidFill>
          </w14:textFill>
        </w:rPr>
      </w:pPr>
    </w:p>
    <w:p w14:paraId="1A74FEEC">
      <w:pPr>
        <w:pStyle w:val="2"/>
        <w:rPr>
          <w:rFonts w:ascii="宋体" w:hAnsi="宋体" w:eastAsia="宋体" w:cs="宋体"/>
          <w:color w:val="000000" w:themeColor="text1"/>
          <w:kern w:val="0"/>
          <w:sz w:val="28"/>
          <w:szCs w:val="28"/>
          <w:shd w:val="clear" w:color="auto" w:fill="FFFFFF"/>
          <w:lang w:bidi="ar"/>
          <w14:textFill>
            <w14:solidFill>
              <w14:schemeClr w14:val="tx1"/>
            </w14:solidFill>
          </w14:textFill>
        </w:rPr>
      </w:pPr>
    </w:p>
    <w:p w14:paraId="4AE7FD98"/>
    <w:p w14:paraId="00BB9FA2">
      <w:pPr>
        <w:widowControl/>
        <w:shd w:val="clear" w:color="auto" w:fill="FFFFFF"/>
        <w:spacing w:before="130" w:line="580" w:lineRule="atLeast"/>
        <w:ind w:firstLine="560"/>
        <w:rPr>
          <w:rFonts w:ascii="宋体" w:hAnsi="宋体" w:eastAsia="宋体" w:cs="宋体"/>
          <w:color w:val="000000" w:themeColor="text1"/>
          <w:kern w:val="0"/>
          <w:sz w:val="28"/>
          <w:szCs w:val="28"/>
          <w:shd w:val="clear" w:color="auto" w:fill="FFFFFF"/>
          <w:lang w:bidi="ar"/>
          <w14:textFill>
            <w14:solidFill>
              <w14:schemeClr w14:val="tx1"/>
            </w14:solidFill>
          </w14:textFill>
        </w:rPr>
      </w:pPr>
    </w:p>
    <w:p w14:paraId="5CC35AFC">
      <w:pPr>
        <w:widowControl/>
        <w:shd w:val="clear" w:color="auto" w:fill="FFFFFF"/>
        <w:spacing w:before="130" w:line="580" w:lineRule="atLeast"/>
        <w:ind w:firstLine="560"/>
        <w:rPr>
          <w:rFonts w:ascii="宋体" w:hAnsi="宋体" w:eastAsia="宋体" w:cs="宋体"/>
          <w:color w:val="000000" w:themeColor="text1"/>
          <w:kern w:val="0"/>
          <w:sz w:val="28"/>
          <w:szCs w:val="28"/>
          <w:shd w:val="clear" w:color="auto" w:fill="FFFFFF"/>
          <w:lang w:bidi="ar"/>
          <w14:textFill>
            <w14:solidFill>
              <w14:schemeClr w14:val="tx1"/>
            </w14:solidFill>
          </w14:textFill>
        </w:rPr>
      </w:pPr>
    </w:p>
    <w:p w14:paraId="7F12D4F0">
      <w:pPr>
        <w:widowControl/>
        <w:shd w:val="clear" w:color="auto" w:fill="FFFFFF"/>
        <w:spacing w:before="130" w:line="580" w:lineRule="atLeast"/>
        <w:ind w:firstLine="0" w:firstLineChars="0"/>
        <w:outlineLvl w:val="0"/>
        <w:rPr>
          <w:rFonts w:hint="eastAsia" w:ascii="宋体" w:hAnsi="宋体" w:eastAsia="宋体" w:cs="宋体"/>
          <w:b/>
          <w:color w:val="000000" w:themeColor="text1"/>
          <w:sz w:val="28"/>
          <w:szCs w:val="28"/>
          <w:shd w:val="clear" w:color="auto" w:fill="FFFFFF"/>
          <w14:textFill>
            <w14:solidFill>
              <w14:schemeClr w14:val="tx1"/>
            </w14:solidFill>
          </w14:textFill>
        </w:rPr>
      </w:pPr>
    </w:p>
    <w:p w14:paraId="04379A83">
      <w:pPr>
        <w:outlineLvl w:val="0"/>
        <w:rPr>
          <w:rFonts w:ascii="黑体" w:hAnsi="黑体" w:eastAsia="黑体" w:cs="黑体"/>
        </w:rPr>
      </w:pPr>
      <w:bookmarkStart w:id="4" w:name="_Toc8244"/>
      <w:r>
        <w:rPr>
          <w:rFonts w:hint="eastAsia" w:ascii="黑体" w:hAnsi="黑体" w:eastAsia="黑体" w:cs="黑体"/>
        </w:rPr>
        <w:t>一、基本职能及主要工作</w:t>
      </w:r>
      <w:bookmarkEnd w:id="4"/>
    </w:p>
    <w:p w14:paraId="09F0EBF3">
      <w:pPr>
        <w:outlineLvl w:val="1"/>
        <w:rPr>
          <w:rFonts w:ascii="楷体_GB2312" w:hAnsi="楷体_GB2312" w:eastAsia="楷体_GB2312" w:cs="楷体_GB2312"/>
        </w:rPr>
      </w:pPr>
      <w:bookmarkStart w:id="5" w:name="_Toc11804"/>
      <w:r>
        <w:rPr>
          <w:rFonts w:hint="eastAsia" w:ascii="楷体_GB2312" w:hAnsi="楷体_GB2312" w:eastAsia="楷体_GB2312" w:cs="楷体_GB2312"/>
        </w:rPr>
        <w:t>（一）单位职能简介</w:t>
      </w:r>
      <w:bookmarkEnd w:id="5"/>
    </w:p>
    <w:p w14:paraId="14E5C89C">
      <w:pPr>
        <w:adjustRightInd w:val="0"/>
        <w:spacing w:after="140" w:line="500" w:lineRule="exact"/>
        <w:outlineLvl w:val="2"/>
      </w:pPr>
      <w:r>
        <w:rPr>
          <w:rFonts w:hint="eastAsia"/>
        </w:rPr>
        <w:t>1.贯彻党的教育方针，坚持社会主义办学方向，实行教育与生产劳动相结合，对学生进行德育、智育、体育、美育和劳动等方面的教育。</w:t>
      </w:r>
    </w:p>
    <w:p w14:paraId="15D0D3BA">
      <w:pPr>
        <w:adjustRightInd w:val="0"/>
        <w:spacing w:after="140" w:line="500" w:lineRule="exact"/>
        <w:outlineLvl w:val="2"/>
      </w:pPr>
      <w:r>
        <w:rPr>
          <w:rFonts w:hint="eastAsia"/>
        </w:rPr>
        <w:t>2.用科学的发展观指导教育教学工作。加强教育科研工作，推动校本教育的健康发展。加强教学管理，不断推进新课程改革，全面提高教学质量。</w:t>
      </w:r>
    </w:p>
    <w:p w14:paraId="734D66A5">
      <w:pPr>
        <w:adjustRightInd w:val="0"/>
        <w:spacing w:after="140" w:line="500" w:lineRule="exact"/>
        <w:outlineLvl w:val="2"/>
      </w:pPr>
      <w:r>
        <w:rPr>
          <w:rFonts w:hint="eastAsia"/>
        </w:rPr>
        <w:t>3.负责配合政府依法动员、组织适龄儿童、少年入学，严格控制学生辍学，依法保证适龄儿童、少年接受九年义务教育。</w:t>
      </w:r>
    </w:p>
    <w:p w14:paraId="5A7591D2">
      <w:pPr>
        <w:adjustRightInd w:val="0"/>
        <w:spacing w:after="140" w:line="500" w:lineRule="exact"/>
        <w:outlineLvl w:val="2"/>
      </w:pPr>
      <w:r>
        <w:rPr>
          <w:rFonts w:hint="eastAsia"/>
        </w:rPr>
        <w:t>4.继续深化人事制度改革，完善学校内部管理，做好后勤保障工作。</w:t>
      </w:r>
    </w:p>
    <w:p w14:paraId="72CF36A0">
      <w:pPr>
        <w:adjustRightInd w:val="0"/>
        <w:spacing w:after="140" w:line="500" w:lineRule="exact"/>
        <w:outlineLvl w:val="2"/>
      </w:pPr>
      <w:r>
        <w:rPr>
          <w:rFonts w:hint="eastAsia"/>
        </w:rPr>
        <w:t>5.负责维护学校、师生的合法权益，有权拒绝任何组织和个人对教育教学活动进行非法干扰。</w:t>
      </w:r>
    </w:p>
    <w:p w14:paraId="0465DBB6">
      <w:pPr>
        <w:adjustRightInd w:val="0"/>
        <w:spacing w:after="140" w:line="500" w:lineRule="exact"/>
        <w:outlineLvl w:val="2"/>
      </w:pPr>
      <w:r>
        <w:rPr>
          <w:rFonts w:hint="eastAsia"/>
        </w:rPr>
        <w:t>6.负责创建绿色校园、文明校园和平安校园。</w:t>
      </w:r>
    </w:p>
    <w:p w14:paraId="3331C3F9">
      <w:pPr>
        <w:adjustRightInd w:val="0"/>
        <w:spacing w:after="140" w:line="500" w:lineRule="exact"/>
        <w:outlineLvl w:val="2"/>
      </w:pPr>
      <w:r>
        <w:rPr>
          <w:rFonts w:hint="eastAsia"/>
        </w:rPr>
        <w:t>7.负责关心教职工生活，发挥教代会职能作用。</w:t>
      </w:r>
    </w:p>
    <w:p w14:paraId="67CFC5F3">
      <w:r>
        <w:rPr>
          <w:rFonts w:hint="eastAsia"/>
        </w:rPr>
        <w:t>8.承办上级交办的其他事项。</w:t>
      </w:r>
    </w:p>
    <w:p w14:paraId="760A9239">
      <w:pPr>
        <w:outlineLvl w:val="1"/>
        <w:rPr>
          <w:rFonts w:ascii="楷体_GB2312" w:hAnsi="楷体_GB2312" w:eastAsia="楷体_GB2312" w:cs="楷体_GB2312"/>
        </w:rPr>
      </w:pPr>
      <w:bookmarkStart w:id="6" w:name="_Toc21792"/>
      <w:r>
        <w:rPr>
          <w:rFonts w:hint="eastAsia" w:ascii="楷体_GB2312" w:hAnsi="楷体_GB2312" w:eastAsia="楷体_GB2312" w:cs="楷体_GB2312"/>
        </w:rPr>
        <w:t>（二）单位2024年重点工作</w:t>
      </w:r>
      <w:bookmarkEnd w:id="6"/>
    </w:p>
    <w:p w14:paraId="4601273E">
      <w:pPr>
        <w:rPr>
          <w:rFonts w:hint="eastAsia"/>
        </w:rPr>
      </w:pPr>
      <w:r>
        <w:rPr>
          <w:rFonts w:hint="eastAsia"/>
        </w:rPr>
        <w:t>新学期我们要在2023年的基础上，不扩展、不折腾，就是不再开设新的项目，但要在原来的基础上再深入、再细化、再提升，使“让善文化润泽师生的生命成长”这一理念真正落地，今年就是“至善教育”的落地之年。</w:t>
      </w:r>
    </w:p>
    <w:p w14:paraId="503934C3">
      <w:pPr>
        <w:outlineLvl w:val="0"/>
      </w:pPr>
      <w:bookmarkStart w:id="7" w:name="_Toc26059"/>
      <w:r>
        <w:rPr>
          <w:rFonts w:hint="eastAsia"/>
          <w:lang w:val="en-US" w:eastAsia="zh-CN"/>
        </w:rPr>
        <w:t>1</w:t>
      </w:r>
      <w:r>
        <w:rPr>
          <w:rFonts w:hint="eastAsia"/>
        </w:rPr>
        <w:t>、践行“至善教育”的理念</w:t>
      </w:r>
      <w:bookmarkEnd w:id="7"/>
    </w:p>
    <w:p w14:paraId="6D7A4AA0">
      <w:r>
        <w:rPr>
          <w:rFonts w:hint="eastAsia"/>
        </w:rPr>
        <w:t>这一理念已经提出大半年的时间，不是否定以前，推倒重来，而是对“明德博学 臻于至善”办学思想和“立德树人、五育并举”的价值立场内涵的发展与延续，是一脉相承的。“至善教育”这一理念在同志们的思考下，得到了完善和发展。善自己、善他人、善教育、善家庭和社会。善自己是基础、是根本，是“至善教育”的“因”，后三个是“至善教育”是“果”。“至善教育”落实的最佳途径是“上施下效”。</w:t>
      </w:r>
    </w:p>
    <w:p w14:paraId="64FB4052">
      <w:pPr>
        <w:outlineLvl w:val="0"/>
      </w:pPr>
      <w:bookmarkStart w:id="8" w:name="_Toc31443"/>
      <w:r>
        <w:rPr>
          <w:rFonts w:hint="eastAsia"/>
          <w:lang w:val="en-US" w:eastAsia="zh-CN"/>
        </w:rPr>
        <w:t>2</w:t>
      </w:r>
      <w:r>
        <w:rPr>
          <w:rFonts w:hint="eastAsia"/>
        </w:rPr>
        <w:t>、做一名“有影响美善教师”</w:t>
      </w:r>
      <w:bookmarkEnd w:id="8"/>
    </w:p>
    <w:p w14:paraId="3D4175AE">
      <w:r>
        <w:rPr>
          <w:rFonts w:hint="eastAsia"/>
        </w:rPr>
        <w:t>怎么能把班级管好？我送大家“2个1”。第一个“1”是一句话：管理学生要恩威并施，先恩后威，“威”不足道；先威后恩，恩重如山。第二个“1”是一种思想：要和学生融为一体。怎么去“融”是非常有研究的。我建议要沉到学生中去，和学生一起玩、一起活动、一起谈心，就是要和学生亦师亦友，能够达到学生想犯错误自己都不好意思，有学生犯错误，别的学生就会帮你教育。假期给大家提供《致教师》和《给教师的一百条建议》两本书，大家如果看明白了，怎么当好老师，做好教育你就能懂，也能做好。我希望我们能够经常探讨这样的问题，做这样有意义的事情。</w:t>
      </w:r>
      <w:r>
        <w:rPr>
          <w:rFonts w:ascii="Calibri" w:hAnsi="Calibri" w:cs="Calibri"/>
        </w:rPr>
        <w:t> </w:t>
      </w:r>
    </w:p>
    <w:p w14:paraId="788BE197">
      <w:r>
        <w:rPr>
          <w:rFonts w:hint="eastAsia"/>
        </w:rPr>
        <w:t>一是心中要有目标。新学期，我们要探索“2345”教师专业成长模式。“2”指的是 2种方式，即经验+反思=成长。美国教</w:t>
      </w:r>
      <w:r>
        <w:rPr>
          <w:rFonts w:hint="eastAsia"/>
          <w:lang w:val="en-US" w:eastAsia="zh-CN"/>
        </w:rPr>
        <w:t xml:space="preserve">   </w:t>
      </w:r>
      <w:r>
        <w:rPr>
          <w:rFonts w:hint="eastAsia"/>
        </w:rPr>
        <w:t xml:space="preserve">育心理学家波斯纳说：“没有反思的经验是狭义的心得，至多只能是平庸的知识”。如果一个教师仅仅满足经验而不对经验进行深入思考，那么即使是20年教学经验，也许只是一年工作的20次重复。反思使教师重新找回失去的自我，相信自己才是处理自己问题的专家，使隐藏在自己心中的教育思想得以激活。“3”指的是3种途径，即自我鞭策，在与自己的对话中成长；同事合作，在与同事的对话中发展；师生相长，在与学生的对话中共进。“4”指经历4个阶段，即初任入行阶段（1-3年），从行为模仿到熟悉教学；能力构建阶段（2-5年）从激情发展到理性成熟；专业成熟阶段（8年以上），从特点突出到风格独特；名师阶段（10年以上），从深度反思到资深专家、大先生。“5”指锤炼5种能力，即课堂教学能力、班级管理能力、学生培养能力、家校沟通能力、综合命题能力。 </w:t>
      </w:r>
      <w:r>
        <w:rPr>
          <w:rFonts w:ascii="Calibri" w:hAnsi="Calibri" w:cs="Calibri"/>
        </w:rPr>
        <w:t> </w:t>
      </w:r>
      <w:r>
        <w:rPr>
          <w:rFonts w:hint="eastAsia"/>
        </w:rPr>
        <w:t xml:space="preserve"> </w:t>
      </w:r>
      <w:r>
        <w:rPr>
          <w:rFonts w:ascii="Calibri" w:hAnsi="Calibri" w:cs="Calibri"/>
        </w:rPr>
        <w:t> </w:t>
      </w:r>
    </w:p>
    <w:p w14:paraId="3FC7832A">
      <w:r>
        <w:rPr>
          <w:rFonts w:hint="eastAsia"/>
        </w:rPr>
        <w:t>二是成长要有平台。努力搭建成长平台，鼓励教师走到台的中央。平台再大，自己不上台，你永远是个观众；平台再好，自己不参与，你永远是个旁观者，人生没有四季，努力就是旺季，不努力就是淡季，不努力，听到的永远是别人的好消息，享受自己的工作成果也是莫大的快乐。本学期继续开展全青年教师论坛、班主任论坛、“三新”大赛、优质课大赛等，继续坚持“日清、周备、月命”常规动作。为教师创造学习、研究、交流的机会。</w:t>
      </w:r>
    </w:p>
    <w:p w14:paraId="12317991">
      <w:r>
        <w:rPr>
          <w:rFonts w:hint="eastAsia"/>
        </w:rPr>
        <w:t xml:space="preserve">三是参照要有榜样。榜样从优秀做起，从品质做起，向优秀看、跟优秀学，行政班子领导成员要全面提升服务意识，把服务教师当作履职之要，为你们解决问题。树立“你们的事就是我的事，你们的需要就是我存在的价值”的思想，成为你们的友人、亲人。 </w:t>
      </w:r>
      <w:r>
        <w:rPr>
          <w:rFonts w:ascii="Calibri" w:hAnsi="Calibri" w:cs="Calibri"/>
        </w:rPr>
        <w:t> </w:t>
      </w:r>
      <w:r>
        <w:rPr>
          <w:rFonts w:hint="eastAsia"/>
        </w:rPr>
        <w:t xml:space="preserve"> </w:t>
      </w:r>
      <w:r>
        <w:rPr>
          <w:rFonts w:ascii="Calibri" w:hAnsi="Calibri" w:cs="Calibri"/>
        </w:rPr>
        <w:t> </w:t>
      </w:r>
    </w:p>
    <w:p w14:paraId="5854FFB5">
      <w:r>
        <w:rPr>
          <w:rFonts w:hint="eastAsia"/>
        </w:rPr>
        <w:t>四是工作要有氛围。大力倡导“我工作、我开心，我生活、我快乐”的家文化理念，发挥文化润校功能，用“高看一眼、相互补台”的心态对待同事，凝聚谦虚、包容、自律、向上、大气的学校精神，建设谦虚不低调，包容不懦弱，自律不自缚，向上不冒进，大气不张扬的文化内涵。开展师德大讨论活动，一起回顾职业生涯的“点点滴滴”，讲述从教人生的“终身难忘”，把酒桌的回忆变成台前的感慨，营造</w:t>
      </w:r>
      <w:r>
        <w:rPr>
          <w:rFonts w:hint="eastAsia"/>
          <w:lang w:val="en-US" w:eastAsia="zh-CN"/>
        </w:rPr>
        <w:t>良好的学校</w:t>
      </w:r>
      <w:r>
        <w:rPr>
          <w:rFonts w:hint="eastAsia"/>
        </w:rPr>
        <w:t>氛围。</w:t>
      </w:r>
    </w:p>
    <w:p w14:paraId="31A832ED">
      <w:pPr>
        <w:outlineLvl w:val="0"/>
      </w:pPr>
      <w:bookmarkStart w:id="9" w:name="_Toc7702"/>
      <w:r>
        <w:rPr>
          <w:rFonts w:hint="eastAsia"/>
          <w:lang w:val="en-US" w:eastAsia="zh-CN"/>
        </w:rPr>
        <w:t>3</w:t>
      </w:r>
      <w:r>
        <w:rPr>
          <w:rFonts w:hint="eastAsia"/>
        </w:rPr>
        <w:t>、培育有影响的向善学生</w:t>
      </w:r>
      <w:bookmarkEnd w:id="9"/>
    </w:p>
    <w:p w14:paraId="4E0098C3">
      <w:r>
        <w:rPr>
          <w:rFonts w:hint="eastAsia"/>
        </w:rPr>
        <w:t>一是质量要有新突破。在全区校园长会议上，教育局分析了教育质量情况，我校虽然质量总体还不是很高，个人的名次不是很强，五年级抽考的名次下降，教导处要利用一切可以利用的资源，利用一切可以利用的条件，想一切可以想的办法，就像专家会诊一样“把脉问诊，开放用药”，找到差到哪里？将采取什么办法，在哪还能提高一分……因此，我们要对目标充满信心，要驰而不息、一以贯之的将状态、势头转化成实实在在的教育成绩。</w:t>
      </w:r>
    </w:p>
    <w:p w14:paraId="05FCDBC4">
      <w:r>
        <w:rPr>
          <w:rFonts w:hint="eastAsia"/>
        </w:rPr>
        <w:t>二是要抓实“日清、周备、月命”的提升。日清，即在教学过程中，教师要求学生把每天学过的知识必须落实到位，在老师检查中达到教学的实效性；周备，即大单元备课，小单元授课，是指课时教学前，要在系统分析的基础上组建单元，进行单元整体规划，以及整体规划下的课时设计，确定主题明确目标，逆向设计，评价早于活动设计，结构化任务，递进式活动，课型、课时、作业、测试统筹安排与整体设计。月命，即每月教师以课标为纲，以大纲为本，以教材为据，以资料为辅，按照近几年的命题原则接地气的对学生进行诊断，在深度、广度、梯度上多研究，多思考。</w:t>
      </w:r>
    </w:p>
    <w:p w14:paraId="1DE44DF7">
      <w:r>
        <w:rPr>
          <w:rFonts w:hint="eastAsia"/>
        </w:rPr>
        <w:t>三是大力开展养成教育。实施“一标、两育、三巡、四特”育人模式 ，“一标”即一个目标：培养出胸怀天下的至善少年，而不是目光短浅的行为低能之辈；“两育”即育才和育人，不能只育才而忽视了育人，坚决贯彻“以立德树人为根本任务，以为党育人为国育才为</w:t>
      </w:r>
      <w:r>
        <w:rPr>
          <w:rFonts w:hint="eastAsia"/>
          <w:lang w:val="en-US" w:eastAsia="zh-CN"/>
        </w:rPr>
        <w:t>己</w:t>
      </w:r>
      <w:r>
        <w:rPr>
          <w:rFonts w:hint="eastAsia"/>
        </w:rPr>
        <w:t>任”，绝不能培养出“劣质生”，要让学生有恩于我们的教育。培养学生家国情怀，爱国、爱校、爱家</w:t>
      </w:r>
      <w:r>
        <w:rPr>
          <w:rFonts w:ascii="Calibri" w:hAnsi="Calibri" w:cs="Calibri"/>
        </w:rPr>
        <w:t> </w:t>
      </w:r>
      <w:r>
        <w:rPr>
          <w:rFonts w:hint="eastAsia"/>
        </w:rPr>
        <w:t>；“三巡”即巡校、巡楼、巡舍，保证管理全覆盖无死角；“四特”即一特建设四个“无声场所”，即：即无声食堂、无声自习、无声宿舍、无声走廊；二特实现“四无”现象，即校园内学生无纪律、无乱扔、无陋习、无疯闹；三特营造“四</w:t>
      </w:r>
      <w:bookmarkStart w:id="12" w:name="_GoBack"/>
      <w:bookmarkEnd w:id="12"/>
      <w:r>
        <w:rPr>
          <w:rFonts w:hint="eastAsia"/>
        </w:rPr>
        <w:t>有”场景，即操场上有活力、课堂上有规矩、行走有秩序、交流有礼仪；四特实现“四个”愿景，林荫下琴棋书画、诗歌咏赋；操场上欢歌笑语、球飞扇舞；教室里凝神沉思、书声琅琅；校园内活动井然，生机勃勃。把课后服务开展的丰富多彩。</w:t>
      </w:r>
    </w:p>
    <w:p w14:paraId="1CE3594F">
      <w:pPr>
        <w:outlineLvl w:val="0"/>
      </w:pPr>
      <w:bookmarkStart w:id="10" w:name="_Toc9963"/>
      <w:r>
        <w:rPr>
          <w:rFonts w:hint="eastAsia"/>
          <w:lang w:val="en-US" w:eastAsia="zh-CN"/>
        </w:rPr>
        <w:t>4</w:t>
      </w:r>
      <w:r>
        <w:rPr>
          <w:rFonts w:hint="eastAsia"/>
        </w:rPr>
        <w:t>、打造有影响的善美校园</w:t>
      </w:r>
      <w:bookmarkEnd w:id="10"/>
    </w:p>
    <w:p w14:paraId="52E91505">
      <w:r>
        <w:rPr>
          <w:rFonts w:hint="eastAsia"/>
        </w:rPr>
        <w:t>一是学校要有特色。要把学校建成“三园”，即环境优美的花园、舒适舒心的家园、成长成才的学园。</w:t>
      </w:r>
    </w:p>
    <w:p w14:paraId="5A2FE2C2">
      <w:r>
        <w:rPr>
          <w:rFonts w:hint="eastAsia"/>
        </w:rPr>
        <w:t>体验“德”课程，让学生感受“至善”之雅。以《守则》《规范》，扎实开展“日行一善”的《善行十一条》、班级善行公约；丰富“善之声”校园广播站；开展清明、端午“善文化”传统节日文化活动；开展“筑梦善行”访学实践活动，拓展视野，丰富知识。</w:t>
      </w:r>
    </w:p>
    <w:p w14:paraId="68B80A31">
      <w:r>
        <w:rPr>
          <w:rFonts w:hint="eastAsia"/>
        </w:rPr>
        <w:t>开发“智”课程，让学生感受“至善”之本。继续以“以书为梯”开展书香校园活动，营造氛围、设置课程、晨诵、午读确保时间、积极编纂《经典伴我成长》校本教材、开展活动让阅读有快乐。</w:t>
      </w:r>
    </w:p>
    <w:p w14:paraId="320887B4">
      <w:r>
        <w:rPr>
          <w:rFonts w:hint="eastAsia"/>
        </w:rPr>
        <w:t>重视“艺”课程，让学生感受“从善”之美。以艺体开展全校“傩傩舞”、《善行三字歌》、《道德经》诵读、师生“画善”“写善”、“善之声”、“善教之星”、“善行之星”教师、学生评选等活动让师生的身心沐浴着善之光。</w:t>
      </w:r>
    </w:p>
    <w:p w14:paraId="756EAB49">
      <w:r>
        <w:rPr>
          <w:rFonts w:hint="eastAsia"/>
        </w:rPr>
        <w:t>开启“劳”教育，让学生感受“善耕”之乐。积极打造农耕乐园“一园四区”，以二十四节气把主题式劳动融入学校、家庭教育。</w:t>
      </w:r>
    </w:p>
    <w:p w14:paraId="20A5281C">
      <w:r>
        <w:rPr>
          <w:rFonts w:hint="eastAsia"/>
        </w:rPr>
        <w:t>二是班级要有特点。向市内外学校看齐，班级有名字、有目标、有口号等；课前书声琅琅、课上聚精会神、课下出入有序等，班团会有主题、有形式、有效果等；逐步形成自己的班风。</w:t>
      </w:r>
    </w:p>
    <w:p w14:paraId="677F1B15">
      <w:r>
        <w:rPr>
          <w:rFonts w:hint="eastAsia"/>
        </w:rPr>
        <w:t>三是教师要有特长。我们教师不但能胜任自己的学科教学，更要在专精上下功夫，能指导学生参加各类竞赛，以强基计划为切入点，锻造业务本领，尽快成长为优秀学科竞赛教练。</w:t>
      </w:r>
    </w:p>
    <w:p w14:paraId="556D5637">
      <w:r>
        <w:rPr>
          <w:rFonts w:hint="eastAsia"/>
        </w:rPr>
        <w:t>四是探索“147”安全管理模式，织牢师生安全防护网。</w:t>
      </w:r>
    </w:p>
    <w:p w14:paraId="283BC10F">
      <w:r>
        <w:rPr>
          <w:rFonts w:hint="eastAsia"/>
        </w:rPr>
        <w:t>五是做好正面报道和宣传。</w:t>
      </w:r>
    </w:p>
    <w:p w14:paraId="409B1B96">
      <w:pPr>
        <w:outlineLvl w:val="0"/>
      </w:pPr>
      <w:bookmarkStart w:id="11" w:name="_Toc10109"/>
      <w:r>
        <w:rPr>
          <w:rFonts w:hint="eastAsia"/>
          <w:lang w:val="en-US" w:eastAsia="zh-CN"/>
        </w:rPr>
        <w:t>5</w:t>
      </w:r>
      <w:r>
        <w:rPr>
          <w:rFonts w:hint="eastAsia"/>
        </w:rPr>
        <w:t>、抓好其他工作，做好后勤服务</w:t>
      </w:r>
      <w:bookmarkEnd w:id="11"/>
    </w:p>
    <w:p w14:paraId="3BB847A1">
      <w:r>
        <w:rPr>
          <w:rFonts w:hint="eastAsia"/>
        </w:rPr>
        <w:t>一是制定财务预算，坚持计划、合理使用经费。规范物品采购、进出库管理。充分利用学校现有的资源，有限的办公经费，严把“进、出”两关口，规范管理，勤俭节约。积极做好固定资产购入及登记，落实损坏赔偿制度。</w:t>
      </w:r>
    </w:p>
    <w:p w14:paraId="72F3A2E7">
      <w:r>
        <w:rPr>
          <w:rFonts w:hint="eastAsia"/>
        </w:rPr>
        <w:t>二是抓好后勤人员的管理，提高服务质量。加强后勤人员管理，明确门卫、保育员、炊事员的职责，统一思想认识，强化职业道德，增强干好本职工作的责任感，凝心聚力，爱岗敬业，乐于奉献，进一步提高员工的业务素质和服务意识。</w:t>
      </w:r>
    </w:p>
    <w:p w14:paraId="6D2AAC56">
      <w:r>
        <w:rPr>
          <w:rFonts w:hint="eastAsia"/>
        </w:rPr>
        <w:t>三是加强食堂质量的管理。努力提高服务质量，积极征求师生意见及时反馈信息意见和要求，责任到人，量化考核。高度重视食品安全卫生工作，建全台帐，严把食品进出口关，严禁过期、变质食品进入校园。食品加工要按规定程序操作，杜绝生人进食堂，确保师生用餐卫生与安全。积极邀请家委员会对学校食堂的民主管理和监督，切实维护师生合法权益，不断提高学校食堂为教育、为师生服务的质量和水平。</w:t>
      </w:r>
    </w:p>
    <w:p w14:paraId="3D2DB7E4">
      <w:r>
        <w:rPr>
          <w:rFonts w:hint="eastAsia"/>
        </w:rPr>
        <w:t>四是发挥工会作用，关心教职工生活，解决教职工工作、生活困难，做好校务、财务、政务公开，接受教职工监督。</w:t>
      </w:r>
    </w:p>
    <w:p w14:paraId="6CFC3F28">
      <w:pPr>
        <w:outlineLvl w:val="0"/>
        <w:rPr>
          <w:rFonts w:ascii="黑体" w:hAnsi="黑体" w:eastAsia="黑体" w:cs="黑体"/>
        </w:rPr>
      </w:pPr>
      <w:r>
        <w:rPr>
          <w:rFonts w:hint="eastAsia" w:ascii="黑体" w:hAnsi="黑体" w:eastAsia="黑体" w:cs="黑体"/>
        </w:rPr>
        <w:t>二、部门预算单位构成</w:t>
      </w:r>
    </w:p>
    <w:p w14:paraId="06728CF8">
      <w:r>
        <w:rPr>
          <w:rFonts w:hint="eastAsia"/>
        </w:rPr>
        <w:t>我单位为广元市昭化区</w:t>
      </w:r>
      <w:r>
        <w:t>教育局</w:t>
      </w:r>
      <w:r>
        <w:rPr>
          <w:rFonts w:hint="eastAsia"/>
        </w:rPr>
        <w:t>的下属二级预算单位，本单位无下属机构，属于公益一类事业单位。</w:t>
      </w:r>
    </w:p>
    <w:p w14:paraId="5B841188">
      <w:pPr>
        <w:outlineLvl w:val="0"/>
        <w:rPr>
          <w:rFonts w:ascii="黑体" w:hAnsi="黑体" w:eastAsia="黑体" w:cs="黑体"/>
        </w:rPr>
      </w:pPr>
      <w:r>
        <w:rPr>
          <w:rFonts w:hint="eastAsia" w:ascii="黑体" w:hAnsi="黑体" w:eastAsia="黑体" w:cs="黑体"/>
        </w:rPr>
        <w:t>三、收支预算情况说明</w:t>
      </w:r>
    </w:p>
    <w:p w14:paraId="0BE0728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hint="eastAsia" w:cs="仿宋_GB2312"/>
          <w:sz w:val="32"/>
          <w:szCs w:val="32"/>
          <w:lang w:val="en-US" w:eastAsia="zh-CN"/>
        </w:rPr>
        <w:t>紫云</w:t>
      </w:r>
      <w:r>
        <w:rPr>
          <w:rFonts w:hint="eastAsia" w:ascii="仿宋_GB2312" w:hAnsi="仿宋_GB2312" w:eastAsia="仿宋_GB2312" w:cs="仿宋_GB2312"/>
          <w:sz w:val="32"/>
          <w:szCs w:val="32"/>
          <w:lang w:val="en-US" w:eastAsia="zh-CN"/>
        </w:rPr>
        <w:t>小学所有收入和支出均纳入部门预算管理。收入包括：一般公共预算拨款收入；支出包括：教育支出、社会保障和就业支出。</w:t>
      </w:r>
      <w:r>
        <w:rPr>
          <w:rFonts w:hint="eastAsia" w:cs="仿宋_GB2312"/>
          <w:sz w:val="32"/>
          <w:szCs w:val="32"/>
          <w:lang w:val="en-US" w:eastAsia="zh-CN"/>
        </w:rPr>
        <w:t>紫云</w:t>
      </w:r>
      <w:r>
        <w:rPr>
          <w:rFonts w:hint="eastAsia" w:ascii="仿宋_GB2312" w:hAnsi="仿宋_GB2312" w:eastAsia="仿宋_GB2312" w:cs="仿宋_GB2312"/>
          <w:sz w:val="32"/>
          <w:szCs w:val="32"/>
          <w:lang w:val="en-US" w:eastAsia="zh-CN"/>
        </w:rPr>
        <w:t>小学2024年收支预算总数</w:t>
      </w:r>
      <w:r>
        <w:rPr>
          <w:rFonts w:hint="eastAsia" w:cs="仿宋_GB2312"/>
          <w:sz w:val="32"/>
          <w:szCs w:val="32"/>
          <w:lang w:val="en-US" w:eastAsia="zh-CN"/>
        </w:rPr>
        <w:t>315.85</w:t>
      </w:r>
      <w:r>
        <w:rPr>
          <w:rFonts w:hint="eastAsia" w:ascii="仿宋_GB2312" w:hAnsi="仿宋_GB2312" w:eastAsia="仿宋_GB2312" w:cs="仿宋_GB2312"/>
          <w:sz w:val="32"/>
          <w:szCs w:val="32"/>
          <w:lang w:val="en-US" w:eastAsia="zh-CN"/>
        </w:rPr>
        <w:t>万元,比2023年收支预算总数</w:t>
      </w:r>
      <w:r>
        <w:rPr>
          <w:rFonts w:hint="eastAsia" w:cs="仿宋_GB2312"/>
          <w:sz w:val="32"/>
          <w:szCs w:val="32"/>
          <w:lang w:val="en-US" w:eastAsia="zh-CN"/>
        </w:rPr>
        <w:t>减少59.05</w:t>
      </w:r>
      <w:r>
        <w:rPr>
          <w:rFonts w:hint="eastAsia" w:ascii="仿宋_GB2312" w:hAnsi="仿宋_GB2312" w:eastAsia="仿宋_GB2312" w:cs="仿宋_GB2312"/>
          <w:sz w:val="32"/>
          <w:szCs w:val="32"/>
          <w:lang w:val="en-US" w:eastAsia="zh-CN"/>
        </w:rPr>
        <w:t>万元，主要原因是</w:t>
      </w:r>
      <w:r>
        <w:rPr>
          <w:rFonts w:hint="eastAsia" w:ascii="仿宋_GB2312" w:hAnsi="仿宋_GB2312" w:eastAsia="仿宋_GB2312" w:cs="仿宋_GB2312"/>
          <w:color w:val="auto"/>
          <w:sz w:val="32"/>
          <w:szCs w:val="32"/>
          <w:lang w:val="en-US" w:eastAsia="zh-CN"/>
        </w:rPr>
        <w:t>基本支出和项目支出</w:t>
      </w:r>
      <w:r>
        <w:rPr>
          <w:rFonts w:hint="eastAsia" w:cs="仿宋_GB2312"/>
          <w:color w:val="auto"/>
          <w:sz w:val="32"/>
          <w:szCs w:val="32"/>
          <w:lang w:val="en-US" w:eastAsia="zh-CN"/>
        </w:rPr>
        <w:t>减少</w:t>
      </w:r>
      <w:r>
        <w:rPr>
          <w:rFonts w:hint="eastAsia" w:ascii="仿宋_GB2312" w:hAnsi="仿宋_GB2312" w:eastAsia="仿宋_GB2312" w:cs="仿宋_GB2312"/>
          <w:color w:val="auto"/>
          <w:sz w:val="32"/>
          <w:szCs w:val="32"/>
          <w:lang w:val="en-US" w:eastAsia="zh-CN"/>
        </w:rPr>
        <w:t>。</w:t>
      </w:r>
    </w:p>
    <w:p w14:paraId="0452FC41">
      <w:r>
        <w:rPr>
          <w:rFonts w:hint="eastAsia"/>
        </w:rPr>
        <w:t>（一）收入预算情况</w:t>
      </w:r>
    </w:p>
    <w:p w14:paraId="6394B271">
      <w:pPr>
        <w:rPr>
          <w:rFonts w:hint="eastAsia"/>
          <w:lang w:eastAsia="zh-CN"/>
        </w:rPr>
      </w:pPr>
      <w:r>
        <w:rPr>
          <w:rFonts w:hint="eastAsia"/>
        </w:rPr>
        <w:t>紫云小学2024年收入预算</w:t>
      </w:r>
      <w:r>
        <w:t>315.85</w:t>
      </w:r>
      <w:r>
        <w:rPr>
          <w:rFonts w:hint="eastAsia"/>
        </w:rPr>
        <w:t>万元，其中：一般公共预算拨款收入</w:t>
      </w:r>
      <w:r>
        <w:t>315.85</w:t>
      </w:r>
      <w:r>
        <w:rPr>
          <w:rFonts w:hint="eastAsia"/>
        </w:rPr>
        <w:t>万元，占</w:t>
      </w:r>
      <w:r>
        <w:t>100</w:t>
      </w:r>
      <w:r>
        <w:rPr>
          <w:rFonts w:hint="eastAsia"/>
        </w:rPr>
        <w:t>%</w:t>
      </w:r>
      <w:r>
        <w:rPr>
          <w:rFonts w:hint="eastAsia"/>
          <w:lang w:eastAsia="zh-CN"/>
        </w:rPr>
        <w:t>。</w:t>
      </w:r>
    </w:p>
    <w:p w14:paraId="53F26A14">
      <w:r>
        <w:rPr>
          <w:rFonts w:hint="eastAsia"/>
        </w:rPr>
        <w:t>（二）支出预算情况</w:t>
      </w:r>
    </w:p>
    <w:p w14:paraId="35460C4E">
      <w:r>
        <w:rPr>
          <w:rFonts w:hint="eastAsia"/>
        </w:rPr>
        <w:t>紫云小学2024年支出预算</w:t>
      </w:r>
      <w:r>
        <w:t>315</w:t>
      </w:r>
      <w:r>
        <w:rPr>
          <w:rFonts w:hint="eastAsia"/>
        </w:rPr>
        <w:t>。85万元，其中：基本支出</w:t>
      </w:r>
      <w:r>
        <w:t>301.85</w:t>
      </w:r>
      <w:r>
        <w:rPr>
          <w:rFonts w:hint="eastAsia"/>
        </w:rPr>
        <w:t>万元，占</w:t>
      </w:r>
      <w:r>
        <w:t>9</w:t>
      </w:r>
      <w:r>
        <w:rPr>
          <w:rFonts w:hint="eastAsia"/>
          <w:lang w:val="en-US" w:eastAsia="zh-CN"/>
        </w:rPr>
        <w:t>5.6</w:t>
      </w:r>
      <w:r>
        <w:rPr>
          <w:rFonts w:hint="eastAsia"/>
        </w:rPr>
        <w:t>%；项目支出</w:t>
      </w:r>
      <w:r>
        <w:t>14</w:t>
      </w:r>
      <w:r>
        <w:rPr>
          <w:rFonts w:hint="eastAsia"/>
        </w:rPr>
        <w:t>万元，占</w:t>
      </w:r>
      <w:r>
        <w:t>4</w:t>
      </w:r>
      <w:r>
        <w:rPr>
          <w:rFonts w:hint="eastAsia"/>
          <w:lang w:val="en-US" w:eastAsia="zh-CN"/>
        </w:rPr>
        <w:t>.4</w:t>
      </w:r>
      <w:r>
        <w:rPr>
          <w:rFonts w:hint="eastAsia"/>
        </w:rPr>
        <w:t>%。</w:t>
      </w:r>
    </w:p>
    <w:p w14:paraId="178575D9">
      <w:pPr>
        <w:outlineLvl w:val="0"/>
      </w:pPr>
      <w:r>
        <w:rPr>
          <w:rFonts w:hint="eastAsia" w:ascii="黑体" w:hAnsi="黑体" w:eastAsia="黑体" w:cs="黑体"/>
        </w:rPr>
        <w:t>四、财政拨款收支预算情况说明</w:t>
      </w:r>
    </w:p>
    <w:p w14:paraId="37C9B21A">
      <w:pPr>
        <w:rPr>
          <w:rFonts w:hint="eastAsia" w:ascii="仿宋_GB2312" w:hAnsi="仿宋_GB2312" w:eastAsia="仿宋_GB2312" w:cs="仿宋_GB2312"/>
          <w:color w:val="auto"/>
          <w:sz w:val="32"/>
          <w:szCs w:val="32"/>
          <w:lang w:val="en-US" w:eastAsia="zh-CN"/>
        </w:rPr>
      </w:pPr>
      <w:r>
        <w:rPr>
          <w:rFonts w:hint="eastAsia"/>
        </w:rPr>
        <w:t>紫云小学2024年财政拨款收支预算总数</w:t>
      </w:r>
      <w:r>
        <w:t>315.85</w:t>
      </w:r>
      <w:r>
        <w:rPr>
          <w:rFonts w:hint="eastAsia"/>
        </w:rPr>
        <w:t>万元,</w:t>
      </w:r>
      <w:r>
        <w:rPr>
          <w:rFonts w:hint="eastAsia" w:ascii="仿宋_GB2312" w:hAnsi="仿宋_GB2312" w:eastAsia="仿宋_GB2312" w:cs="仿宋_GB2312"/>
          <w:sz w:val="32"/>
          <w:szCs w:val="32"/>
          <w:lang w:val="en-US" w:eastAsia="zh-CN"/>
        </w:rPr>
        <w:t>比2023年收支预算总数</w:t>
      </w:r>
      <w:r>
        <w:rPr>
          <w:rFonts w:hint="eastAsia" w:cs="仿宋_GB2312"/>
          <w:sz w:val="32"/>
          <w:szCs w:val="32"/>
          <w:lang w:val="en-US" w:eastAsia="zh-CN"/>
        </w:rPr>
        <w:t>减少59.05</w:t>
      </w:r>
      <w:r>
        <w:rPr>
          <w:rFonts w:hint="eastAsia" w:ascii="仿宋_GB2312" w:hAnsi="仿宋_GB2312" w:eastAsia="仿宋_GB2312" w:cs="仿宋_GB2312"/>
          <w:sz w:val="32"/>
          <w:szCs w:val="32"/>
          <w:lang w:val="en-US" w:eastAsia="zh-CN"/>
        </w:rPr>
        <w:t>万元，主要原因是</w:t>
      </w:r>
      <w:r>
        <w:rPr>
          <w:rFonts w:hint="eastAsia" w:ascii="仿宋_GB2312" w:hAnsi="仿宋_GB2312" w:eastAsia="仿宋_GB2312" w:cs="仿宋_GB2312"/>
          <w:color w:val="auto"/>
          <w:sz w:val="32"/>
          <w:szCs w:val="32"/>
          <w:lang w:val="en-US" w:eastAsia="zh-CN"/>
        </w:rPr>
        <w:t>基本支出和项目支出</w:t>
      </w:r>
      <w:r>
        <w:rPr>
          <w:rFonts w:hint="eastAsia" w:cs="仿宋_GB2312"/>
          <w:color w:val="auto"/>
          <w:sz w:val="32"/>
          <w:szCs w:val="32"/>
          <w:lang w:val="en-US" w:eastAsia="zh-CN"/>
        </w:rPr>
        <w:t>减少</w:t>
      </w:r>
      <w:r>
        <w:rPr>
          <w:rFonts w:hint="eastAsia" w:ascii="仿宋_GB2312" w:hAnsi="仿宋_GB2312" w:eastAsia="仿宋_GB2312" w:cs="仿宋_GB2312"/>
          <w:color w:val="auto"/>
          <w:sz w:val="32"/>
          <w:szCs w:val="32"/>
          <w:lang w:val="en-US" w:eastAsia="zh-CN"/>
        </w:rPr>
        <w:t>。</w:t>
      </w:r>
    </w:p>
    <w:p w14:paraId="0BEA0FFB">
      <w:r>
        <w:rPr>
          <w:rFonts w:hint="eastAsia"/>
        </w:rPr>
        <w:t>收入包括：本年一般公共预算拨款收入</w:t>
      </w:r>
      <w:r>
        <w:t>315.85</w:t>
      </w:r>
      <w:r>
        <w:rPr>
          <w:rFonts w:hint="eastAsia"/>
        </w:rPr>
        <w:t>万元；支出包括：教育支出</w:t>
      </w:r>
      <w:r>
        <w:t>269.85</w:t>
      </w:r>
      <w:r>
        <w:rPr>
          <w:rFonts w:hint="eastAsia"/>
        </w:rPr>
        <w:t>万元、社会保障和就业支出</w:t>
      </w:r>
      <w:r>
        <w:t>46</w:t>
      </w:r>
      <w:r>
        <w:rPr>
          <w:rFonts w:hint="eastAsia"/>
        </w:rPr>
        <w:t>万元。</w:t>
      </w:r>
    </w:p>
    <w:p w14:paraId="4FEBFB20">
      <w:pPr>
        <w:outlineLvl w:val="0"/>
      </w:pPr>
      <w:r>
        <w:rPr>
          <w:rFonts w:hint="eastAsia" w:ascii="黑体" w:hAnsi="黑体" w:eastAsia="黑体" w:cs="黑体"/>
        </w:rPr>
        <w:t>五、一般公共预算当年拨款情况说明</w:t>
      </w:r>
    </w:p>
    <w:p w14:paraId="6F91CEA6">
      <w:r>
        <w:rPr>
          <w:rFonts w:hint="eastAsia"/>
        </w:rPr>
        <w:t>（一）一般公共预算当年拨款规模变化情况</w:t>
      </w:r>
    </w:p>
    <w:p w14:paraId="2FD58E8F">
      <w:pPr>
        <w:rPr>
          <w:rFonts w:hint="eastAsia" w:ascii="仿宋_GB2312" w:hAnsi="仿宋_GB2312" w:eastAsia="仿宋_GB2312" w:cs="仿宋_GB2312"/>
          <w:color w:val="auto"/>
          <w:sz w:val="32"/>
          <w:szCs w:val="32"/>
          <w:lang w:val="en-US" w:eastAsia="zh-CN"/>
        </w:rPr>
      </w:pPr>
      <w:r>
        <w:rPr>
          <w:rFonts w:hint="eastAsia"/>
        </w:rPr>
        <w:t>紫云小学2024年一般公共预算当年拨款</w:t>
      </w:r>
      <w:r>
        <w:t>315.85</w:t>
      </w:r>
      <w:r>
        <w:rPr>
          <w:rFonts w:hint="eastAsia"/>
        </w:rPr>
        <w:t>万元，</w:t>
      </w:r>
      <w:r>
        <w:rPr>
          <w:rFonts w:hint="eastAsia" w:ascii="仿宋_GB2312" w:hAnsi="仿宋_GB2312" w:eastAsia="仿宋_GB2312" w:cs="仿宋_GB2312"/>
          <w:sz w:val="32"/>
          <w:szCs w:val="32"/>
          <w:lang w:val="en-US" w:eastAsia="zh-CN"/>
        </w:rPr>
        <w:t>比2023年收支预算总数</w:t>
      </w:r>
      <w:r>
        <w:rPr>
          <w:rFonts w:hint="eastAsia" w:cs="仿宋_GB2312"/>
          <w:sz w:val="32"/>
          <w:szCs w:val="32"/>
          <w:lang w:val="en-US" w:eastAsia="zh-CN"/>
        </w:rPr>
        <w:t>减少59.05</w:t>
      </w:r>
      <w:r>
        <w:rPr>
          <w:rFonts w:hint="eastAsia" w:ascii="仿宋_GB2312" w:hAnsi="仿宋_GB2312" w:eastAsia="仿宋_GB2312" w:cs="仿宋_GB2312"/>
          <w:sz w:val="32"/>
          <w:szCs w:val="32"/>
          <w:lang w:val="en-US" w:eastAsia="zh-CN"/>
        </w:rPr>
        <w:t>万元，主要原因是</w:t>
      </w:r>
      <w:r>
        <w:rPr>
          <w:rFonts w:hint="eastAsia" w:ascii="仿宋_GB2312" w:hAnsi="仿宋_GB2312" w:eastAsia="仿宋_GB2312" w:cs="仿宋_GB2312"/>
          <w:color w:val="auto"/>
          <w:sz w:val="32"/>
          <w:szCs w:val="32"/>
          <w:lang w:val="en-US" w:eastAsia="zh-CN"/>
        </w:rPr>
        <w:t>基本支出和项目支出</w:t>
      </w:r>
      <w:r>
        <w:rPr>
          <w:rFonts w:hint="eastAsia" w:cs="仿宋_GB2312"/>
          <w:color w:val="auto"/>
          <w:sz w:val="32"/>
          <w:szCs w:val="32"/>
          <w:lang w:val="en-US" w:eastAsia="zh-CN"/>
        </w:rPr>
        <w:t>减少</w:t>
      </w:r>
      <w:r>
        <w:rPr>
          <w:rFonts w:hint="eastAsia" w:ascii="仿宋_GB2312" w:hAnsi="仿宋_GB2312" w:eastAsia="仿宋_GB2312" w:cs="仿宋_GB2312"/>
          <w:color w:val="auto"/>
          <w:sz w:val="32"/>
          <w:szCs w:val="32"/>
          <w:lang w:val="en-US" w:eastAsia="zh-CN"/>
        </w:rPr>
        <w:t>。</w:t>
      </w:r>
    </w:p>
    <w:p w14:paraId="59CFC35E">
      <w:r>
        <w:rPr>
          <w:rFonts w:hint="eastAsia"/>
        </w:rPr>
        <w:t>（二）一般公共预算当年拨款结构情况</w:t>
      </w:r>
    </w:p>
    <w:p w14:paraId="24655096">
      <w:r>
        <w:rPr>
          <w:rFonts w:hint="eastAsia"/>
        </w:rPr>
        <w:t>一般公共服务支出</w:t>
      </w:r>
      <w:r>
        <w:t>315.85</w:t>
      </w:r>
      <w:r>
        <w:rPr>
          <w:rFonts w:hint="eastAsia"/>
        </w:rPr>
        <w:t>万元，占</w:t>
      </w:r>
      <w:r>
        <w:rPr>
          <w:rFonts w:hint="eastAsia"/>
          <w:lang w:val="en-US" w:eastAsia="zh-CN"/>
        </w:rPr>
        <w:t>100</w:t>
      </w:r>
      <w:r>
        <w:rPr>
          <w:rFonts w:hint="eastAsia"/>
        </w:rPr>
        <w:t>%；教育支出</w:t>
      </w:r>
      <w:r>
        <w:t>269.85</w:t>
      </w:r>
      <w:r>
        <w:rPr>
          <w:rFonts w:hint="eastAsia"/>
        </w:rPr>
        <w:t>万元，占</w:t>
      </w:r>
      <w:r>
        <w:rPr>
          <w:rFonts w:hint="eastAsia"/>
          <w:lang w:val="en-US" w:eastAsia="zh-CN"/>
        </w:rPr>
        <w:t>85.4</w:t>
      </w:r>
      <w:r>
        <w:rPr>
          <w:rFonts w:hint="eastAsia"/>
        </w:rPr>
        <w:t>%；社会保障和就业支出</w:t>
      </w:r>
      <w:r>
        <w:t>46</w:t>
      </w:r>
      <w:r>
        <w:rPr>
          <w:rFonts w:hint="eastAsia"/>
        </w:rPr>
        <w:t>万元，占</w:t>
      </w:r>
      <w:r>
        <w:t>14.6</w:t>
      </w:r>
      <w:r>
        <w:rPr>
          <w:rFonts w:hint="eastAsia"/>
        </w:rPr>
        <w:t>%。</w:t>
      </w:r>
    </w:p>
    <w:p w14:paraId="74DAECB2">
      <w:r>
        <w:rPr>
          <w:rFonts w:hint="eastAsia"/>
        </w:rPr>
        <w:t>（三）一般公共预算当年拨款具体使用情况</w:t>
      </w:r>
    </w:p>
    <w:p w14:paraId="17ACA570">
      <w:r>
        <w:t>1.</w:t>
      </w:r>
      <w:r>
        <w:rPr>
          <w:rFonts w:hint="eastAsia"/>
        </w:rPr>
        <w:t>教育支出（类）普通教育（款）小学教育（项）2024年预算数为</w:t>
      </w:r>
      <w:r>
        <w:t>269.85</w:t>
      </w:r>
      <w:r>
        <w:rPr>
          <w:rFonts w:hint="eastAsia"/>
        </w:rPr>
        <w:t>万元，主要用于：</w:t>
      </w:r>
      <w:r>
        <w:t>本单位基本支出，包括基本工资、津贴补贴、基础绩效奖等人员经费以及机构运行所需的办公费、印刷费、维修（护）费、工会经费等运行补助经费。</w:t>
      </w:r>
    </w:p>
    <w:p w14:paraId="59A1FD27">
      <w:r>
        <w:t>2.</w:t>
      </w:r>
      <w:r>
        <w:rPr>
          <w:rFonts w:hint="eastAsia"/>
        </w:rPr>
        <w:t>社会保障和就业（类）行政事业单位养老支出（款）行政单位离退休（项）2024年预算数为</w:t>
      </w:r>
      <w:r>
        <w:t>46</w:t>
      </w:r>
      <w:r>
        <w:rPr>
          <w:rFonts w:hint="eastAsia"/>
        </w:rPr>
        <w:t>万元，主要用于：本单位离退休人员经费支出。</w:t>
      </w:r>
    </w:p>
    <w:p w14:paraId="08D65CAB">
      <w:pPr>
        <w:outlineLvl w:val="0"/>
        <w:rPr>
          <w:rFonts w:ascii="黑体" w:hAnsi="黑体" w:eastAsia="黑体" w:cs="黑体"/>
        </w:rPr>
      </w:pPr>
      <w:r>
        <w:rPr>
          <w:rFonts w:hint="eastAsia" w:ascii="黑体" w:hAnsi="黑体" w:eastAsia="黑体" w:cs="黑体"/>
        </w:rPr>
        <w:t>六、一般公共预算基本支出情况说明</w:t>
      </w:r>
    </w:p>
    <w:p w14:paraId="74546426">
      <w:r>
        <w:rPr>
          <w:rFonts w:hint="eastAsia"/>
        </w:rPr>
        <w:t>紫云小学2024年一般公共预算基本支出</w:t>
      </w:r>
      <w:r>
        <w:t>301.85</w:t>
      </w:r>
      <w:r>
        <w:rPr>
          <w:rFonts w:hint="eastAsia"/>
        </w:rPr>
        <w:t>万元，其中：</w:t>
      </w:r>
    </w:p>
    <w:p w14:paraId="53363BD3">
      <w:r>
        <w:rPr>
          <w:rFonts w:hint="eastAsia"/>
        </w:rPr>
        <w:t>人员经费</w:t>
      </w:r>
      <w:r>
        <w:t>301.85</w:t>
      </w:r>
      <w:r>
        <w:rPr>
          <w:rFonts w:hint="eastAsia"/>
        </w:rPr>
        <w:t>万元，主要包括：基本工资、津贴补贴、奖金、社会保险缴费、住房公积金等支出。</w:t>
      </w:r>
    </w:p>
    <w:p w14:paraId="457846EF">
      <w:pPr>
        <w:outlineLvl w:val="0"/>
        <w:rPr>
          <w:rFonts w:ascii="黑体" w:hAnsi="黑体" w:eastAsia="黑体" w:cs="黑体"/>
        </w:rPr>
      </w:pPr>
      <w:r>
        <w:rPr>
          <w:rFonts w:hint="eastAsia" w:ascii="黑体" w:hAnsi="黑体" w:eastAsia="黑体" w:cs="黑体"/>
        </w:rPr>
        <w:t>七、“三公”经费财政拨款预算安排情况说明</w:t>
      </w:r>
    </w:p>
    <w:p w14:paraId="023E7FF2">
      <w:r>
        <w:rPr>
          <w:rFonts w:hint="eastAsia"/>
        </w:rPr>
        <w:t>紫云小学2024年“三公”经费财政拨款预算数</w:t>
      </w:r>
      <w:r>
        <w:t>0</w:t>
      </w:r>
      <w:r>
        <w:rPr>
          <w:rFonts w:hint="eastAsia"/>
        </w:rPr>
        <w:t>万元。</w:t>
      </w:r>
    </w:p>
    <w:p w14:paraId="198BEA22">
      <w:r>
        <w:rPr>
          <w:rFonts w:hint="eastAsia"/>
        </w:rPr>
        <w:t>（一）公务接待费</w:t>
      </w:r>
    </w:p>
    <w:p w14:paraId="05A37191">
      <w:pPr>
        <w:rPr>
          <w:rFonts w:hint="eastAsia"/>
        </w:rPr>
      </w:pPr>
      <w:r>
        <w:rPr>
          <w:rFonts w:hint="eastAsia"/>
        </w:rPr>
        <w:t>公务接待费与2023年预算相比持平</w:t>
      </w:r>
      <w:r>
        <w:t>。</w:t>
      </w:r>
    </w:p>
    <w:p w14:paraId="02D865A8">
      <w:pPr>
        <w:pStyle w:val="15"/>
        <w:numPr>
          <w:ilvl w:val="0"/>
          <w:numId w:val="1"/>
        </w:numPr>
        <w:ind w:firstLineChars="0"/>
      </w:pPr>
      <w:r>
        <w:rPr>
          <w:rFonts w:hint="eastAsia"/>
        </w:rPr>
        <w:t>公务用车购置及运行维护费</w:t>
      </w:r>
    </w:p>
    <w:p w14:paraId="0DDAA7E9">
      <w:pPr>
        <w:rPr>
          <w:b/>
          <w:bCs/>
        </w:rPr>
      </w:pPr>
      <w:r>
        <w:rPr>
          <w:rFonts w:hint="eastAsia"/>
        </w:rPr>
        <w:t>公务用车购置及运行维护费与2023年预算相比持平。</w:t>
      </w:r>
    </w:p>
    <w:p w14:paraId="23737E89">
      <w:pPr>
        <w:rPr>
          <w:b/>
          <w:bCs/>
        </w:rPr>
      </w:pPr>
      <w:r>
        <w:rPr>
          <w:rFonts w:hint="eastAsia"/>
        </w:rPr>
        <w:t>单位现有公务用车</w:t>
      </w:r>
      <w:r>
        <w:t>0</w:t>
      </w:r>
      <w:r>
        <w:rPr>
          <w:rFonts w:hint="eastAsia"/>
        </w:rPr>
        <w:t>辆。</w:t>
      </w:r>
    </w:p>
    <w:p w14:paraId="7BE3D3AC">
      <w:r>
        <w:rPr>
          <w:rFonts w:hint="eastAsia"/>
        </w:rPr>
        <w:t>2024年未安排公务用车购置费。</w:t>
      </w:r>
    </w:p>
    <w:p w14:paraId="1A16A1CB">
      <w:r>
        <w:rPr>
          <w:rFonts w:hint="eastAsia"/>
        </w:rPr>
        <w:t>2024年安排公务用车运行维护费</w:t>
      </w:r>
      <w:r>
        <w:t>0</w:t>
      </w:r>
      <w:r>
        <w:rPr>
          <w:rFonts w:hint="eastAsia"/>
        </w:rPr>
        <w:t>万元。</w:t>
      </w:r>
    </w:p>
    <w:p w14:paraId="4D520803">
      <w:r>
        <w:rPr>
          <w:rFonts w:hint="eastAsia"/>
        </w:rPr>
        <w:t>（三）因公出国（境）经费</w:t>
      </w:r>
    </w:p>
    <w:p w14:paraId="6B76120E">
      <w:pPr>
        <w:rPr>
          <w:b/>
          <w:bCs/>
        </w:rPr>
      </w:pPr>
      <w:r>
        <w:rPr>
          <w:rFonts w:hint="eastAsia"/>
        </w:rPr>
        <w:t>因公出国（境）经费与202</w:t>
      </w:r>
      <w:r>
        <w:t>3</w:t>
      </w:r>
      <w:r>
        <w:rPr>
          <w:rFonts w:hint="eastAsia"/>
        </w:rPr>
        <w:t>年预算相比持平。</w:t>
      </w:r>
    </w:p>
    <w:p w14:paraId="6A6FE2BA">
      <w:pPr>
        <w:outlineLvl w:val="0"/>
        <w:rPr>
          <w:rFonts w:ascii="黑体" w:hAnsi="黑体" w:eastAsia="黑体" w:cs="黑体"/>
        </w:rPr>
      </w:pPr>
      <w:r>
        <w:rPr>
          <w:rFonts w:hint="eastAsia" w:ascii="黑体" w:hAnsi="黑体" w:eastAsia="黑体" w:cs="黑体"/>
        </w:rPr>
        <w:t>八、政府性基金预算支出情况说明</w:t>
      </w:r>
    </w:p>
    <w:p w14:paraId="06646FBF">
      <w:r>
        <w:rPr>
          <w:rFonts w:hint="eastAsia"/>
        </w:rPr>
        <w:t>紫云小学2024年无政府性基金预算拨款安排的支出。</w:t>
      </w:r>
    </w:p>
    <w:p w14:paraId="0E3FE5D3">
      <w:pPr>
        <w:outlineLvl w:val="0"/>
        <w:rPr>
          <w:rFonts w:ascii="黑体" w:hAnsi="黑体" w:eastAsia="黑体" w:cs="黑体"/>
        </w:rPr>
      </w:pPr>
      <w:r>
        <w:rPr>
          <w:rFonts w:hint="eastAsia" w:ascii="黑体" w:hAnsi="黑体" w:eastAsia="黑体" w:cs="黑体"/>
        </w:rPr>
        <w:t>九、国有资本经营预算支出情况说明</w:t>
      </w:r>
    </w:p>
    <w:p w14:paraId="2C658C17">
      <w:r>
        <w:rPr>
          <w:rFonts w:hint="eastAsia"/>
        </w:rPr>
        <w:t>紫云小学2024年无国有资本经营预算拨款安排的支出。</w:t>
      </w:r>
    </w:p>
    <w:p w14:paraId="6B4C6BBA">
      <w:pPr>
        <w:outlineLvl w:val="0"/>
        <w:rPr>
          <w:rFonts w:ascii="黑体" w:hAnsi="黑体" w:eastAsia="黑体" w:cs="黑体"/>
        </w:rPr>
      </w:pPr>
      <w:r>
        <w:rPr>
          <w:rFonts w:hint="eastAsia" w:ascii="黑体" w:hAnsi="黑体" w:eastAsia="黑体" w:cs="黑体"/>
        </w:rPr>
        <w:t>十、其他重要事项的情况说明</w:t>
      </w:r>
    </w:p>
    <w:p w14:paraId="01C36F4A">
      <w:r>
        <w:rPr>
          <w:rFonts w:hint="eastAsia"/>
        </w:rPr>
        <w:t>（一）机关运行经费</w:t>
      </w:r>
    </w:p>
    <w:p w14:paraId="19B26CAF">
      <w:r>
        <w:rPr>
          <w:rFonts w:hint="eastAsia"/>
        </w:rPr>
        <w:t>2024年，本单位属于公益</w:t>
      </w:r>
      <w:r>
        <w:t>一类事业单位无机关运行经费。</w:t>
      </w:r>
    </w:p>
    <w:p w14:paraId="4075E5EA">
      <w:r>
        <w:rPr>
          <w:rFonts w:hint="eastAsia"/>
        </w:rPr>
        <w:t>（二）政府采购情况</w:t>
      </w:r>
    </w:p>
    <w:p w14:paraId="0E28750E">
      <w:r>
        <w:rPr>
          <w:rFonts w:hint="eastAsia"/>
        </w:rPr>
        <w:t>2024年，紫云小学</w:t>
      </w:r>
      <w:r>
        <w:t>未</w:t>
      </w:r>
      <w:r>
        <w:rPr>
          <w:rFonts w:hint="eastAsia"/>
        </w:rPr>
        <w:t>安排政府采购预算。</w:t>
      </w:r>
    </w:p>
    <w:p w14:paraId="02B61295">
      <w:r>
        <w:rPr>
          <w:rFonts w:hint="eastAsia"/>
        </w:rPr>
        <w:t>（三）国有资产占有使用情况</w:t>
      </w:r>
    </w:p>
    <w:p w14:paraId="2A75C6CD">
      <w:r>
        <w:rPr>
          <w:rFonts w:hint="eastAsia"/>
        </w:rPr>
        <w:t>截至2023年底，紫云小学共有车辆</w:t>
      </w:r>
      <w:r>
        <w:t>0</w:t>
      </w:r>
      <w:r>
        <w:rPr>
          <w:rFonts w:hint="eastAsia"/>
        </w:rPr>
        <w:t>辆，单位无价值200万元以上大型设备。</w:t>
      </w:r>
    </w:p>
    <w:p w14:paraId="4EF13551">
      <w:r>
        <w:t>2</w:t>
      </w:r>
      <w:r>
        <w:rPr>
          <w:rFonts w:hint="eastAsia"/>
        </w:rPr>
        <w:t>024年部门预算未安排购置车辆及单位价值200万元以上大型设备。</w:t>
      </w:r>
    </w:p>
    <w:p w14:paraId="5C39E3E4">
      <w:r>
        <w:rPr>
          <w:rFonts w:hint="eastAsia"/>
        </w:rPr>
        <w:t>（四）绩效目标设置情况</w:t>
      </w:r>
    </w:p>
    <w:p w14:paraId="063C0912">
      <w:r>
        <w:rPr>
          <w:rFonts w:hint="eastAsia"/>
        </w:rPr>
        <w:t>2024年紫云小学开展绩效目标管理的项目</w:t>
      </w:r>
      <w:r>
        <w:t>2</w:t>
      </w:r>
      <w:r>
        <w:rPr>
          <w:rFonts w:hint="eastAsia"/>
        </w:rPr>
        <w:t>个，涉及预算</w:t>
      </w:r>
      <w:r>
        <w:t>14</w:t>
      </w:r>
      <w:r>
        <w:rPr>
          <w:rFonts w:hint="eastAsia"/>
        </w:rPr>
        <w:t>万元。其中：人员类项目</w:t>
      </w:r>
      <w:r>
        <w:t>0</w:t>
      </w:r>
      <w:r>
        <w:rPr>
          <w:rFonts w:hint="eastAsia"/>
        </w:rPr>
        <w:t xml:space="preserve">个，涉及预算 </w:t>
      </w:r>
      <w:r>
        <w:t>0</w:t>
      </w:r>
      <w:r>
        <w:rPr>
          <w:rFonts w:hint="eastAsia"/>
        </w:rPr>
        <w:t>万元；运转类项目</w:t>
      </w:r>
      <w:r>
        <w:t>2</w:t>
      </w:r>
      <w:r>
        <w:rPr>
          <w:rFonts w:hint="eastAsia"/>
        </w:rPr>
        <w:t>个，涉及预算</w:t>
      </w:r>
      <w:r>
        <w:t>14</w:t>
      </w:r>
      <w:r>
        <w:rPr>
          <w:rFonts w:hint="eastAsia"/>
        </w:rPr>
        <w:t>万元；特定目标类项目</w:t>
      </w:r>
      <w:r>
        <w:t>0</w:t>
      </w:r>
      <w:r>
        <w:rPr>
          <w:rFonts w:hint="eastAsia"/>
        </w:rPr>
        <w:t>个，涉及预算</w:t>
      </w:r>
      <w:r>
        <w:t>0</w:t>
      </w:r>
      <w:r>
        <w:rPr>
          <w:rFonts w:hint="eastAsia"/>
        </w:rPr>
        <w:t>万元。因部分项目内容涉密，不予公开。</w:t>
      </w:r>
    </w:p>
    <w:p w14:paraId="355523D0">
      <w:pPr>
        <w:outlineLvl w:val="0"/>
        <w:rPr>
          <w:rFonts w:ascii="黑体" w:hAnsi="黑体" w:eastAsia="黑体" w:cs="黑体"/>
        </w:rPr>
      </w:pPr>
      <w:r>
        <w:rPr>
          <w:rFonts w:hint="eastAsia" w:ascii="黑体" w:hAnsi="黑体" w:eastAsia="黑体" w:cs="黑体"/>
        </w:rPr>
        <w:t>十一、名词解释</w:t>
      </w:r>
    </w:p>
    <w:p w14:paraId="7D8D5D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（一）财政拨款收入:指财政当年安排的财政预算收入。按现行管理制度,部门预算中反映的财政拨款包括一般公共预算拨款和政府性基金预算拨款。</w:t>
      </w:r>
    </w:p>
    <w:p w14:paraId="79FA927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（二）事业收入：指事业单位开展专业业务活动及辅助活动所取得的收入。主要为学校根据国家有关部门批准的项目和标准收取的学费、住宿费等。 </w:t>
      </w:r>
    </w:p>
    <w:p w14:paraId="56337DA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（三）其他收入：指除上述“一般公共预算拨款收入” “事业收入”等以外的收入。如银行存款利息收入、社会考试服务收入、课时收入等。</w:t>
      </w:r>
    </w:p>
    <w:p w14:paraId="10DBB0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（四）上年结转：指以前年度尚未完成，结转到本年仍按原规定用途继续使用的资金。</w:t>
      </w:r>
    </w:p>
    <w:p w14:paraId="068ACCC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（五）教育支出（类）普通教育（款）学前教育（项）：指本单位学前教育发展的基本支出，包括基本工资、津贴补贴等人员经费以及办公费、印刷费、水电费等日常公用经费。</w:t>
      </w:r>
    </w:p>
    <w:p w14:paraId="7362EF2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（六）教育支出（类）普通教育（款）小学教育（项）：指本单位小学教育发展的基本支出，包括基本工资、津贴补贴等人员经费以及办公费、印刷费、水电费等日常公用经费。</w:t>
      </w:r>
    </w:p>
    <w:p w14:paraId="0F26E8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（七）社会保障和就业（类）行政事业单位养老支出（款）事业单位离退休（项）：指事业单位离退休人员的支出。</w:t>
      </w:r>
    </w:p>
    <w:p w14:paraId="395C43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（八）住房保障（类）住房改革支出（款）住房公积金（项）：指按照《住房公积金管理条例》的规定，由单位及其在职职工缴存的长期住房储金。</w:t>
      </w:r>
    </w:p>
    <w:p w14:paraId="2BBD950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（九）基本支出：指为保证机构正常运转，完成日常工作任务而发生的人员支出和公用支出。</w:t>
      </w:r>
    </w:p>
    <w:p w14:paraId="1548F4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（十）项目支出：指在基本支出之外为完成特定行政任务和事业发展目标所发生的支出。</w:t>
      </w:r>
    </w:p>
    <w:p w14:paraId="23B5B7A5">
      <w:pPr>
        <w:ind w:left="0" w:leftChars="0" w:firstLine="0" w:firstLineChars="0"/>
        <w:rPr>
          <w:rFonts w:hint="eastAsia"/>
          <w:lang w:val="en-US" w:eastAsia="zh-CN"/>
        </w:rPr>
      </w:pPr>
    </w:p>
    <w:p w14:paraId="7DF112F2">
      <w:r>
        <w:rPr>
          <w:rFonts w:hint="eastAsia"/>
        </w:rPr>
        <w:t>附件：1.预算公开表</w:t>
      </w:r>
    </w:p>
    <w:p w14:paraId="0A19C565">
      <w:pPr>
        <w:pStyle w:val="15"/>
        <w:numPr>
          <w:ilvl w:val="0"/>
          <w:numId w:val="2"/>
        </w:numPr>
        <w:ind w:firstLineChars="0"/>
      </w:pPr>
      <w:r>
        <w:rPr>
          <w:rFonts w:hint="eastAsia"/>
        </w:rPr>
        <w:t>项目支出绩效目标表</w:t>
      </w:r>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4" w:left="1587" w:header="720" w:footer="1559"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C4C1FB-B33D-486C-9A13-465ECBDBBB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D7F4F99-AF92-401B-9939-E0BA44886B05}"/>
  </w:font>
  <w:font w:name="仿宋_GB2312">
    <w:altName w:val="仿宋"/>
    <w:panose1 w:val="00000000000000000000"/>
    <w:charset w:val="86"/>
    <w:family w:val="auto"/>
    <w:pitch w:val="default"/>
    <w:sig w:usb0="00000000" w:usb1="00000000" w:usb2="00000000" w:usb3="00000000" w:csb0="00040000" w:csb1="00000000"/>
    <w:embedRegular r:id="rId3" w:fontKey="{BE7098E4-F93E-4C68-B2F6-062FB8B61655}"/>
  </w:font>
  <w:font w:name="Cambria">
    <w:panose1 w:val="02040503050406030204"/>
    <w:charset w:val="00"/>
    <w:family w:val="roman"/>
    <w:pitch w:val="default"/>
    <w:sig w:usb0="E00006FF" w:usb1="420024FF" w:usb2="02000000" w:usb3="00000000" w:csb0="2000019F" w:csb1="00000000"/>
  </w:font>
  <w:font w:name="Liberation Sans">
    <w:altName w:val="Segoe Print"/>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4" w:fontKey="{A8E43AE8-D246-48BE-8A83-805817646587}"/>
  </w:font>
  <w:font w:name="仿宋">
    <w:panose1 w:val="02010609060101010101"/>
    <w:charset w:val="86"/>
    <w:family w:val="modern"/>
    <w:pitch w:val="default"/>
    <w:sig w:usb0="800002BF" w:usb1="38CF7CFA" w:usb2="00000016" w:usb3="00000000" w:csb0="00040001" w:csb1="00000000"/>
    <w:embedRegular r:id="rId5" w:fontKey="{68CBE475-5885-43E9-903D-89AC4EDB0880}"/>
  </w:font>
  <w:font w:name="楷体_GB2312">
    <w:panose1 w:val="02010609030101010101"/>
    <w:charset w:val="86"/>
    <w:family w:val="auto"/>
    <w:pitch w:val="default"/>
    <w:sig w:usb0="00000001" w:usb1="080E0000" w:usb2="00000000" w:usb3="00000000" w:csb0="00040000" w:csb1="00000000"/>
    <w:embedRegular r:id="rId6" w:fontKey="{6DE270E8-4E6F-449B-A09B-550E1900F32B}"/>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6CF87">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3848E3">
                          <w:pPr>
                            <w:pStyle w:val="6"/>
                            <w:ind w:firstLine="36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E3848E3">
                    <w:pPr>
                      <w:pStyle w:val="6"/>
                      <w:ind w:firstLine="360"/>
                    </w:pP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1AD2C">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0951A">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DAA63">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D7EE8">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C885C">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6E233"/>
    <w:multiLevelType w:val="singleLevel"/>
    <w:tmpl w:val="3516E233"/>
    <w:lvl w:ilvl="0" w:tentative="0">
      <w:start w:val="2"/>
      <w:numFmt w:val="decimal"/>
      <w:lvlText w:val="%1."/>
      <w:lvlJc w:val="left"/>
      <w:pPr>
        <w:tabs>
          <w:tab w:val="left" w:pos="312"/>
        </w:tabs>
        <w:ind w:left="1600" w:firstLine="0"/>
      </w:p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hYTg4NGNkZWJkODFjNzcyZDRjM2M4Y2UzNjI5ZmUifQ=="/>
    <w:docVar w:name="KSO_WPS_MARK_KEY" w:val="109f4393-949a-4472-a292-67e965402258"/>
  </w:docVars>
  <w:rsids>
    <w:rsidRoot w:val="00E3456C"/>
    <w:rsid w:val="0009389A"/>
    <w:rsid w:val="001A2999"/>
    <w:rsid w:val="00516C28"/>
    <w:rsid w:val="006543E8"/>
    <w:rsid w:val="00B76DB8"/>
    <w:rsid w:val="00C85651"/>
    <w:rsid w:val="00E3456C"/>
    <w:rsid w:val="00E70D44"/>
    <w:rsid w:val="00ED7E20"/>
    <w:rsid w:val="00F82AA2"/>
    <w:rsid w:val="012352D1"/>
    <w:rsid w:val="0F907C0A"/>
    <w:rsid w:val="153A5315"/>
    <w:rsid w:val="1F7BF06F"/>
    <w:rsid w:val="1FEE4B73"/>
    <w:rsid w:val="23CE9849"/>
    <w:rsid w:val="2CA16123"/>
    <w:rsid w:val="39F304DD"/>
    <w:rsid w:val="414A1DD1"/>
    <w:rsid w:val="54244390"/>
    <w:rsid w:val="54662A63"/>
    <w:rsid w:val="58064E12"/>
    <w:rsid w:val="5BFEE015"/>
    <w:rsid w:val="63EDCF55"/>
    <w:rsid w:val="63FBFBCF"/>
    <w:rsid w:val="669360FD"/>
    <w:rsid w:val="68FF6A83"/>
    <w:rsid w:val="6AAE1F64"/>
    <w:rsid w:val="6FBBC9CF"/>
    <w:rsid w:val="72BDE561"/>
    <w:rsid w:val="7718792D"/>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uppressAutoHyphens/>
      <w:spacing w:line="576" w:lineRule="exact"/>
      <w:ind w:firstLine="640" w:firstLineChars="200"/>
      <w:jc w:val="both"/>
    </w:pPr>
    <w:rPr>
      <w:rFonts w:ascii="仿宋_GB2312" w:hAnsi="仿宋_GB2312" w:eastAsia="仿宋_GB2312" w:cs="仿宋_GB2312"/>
      <w:kern w:val="2"/>
      <w:sz w:val="32"/>
      <w:szCs w:val="32"/>
      <w:lang w:val="en-US" w:eastAsia="zh-CN" w:bidi="ar-SA"/>
    </w:rPr>
  </w:style>
  <w:style w:type="paragraph" w:styleId="3">
    <w:name w:val="heading 1"/>
    <w:basedOn w:val="1"/>
    <w:next w:val="1"/>
    <w:link w:val="16"/>
    <w:autoRedefine/>
    <w:qFormat/>
    <w:uiPriority w:val="0"/>
    <w:pPr>
      <w:keepNext/>
      <w:keepLines/>
      <w:spacing w:before="340" w:after="330" w:line="578" w:lineRule="atLeast"/>
      <w:outlineLvl w:val="0"/>
    </w:pPr>
    <w:rPr>
      <w:b/>
      <w:bCs/>
      <w:kern w:val="44"/>
      <w:sz w:val="44"/>
      <w:szCs w:val="44"/>
    </w:rPr>
  </w:style>
  <w:style w:type="paragraph" w:styleId="2">
    <w:name w:val="heading 2"/>
    <w:basedOn w:val="1"/>
    <w:next w:val="1"/>
    <w:autoRedefine/>
    <w:qFormat/>
    <w:uiPriority w:val="0"/>
    <w:pPr>
      <w:keepNext/>
      <w:keepLines/>
      <w:spacing w:before="260" w:after="260" w:line="416" w:lineRule="auto"/>
      <w:outlineLvl w:val="1"/>
    </w:pPr>
    <w:rPr>
      <w:rFonts w:ascii="Cambria" w:hAnsi="Cambria" w:cs="Cambria"/>
      <w:b/>
      <w:bCs/>
      <w:sz w:val="32"/>
      <w:szCs w:val="32"/>
    </w:rPr>
  </w:style>
  <w:style w:type="character" w:default="1" w:styleId="11">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caption"/>
    <w:basedOn w:val="1"/>
    <w:next w:val="1"/>
    <w:autoRedefine/>
    <w:qFormat/>
    <w:uiPriority w:val="0"/>
    <w:pPr>
      <w:suppressLineNumbers/>
      <w:spacing w:before="120" w:after="120"/>
    </w:pPr>
    <w:rPr>
      <w:i/>
      <w:iCs/>
      <w:sz w:val="24"/>
      <w:szCs w:val="24"/>
    </w:rPr>
  </w:style>
  <w:style w:type="paragraph" w:styleId="5">
    <w:name w:val="Body Text"/>
    <w:basedOn w:val="1"/>
    <w:autoRedefine/>
    <w:qFormat/>
    <w:uiPriority w:val="0"/>
    <w:pPr>
      <w:spacing w:after="140" w:line="276" w:lineRule="auto"/>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8">
    <w:name w:val="List"/>
    <w:basedOn w:val="5"/>
    <w:autoRedefine/>
    <w:qFormat/>
    <w:uiPriority w:val="0"/>
  </w:style>
  <w:style w:type="paragraph" w:styleId="9">
    <w:name w:val="Normal (Web)"/>
    <w:basedOn w:val="1"/>
    <w:autoRedefine/>
    <w:qFormat/>
    <w:uiPriority w:val="0"/>
    <w:rPr>
      <w:sz w:val="24"/>
    </w:rPr>
  </w:style>
  <w:style w:type="character" w:customStyle="1" w:styleId="12">
    <w:name w:val="默认段落字体1"/>
    <w:autoRedefine/>
    <w:qFormat/>
    <w:uiPriority w:val="0"/>
  </w:style>
  <w:style w:type="paragraph" w:customStyle="1" w:styleId="13">
    <w:name w:val="Heading"/>
    <w:basedOn w:val="1"/>
    <w:next w:val="5"/>
    <w:autoRedefine/>
    <w:qFormat/>
    <w:uiPriority w:val="0"/>
    <w:pPr>
      <w:keepNext/>
      <w:spacing w:before="240" w:after="120"/>
    </w:pPr>
    <w:rPr>
      <w:rFonts w:ascii="Liberation Sans" w:hAnsi="Liberation Sans" w:eastAsia="Noto Sans CJK SC Regular" w:cs="Noto Sans CJK SC Regular"/>
      <w:sz w:val="28"/>
      <w:szCs w:val="28"/>
    </w:rPr>
  </w:style>
  <w:style w:type="paragraph" w:customStyle="1" w:styleId="14">
    <w:name w:val="Index"/>
    <w:basedOn w:val="1"/>
    <w:qFormat/>
    <w:uiPriority w:val="0"/>
    <w:pPr>
      <w:suppressLineNumbers/>
    </w:pPr>
  </w:style>
  <w:style w:type="paragraph" w:styleId="15">
    <w:name w:val="List Paragraph"/>
    <w:basedOn w:val="1"/>
    <w:qFormat/>
    <w:uiPriority w:val="99"/>
    <w:pPr>
      <w:ind w:firstLine="420"/>
    </w:pPr>
  </w:style>
  <w:style w:type="character" w:customStyle="1" w:styleId="16">
    <w:name w:val="标题 1 Char"/>
    <w:basedOn w:val="11"/>
    <w:link w:val="3"/>
    <w:autoRedefine/>
    <w:qFormat/>
    <w:uiPriority w:val="0"/>
    <w:rPr>
      <w:rFonts w:ascii="仿宋_GB2312" w:hAnsi="仿宋_GB2312" w:eastAsia="仿宋_GB2312" w:cs="仿宋_GB2312"/>
      <w:b/>
      <w:bCs/>
      <w:kern w:val="44"/>
      <w:sz w:val="44"/>
      <w:szCs w:val="44"/>
    </w:rPr>
  </w:style>
  <w:style w:type="paragraph" w:customStyle="1" w:styleId="17">
    <w:name w:val="TOC Heading"/>
    <w:basedOn w:val="3"/>
    <w:next w:val="1"/>
    <w:unhideWhenUsed/>
    <w:qFormat/>
    <w:uiPriority w:val="39"/>
    <w:pPr>
      <w:widowControl/>
      <w:suppressAutoHyphens w:val="0"/>
      <w:spacing w:before="240" w:after="0" w:line="259" w:lineRule="auto"/>
      <w:ind w:firstLine="0" w:firstLineChars="0"/>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5E2E6B-B088-4911-BD66-1E16572F3F4B}">
  <ds:schemaRefs/>
</ds:datastoreItem>
</file>

<file path=docProps/app.xml><?xml version="1.0" encoding="utf-8"?>
<Properties xmlns="http://schemas.openxmlformats.org/officeDocument/2006/extended-properties" xmlns:vt="http://schemas.openxmlformats.org/officeDocument/2006/docPropsVTypes">
  <Template>Normal</Template>
  <Pages>14</Pages>
  <Words>5884</Words>
  <Characters>6117</Characters>
  <Lines>58</Lines>
  <Paragraphs>16</Paragraphs>
  <TotalTime>8</TotalTime>
  <ScaleCrop>false</ScaleCrop>
  <LinksUpToDate>false</LinksUpToDate>
  <CharactersWithSpaces>6197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2024-03-27T03:21:00Z</dcterms:created>
  <dc:creator>admin</dc:creator>
  <cp:lastModifiedBy>昭化融媒体</cp:lastModifiedBy>
  <dcterms:modified xsi:type="dcterms:W3CDTF">2024-06-19T00:59:34Z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8A182A9159864CA7A8FF7032737F40B9_13</vt:lpwstr>
  </property>
</Properties>
</file>