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广元市昭化区元坝镇柳桥小学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仿宋_GB2312" w:hAnsi="Times New Roman" w:eastAsia="仿宋_GB2312" w:cs="仿宋_GB2312"/>
          <w:b/>
          <w:bCs/>
          <w:i w:val="0"/>
          <w:caps w:val="0"/>
          <w:color w:val="333333"/>
          <w:spacing w:val="0"/>
          <w:kern w:val="0"/>
          <w:sz w:val="44"/>
          <w:szCs w:val="44"/>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44"/>
          <w:szCs w:val="44"/>
          <w:shd w:val="clear" w:color="auto" w:fill="FFFFFF"/>
          <w:lang w:val="en-US" w:eastAsia="zh-CN" w:bidi="ar"/>
        </w:rPr>
        <w:t>目   录</w:t>
      </w:r>
    </w:p>
    <w:sdt>
      <w:sdtPr>
        <w:rPr>
          <w:rFonts w:ascii="宋体" w:hAnsi="宋体" w:eastAsia="宋体" w:cs="Times New Roman"/>
          <w:color w:val="auto"/>
          <w:kern w:val="2"/>
          <w:sz w:val="21"/>
          <w:szCs w:val="24"/>
          <w:lang w:val="en-US" w:eastAsia="zh-CN" w:bidi="ar-SA"/>
        </w:rPr>
        <w:id w:val="147481414"/>
        <w15:color w:val="DBDBDB"/>
        <w:docPartObj>
          <w:docPartGallery w:val="Table of Contents"/>
          <w:docPartUnique/>
        </w:docPartObj>
      </w:sdtPr>
      <w:sdtEndPr>
        <w:rPr>
          <w:rFonts w:hint="eastAsia" w:ascii="仿宋" w:hAnsi="仿宋" w:eastAsia="仿宋" w:cs="仿宋"/>
          <w:b/>
          <w:bCs/>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bookmarkStart w:id="0" w:name="_Toc10231_WPSOffice_Type2"/>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_Toc8584_WPSOffice_Level1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f5adb43d-3c43-41d7-8c5f-38ca33419848}"/>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一、基本职能及主要工作</w:t>
              </w:r>
            </w:sdtContent>
          </w:sdt>
          <w:r>
            <w:rPr>
              <w:rFonts w:hint="eastAsia" w:ascii="仿宋" w:hAnsi="仿宋" w:eastAsia="仿宋" w:cs="仿宋"/>
              <w:b/>
              <w:bCs/>
              <w:sz w:val="32"/>
              <w:szCs w:val="32"/>
            </w:rPr>
            <w:tab/>
          </w:r>
          <w:r>
            <w:rPr>
              <w:rFonts w:hint="eastAsia" w:ascii="仿宋" w:hAnsi="仿宋" w:eastAsia="仿宋" w:cs="仿宋"/>
              <w:b/>
              <w:bCs/>
              <w:sz w:val="32"/>
              <w:szCs w:val="32"/>
              <w:lang w:val="en-US" w:eastAsia="zh-CN"/>
            </w:rPr>
            <w:t>3</w:t>
          </w:r>
          <w:r>
            <w:rPr>
              <w:rFonts w:hint="eastAsia" w:ascii="仿宋" w:hAnsi="仿宋" w:eastAsia="仿宋" w:cs="仿宋"/>
              <w:b/>
              <w:bCs/>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_Toc10231_WPSOffice_Level2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e9af0707-22a8-488b-a63f-5ed62b2b6484}"/>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（一）单位职能简介</w:t>
              </w:r>
            </w:sdtContent>
          </w:sdt>
          <w:r>
            <w:rPr>
              <w:rFonts w:hint="eastAsia" w:ascii="仿宋" w:hAnsi="仿宋" w:eastAsia="仿宋" w:cs="仿宋"/>
              <w:sz w:val="32"/>
              <w:szCs w:val="32"/>
            </w:rPr>
            <w:tab/>
          </w:r>
          <w:r>
            <w:rPr>
              <w:rFonts w:hint="eastAsia" w:ascii="仿宋" w:hAnsi="仿宋" w:eastAsia="仿宋" w:cs="仿宋"/>
              <w:sz w:val="32"/>
              <w:szCs w:val="32"/>
              <w:lang w:val="en-US" w:eastAsia="zh-CN"/>
            </w:rPr>
            <w:t>3</w:t>
          </w:r>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_Toc20685_WPSOffice_Level2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cbafc33b-3c60-412c-9ebb-5e4ff9fba05b}"/>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（二）2024年重点工作</w:t>
              </w:r>
            </w:sdtContent>
          </w:sdt>
          <w:r>
            <w:rPr>
              <w:rFonts w:hint="eastAsia" w:ascii="仿宋" w:hAnsi="仿宋" w:eastAsia="仿宋" w:cs="仿宋"/>
              <w:sz w:val="32"/>
              <w:szCs w:val="32"/>
            </w:rPr>
            <w:tab/>
          </w:r>
          <w:r>
            <w:rPr>
              <w:rFonts w:hint="eastAsia" w:ascii="仿宋" w:hAnsi="仿宋" w:eastAsia="仿宋" w:cs="仿宋"/>
              <w:sz w:val="32"/>
              <w:szCs w:val="32"/>
              <w:lang w:val="en-US" w:eastAsia="zh-CN"/>
            </w:rPr>
            <w:t>4</w:t>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_Toc10231_WPSOffice_Level1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c3ac7a8b-1165-4734-ab99-39874e6ded37}"/>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二、预算单位构成</w:t>
              </w:r>
            </w:sdtContent>
          </w:sdt>
          <w:r>
            <w:rPr>
              <w:rFonts w:hint="eastAsia" w:ascii="仿宋" w:hAnsi="仿宋" w:eastAsia="仿宋" w:cs="仿宋"/>
              <w:b/>
              <w:bCs/>
              <w:sz w:val="32"/>
              <w:szCs w:val="32"/>
            </w:rPr>
            <w:tab/>
          </w:r>
          <w:bookmarkStart w:id="1" w:name="_Toc10231_WPSOffice_Level1Page"/>
          <w:r>
            <w:rPr>
              <w:rFonts w:hint="eastAsia" w:ascii="仿宋" w:hAnsi="仿宋" w:eastAsia="仿宋" w:cs="仿宋"/>
              <w:b/>
              <w:bCs/>
              <w:sz w:val="32"/>
              <w:szCs w:val="32"/>
            </w:rPr>
            <w:t>6</w:t>
          </w:r>
          <w:bookmarkEnd w:id="1"/>
          <w:r>
            <w:rPr>
              <w:rFonts w:hint="eastAsia" w:ascii="仿宋" w:hAnsi="仿宋" w:eastAsia="仿宋" w:cs="仿宋"/>
              <w:b/>
              <w:bCs/>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_Toc20685_WPSOffice_Level1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e0dff21b-7bf6-4593-a942-7d658b7bd98b}"/>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三、 收支预算情况说明</w:t>
              </w:r>
            </w:sdtContent>
          </w:sdt>
          <w:r>
            <w:rPr>
              <w:rFonts w:hint="eastAsia" w:ascii="仿宋" w:hAnsi="仿宋" w:eastAsia="仿宋" w:cs="仿宋"/>
              <w:b/>
              <w:bCs/>
              <w:sz w:val="32"/>
              <w:szCs w:val="32"/>
            </w:rPr>
            <w:tab/>
          </w:r>
          <w:bookmarkStart w:id="2" w:name="_Toc20685_WPSOffice_Level1Page"/>
          <w:r>
            <w:rPr>
              <w:rFonts w:hint="eastAsia" w:ascii="仿宋" w:hAnsi="仿宋" w:eastAsia="仿宋" w:cs="仿宋"/>
              <w:b/>
              <w:bCs/>
              <w:sz w:val="32"/>
              <w:szCs w:val="32"/>
            </w:rPr>
            <w:t>6</w:t>
          </w:r>
          <w:bookmarkEnd w:id="2"/>
          <w:r>
            <w:rPr>
              <w:rFonts w:hint="eastAsia" w:ascii="仿宋" w:hAnsi="仿宋" w:eastAsia="仿宋" w:cs="仿宋"/>
              <w:b/>
              <w:bCs/>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_Toc11398_WPSOffice_Level2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e4e43d9a-173e-48a0-b790-777d5646d90d}"/>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（一） 收入预算情况</w:t>
              </w:r>
            </w:sdtContent>
          </w:sdt>
          <w:r>
            <w:rPr>
              <w:rFonts w:hint="eastAsia" w:ascii="仿宋" w:hAnsi="仿宋" w:eastAsia="仿宋" w:cs="仿宋"/>
              <w:sz w:val="32"/>
              <w:szCs w:val="32"/>
            </w:rPr>
            <w:tab/>
          </w:r>
          <w:r>
            <w:rPr>
              <w:rFonts w:hint="eastAsia" w:ascii="仿宋" w:hAnsi="仿宋" w:eastAsia="仿宋" w:cs="仿宋"/>
              <w:sz w:val="32"/>
              <w:szCs w:val="32"/>
              <w:lang w:val="en-US" w:eastAsia="zh-CN"/>
            </w:rPr>
            <w:t>7</w:t>
          </w:r>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_Toc6362_WPSOffice_Level2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7cf40927-c7cd-476a-ae19-dda9319f0c16}"/>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（二） 支出预算情况</w:t>
              </w:r>
            </w:sdtContent>
          </w:sdt>
          <w:r>
            <w:rPr>
              <w:rFonts w:hint="eastAsia" w:ascii="仿宋" w:hAnsi="仿宋" w:eastAsia="仿宋" w:cs="仿宋"/>
              <w:sz w:val="32"/>
              <w:szCs w:val="32"/>
            </w:rPr>
            <w:tab/>
          </w:r>
          <w:r>
            <w:rPr>
              <w:rFonts w:hint="eastAsia" w:ascii="仿宋" w:hAnsi="仿宋" w:eastAsia="仿宋" w:cs="仿宋"/>
              <w:sz w:val="32"/>
              <w:szCs w:val="32"/>
              <w:lang w:val="en-US" w:eastAsia="zh-CN"/>
            </w:rPr>
            <w:t>7</w:t>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_Toc11398_WPSOffice_Level1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51cbfa71-964b-45f1-8ace-5584bd50b913}"/>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四、财政拨款收支预算情况说明</w:t>
              </w:r>
            </w:sdtContent>
          </w:sdt>
          <w:r>
            <w:rPr>
              <w:rFonts w:hint="eastAsia" w:ascii="仿宋" w:hAnsi="仿宋" w:eastAsia="仿宋" w:cs="仿宋"/>
              <w:b/>
              <w:bCs/>
              <w:sz w:val="32"/>
              <w:szCs w:val="32"/>
            </w:rPr>
            <w:tab/>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_Toc6362_WPSOffice_Level1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5b0082db-fa6b-44b9-9c2b-9f542301e75c}"/>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五、一般公共预算当年拨款情况说明</w:t>
              </w:r>
            </w:sdtContent>
          </w:sdt>
          <w:r>
            <w:rPr>
              <w:rFonts w:hint="eastAsia" w:ascii="仿宋" w:hAnsi="仿宋" w:eastAsia="仿宋" w:cs="仿宋"/>
              <w:b/>
              <w:bCs/>
              <w:sz w:val="32"/>
              <w:szCs w:val="32"/>
            </w:rPr>
            <w:tab/>
          </w:r>
          <w:bookmarkStart w:id="3" w:name="_Toc6362_WPSOffice_Level1Page"/>
          <w:r>
            <w:rPr>
              <w:rFonts w:hint="eastAsia" w:ascii="仿宋" w:hAnsi="仿宋" w:eastAsia="仿宋" w:cs="仿宋"/>
              <w:b/>
              <w:bCs/>
              <w:sz w:val="32"/>
              <w:szCs w:val="32"/>
            </w:rPr>
            <w:t>7</w:t>
          </w:r>
          <w:bookmarkEnd w:id="3"/>
          <w:r>
            <w:rPr>
              <w:rFonts w:hint="eastAsia" w:ascii="仿宋" w:hAnsi="仿宋" w:eastAsia="仿宋" w:cs="仿宋"/>
              <w:b/>
              <w:bCs/>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_Toc3792_WPSOffice_Level2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9cb90cd7-7dcd-4b85-bee7-f7916a3972ac}"/>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（一）一般公共预算当年拨款规模变化情况</w:t>
              </w:r>
            </w:sdtContent>
          </w:sdt>
          <w:r>
            <w:rPr>
              <w:rFonts w:hint="eastAsia" w:ascii="仿宋" w:hAnsi="仿宋" w:eastAsia="仿宋" w:cs="仿宋"/>
              <w:sz w:val="32"/>
              <w:szCs w:val="32"/>
            </w:rPr>
            <w:tab/>
          </w:r>
          <w:bookmarkStart w:id="4" w:name="_Toc3792_WPSOffice_Level2Page"/>
          <w:r>
            <w:rPr>
              <w:rFonts w:hint="eastAsia" w:ascii="仿宋" w:hAnsi="仿宋" w:eastAsia="仿宋" w:cs="仿宋"/>
              <w:sz w:val="32"/>
              <w:szCs w:val="32"/>
            </w:rPr>
            <w:t>7</w:t>
          </w:r>
          <w:bookmarkEnd w:id="4"/>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_Toc4043_WPSOffice_Level2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b4ecbdd2-f400-4531-b75d-ff4ef4b7717b}"/>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（二）一般公共预算当年拨款结构情况</w:t>
              </w:r>
            </w:sdtContent>
          </w:sdt>
          <w:r>
            <w:rPr>
              <w:rFonts w:hint="eastAsia" w:ascii="仿宋" w:hAnsi="仿宋" w:eastAsia="仿宋" w:cs="仿宋"/>
              <w:sz w:val="32"/>
              <w:szCs w:val="32"/>
            </w:rPr>
            <w:tab/>
          </w:r>
          <w:r>
            <w:rPr>
              <w:rFonts w:hint="eastAsia" w:ascii="仿宋" w:hAnsi="仿宋" w:eastAsia="仿宋" w:cs="仿宋"/>
              <w:sz w:val="32"/>
              <w:szCs w:val="32"/>
              <w:lang w:val="en-US" w:eastAsia="zh-CN"/>
            </w:rPr>
            <w:t>8</w:t>
          </w:r>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_Toc26932_WPSOffice_Level2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928e95a4-e4ad-4c4e-a82d-ab2bfd68b488}"/>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（三） 一般公共预算当年拨款具体使用情况</w:t>
              </w:r>
            </w:sdtContent>
          </w:sdt>
          <w:r>
            <w:rPr>
              <w:rFonts w:hint="eastAsia" w:ascii="仿宋" w:hAnsi="仿宋" w:eastAsia="仿宋" w:cs="仿宋"/>
              <w:sz w:val="32"/>
              <w:szCs w:val="32"/>
            </w:rPr>
            <w:tab/>
          </w:r>
          <w:r>
            <w:rPr>
              <w:rFonts w:hint="eastAsia" w:ascii="仿宋" w:hAnsi="仿宋" w:eastAsia="仿宋" w:cs="仿宋"/>
              <w:sz w:val="32"/>
              <w:szCs w:val="32"/>
              <w:lang w:val="en-US" w:eastAsia="zh-CN"/>
            </w:rPr>
            <w:t>8</w:t>
          </w:r>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_Toc3792_WPSOffice_Level1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d3017502-ea4c-4a71-b00a-563d95dba706}"/>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六、一般公共预算基本支出情况说明</w:t>
              </w:r>
            </w:sdtContent>
          </w:sdt>
          <w:r>
            <w:rPr>
              <w:rFonts w:hint="eastAsia" w:ascii="仿宋" w:hAnsi="仿宋" w:eastAsia="仿宋" w:cs="仿宋"/>
              <w:b/>
              <w:bCs/>
              <w:sz w:val="32"/>
              <w:szCs w:val="32"/>
            </w:rPr>
            <w:tab/>
          </w:r>
          <w:bookmarkStart w:id="5" w:name="_Toc3792_WPSOffice_Level1Page"/>
          <w:r>
            <w:rPr>
              <w:rFonts w:hint="eastAsia" w:ascii="仿宋" w:hAnsi="仿宋" w:eastAsia="仿宋" w:cs="仿宋"/>
              <w:b/>
              <w:bCs/>
              <w:sz w:val="32"/>
              <w:szCs w:val="32"/>
            </w:rPr>
            <w:t>8</w:t>
          </w:r>
          <w:bookmarkEnd w:id="5"/>
          <w:r>
            <w:rPr>
              <w:rFonts w:hint="eastAsia" w:ascii="仿宋" w:hAnsi="仿宋" w:eastAsia="仿宋" w:cs="仿宋"/>
              <w:b/>
              <w:bCs/>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_Toc4043_WPSOffice_Level1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c25121c6-32ae-4dc1-a88b-1266c9aecf21}"/>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七、 “三公”经费财政拨款预算安排情况说明</w:t>
              </w:r>
            </w:sdtContent>
          </w:sdt>
          <w:r>
            <w:rPr>
              <w:rFonts w:hint="eastAsia" w:ascii="仿宋" w:hAnsi="仿宋" w:eastAsia="仿宋" w:cs="仿宋"/>
              <w:b/>
              <w:bCs/>
              <w:sz w:val="32"/>
              <w:szCs w:val="32"/>
            </w:rPr>
            <w:tab/>
          </w:r>
          <w:bookmarkStart w:id="6" w:name="_Toc4043_WPSOffice_Level1Page"/>
          <w:r>
            <w:rPr>
              <w:rFonts w:hint="eastAsia" w:ascii="仿宋" w:hAnsi="仿宋" w:eastAsia="仿宋" w:cs="仿宋"/>
              <w:b/>
              <w:bCs/>
              <w:sz w:val="32"/>
              <w:szCs w:val="32"/>
            </w:rPr>
            <w:t>8</w:t>
          </w:r>
          <w:bookmarkEnd w:id="6"/>
          <w:r>
            <w:rPr>
              <w:rFonts w:hint="eastAsia" w:ascii="仿宋" w:hAnsi="仿宋" w:eastAsia="仿宋" w:cs="仿宋"/>
              <w:b/>
              <w:bCs/>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_Toc31003_WPSOffice_Level2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a6f2ab50-e4cc-4d43-aff7-0ee758280d56}"/>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（一） 公务接待费</w:t>
              </w:r>
            </w:sdtContent>
          </w:sdt>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_Toc8565_WPSOffice_Level2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e6f76962-e981-4d65-84ea-86187b688ee7}"/>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（二） 公务用车购置及运行维护费</w:t>
              </w:r>
            </w:sdtContent>
          </w:sdt>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_Toc23274_WPSOffice_Level2 </w:instrText>
          </w:r>
          <w:r>
            <w:rPr>
              <w:rFonts w:hint="eastAsia" w:ascii="仿宋" w:hAnsi="仿宋" w:eastAsia="仿宋" w:cs="仿宋"/>
              <w:sz w:val="32"/>
              <w:szCs w:val="32"/>
            </w:rPr>
            <w:fldChar w:fldCharType="separate"/>
          </w:r>
          <w:sdt>
            <w:sdtPr>
              <w:rPr>
                <w:rFonts w:hint="eastAsia" w:ascii="仿宋" w:hAnsi="仿宋" w:eastAsia="仿宋" w:cs="仿宋"/>
                <w:color w:val="auto"/>
                <w:kern w:val="2"/>
                <w:sz w:val="32"/>
                <w:szCs w:val="32"/>
                <w:lang w:val="en-US" w:eastAsia="zh-CN" w:bidi="ar-SA"/>
              </w:rPr>
              <w:id w:val="147481414"/>
              <w:placeholder>
                <w:docPart w:val="{c9958210-dd72-42ab-9e9a-cbb4467504ae}"/>
              </w:placeholder>
              <w15:color w:val="509DF3"/>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sz w:val="32"/>
                  <w:szCs w:val="32"/>
                </w:rPr>
                <w:t>（三） 因公出国（境）经费</w:t>
              </w:r>
            </w:sdtContent>
          </w:sdt>
          <w:r>
            <w:rPr>
              <w:rFonts w:hint="eastAsia" w:ascii="仿宋" w:hAnsi="仿宋" w:eastAsia="仿宋" w:cs="仿宋"/>
              <w:sz w:val="32"/>
              <w:szCs w:val="32"/>
            </w:rPr>
            <w:tab/>
          </w:r>
          <w:bookmarkStart w:id="7" w:name="_Toc23274_WPSOffice_Level2Page"/>
          <w:r>
            <w:rPr>
              <w:rFonts w:hint="eastAsia" w:ascii="仿宋" w:hAnsi="仿宋" w:eastAsia="仿宋" w:cs="仿宋"/>
              <w:sz w:val="32"/>
              <w:szCs w:val="32"/>
            </w:rPr>
            <w:t>9</w:t>
          </w:r>
          <w:bookmarkEnd w:id="7"/>
          <w:r>
            <w:rPr>
              <w:rFonts w:hint="eastAsia" w:ascii="仿宋" w:hAnsi="仿宋" w:eastAsia="仿宋" w:cs="仿宋"/>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_Toc26932_WPSOffice_Level1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11b32f67-d416-4107-9e17-70d4cbdc4bfd}"/>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八、政府性基金预算支出情况说明</w:t>
              </w:r>
            </w:sdtContent>
          </w:sdt>
          <w:r>
            <w:rPr>
              <w:rFonts w:hint="eastAsia" w:ascii="仿宋" w:hAnsi="仿宋" w:eastAsia="仿宋" w:cs="仿宋"/>
              <w:b/>
              <w:bCs/>
              <w:sz w:val="32"/>
              <w:szCs w:val="32"/>
            </w:rPr>
            <w:tab/>
          </w:r>
          <w:bookmarkStart w:id="8" w:name="_Toc26932_WPSOffice_Level1Page"/>
          <w:r>
            <w:rPr>
              <w:rFonts w:hint="eastAsia" w:ascii="仿宋" w:hAnsi="仿宋" w:eastAsia="仿宋" w:cs="仿宋"/>
              <w:b/>
              <w:bCs/>
              <w:sz w:val="32"/>
              <w:szCs w:val="32"/>
            </w:rPr>
            <w:t>9</w:t>
          </w:r>
          <w:bookmarkEnd w:id="8"/>
          <w:r>
            <w:rPr>
              <w:rFonts w:hint="eastAsia" w:ascii="仿宋" w:hAnsi="仿宋" w:eastAsia="仿宋" w:cs="仿宋"/>
              <w:b/>
              <w:bCs/>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_Toc31003_WPSOffice_Level1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17466d07-8066-4ae2-901e-d3b0bfd41d0d}"/>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九、国有资本经营预算支出情况说明</w:t>
              </w:r>
            </w:sdtContent>
          </w:sdt>
          <w:r>
            <w:rPr>
              <w:rFonts w:hint="eastAsia" w:ascii="仿宋" w:hAnsi="仿宋" w:eastAsia="仿宋" w:cs="仿宋"/>
              <w:b/>
              <w:bCs/>
              <w:sz w:val="32"/>
              <w:szCs w:val="32"/>
            </w:rPr>
            <w:tab/>
          </w:r>
          <w:bookmarkStart w:id="9" w:name="_Toc31003_WPSOffice_Level1Page"/>
          <w:r>
            <w:rPr>
              <w:rFonts w:hint="eastAsia" w:ascii="仿宋" w:hAnsi="仿宋" w:eastAsia="仿宋" w:cs="仿宋"/>
              <w:b/>
              <w:bCs/>
              <w:sz w:val="32"/>
              <w:szCs w:val="32"/>
            </w:rPr>
            <w:t>9</w:t>
          </w:r>
          <w:bookmarkEnd w:id="9"/>
          <w:r>
            <w:rPr>
              <w:rFonts w:hint="eastAsia" w:ascii="仿宋" w:hAnsi="仿宋" w:eastAsia="仿宋" w:cs="仿宋"/>
              <w:b/>
              <w:bCs/>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_Toc8565_WPSOffice_Level1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6580202f-3e71-453d-990a-df15e9b1d49a}"/>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十、其他重要事项的情况说明</w:t>
              </w:r>
            </w:sdtContent>
          </w:sdt>
          <w:r>
            <w:rPr>
              <w:rFonts w:hint="eastAsia" w:ascii="仿宋" w:hAnsi="仿宋" w:eastAsia="仿宋" w:cs="仿宋"/>
              <w:b/>
              <w:bCs/>
              <w:sz w:val="32"/>
              <w:szCs w:val="32"/>
            </w:rPr>
            <w:tab/>
          </w:r>
          <w:bookmarkStart w:id="10" w:name="_Toc8565_WPSOffice_Level1Page"/>
          <w:r>
            <w:rPr>
              <w:rFonts w:hint="eastAsia" w:ascii="仿宋" w:hAnsi="仿宋" w:eastAsia="仿宋" w:cs="仿宋"/>
              <w:b/>
              <w:bCs/>
              <w:sz w:val="32"/>
              <w:szCs w:val="32"/>
            </w:rPr>
            <w:t>9</w:t>
          </w:r>
          <w:bookmarkEnd w:id="10"/>
          <w:r>
            <w:rPr>
              <w:rFonts w:hint="eastAsia" w:ascii="仿宋" w:hAnsi="仿宋" w:eastAsia="仿宋" w:cs="仿宋"/>
              <w:b/>
              <w:bCs/>
              <w:sz w:val="32"/>
              <w:szCs w:val="32"/>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b/>
              <w:bCs/>
              <w:sz w:val="32"/>
              <w:szCs w:val="32"/>
            </w:rPr>
            <w:fldChar w:fldCharType="begin"/>
          </w:r>
          <w:r>
            <w:rPr>
              <w:rFonts w:hint="eastAsia" w:ascii="仿宋" w:hAnsi="仿宋" w:eastAsia="仿宋" w:cs="仿宋"/>
              <w:sz w:val="32"/>
              <w:szCs w:val="32"/>
            </w:rPr>
            <w:instrText xml:space="preserve"> HYPERLINK \l _Toc23274_WPSOffice_Level1 </w:instrText>
          </w:r>
          <w:r>
            <w:rPr>
              <w:rFonts w:hint="eastAsia" w:ascii="仿宋" w:hAnsi="仿宋" w:eastAsia="仿宋" w:cs="仿宋"/>
              <w:b/>
              <w:bCs/>
              <w:sz w:val="32"/>
              <w:szCs w:val="32"/>
            </w:rPr>
            <w:fldChar w:fldCharType="separate"/>
          </w:r>
          <w:sdt>
            <w:sdtPr>
              <w:rPr>
                <w:rFonts w:hint="eastAsia" w:ascii="仿宋" w:hAnsi="仿宋" w:eastAsia="仿宋" w:cs="仿宋"/>
                <w:b/>
                <w:bCs/>
                <w:color w:val="auto"/>
                <w:kern w:val="2"/>
                <w:sz w:val="32"/>
                <w:szCs w:val="32"/>
                <w:lang w:val="en-US" w:eastAsia="zh-CN" w:bidi="ar-SA"/>
              </w:rPr>
              <w:id w:val="147481414"/>
              <w:placeholder>
                <w:docPart w:val="{36090aea-0bf6-4447-93fb-97c165423dd7}"/>
              </w:placeholder>
              <w15:color w:val="509DF3"/>
            </w:sdtPr>
            <w:sdtEndPr>
              <w:rPr>
                <w:rFonts w:hint="eastAsia" w:ascii="仿宋" w:hAnsi="仿宋" w:eastAsia="仿宋" w:cs="仿宋"/>
                <w:b/>
                <w:bCs/>
                <w:color w:val="auto"/>
                <w:kern w:val="2"/>
                <w:sz w:val="32"/>
                <w:szCs w:val="32"/>
                <w:lang w:val="en-US" w:eastAsia="zh-CN" w:bidi="ar-SA"/>
              </w:rPr>
            </w:sdtEndPr>
            <w:sdtContent>
              <w:r>
                <w:rPr>
                  <w:rFonts w:hint="eastAsia" w:ascii="仿宋" w:hAnsi="仿宋" w:eastAsia="仿宋" w:cs="仿宋"/>
                  <w:b/>
                  <w:bCs/>
                  <w:sz w:val="32"/>
                  <w:szCs w:val="32"/>
                </w:rPr>
                <w:t>十一、名词解释</w:t>
              </w:r>
            </w:sdtContent>
          </w:sdt>
          <w:r>
            <w:rPr>
              <w:rFonts w:hint="eastAsia" w:ascii="仿宋" w:hAnsi="仿宋" w:eastAsia="仿宋" w:cs="仿宋"/>
              <w:b/>
              <w:bCs/>
              <w:sz w:val="32"/>
              <w:szCs w:val="32"/>
            </w:rPr>
            <w:tab/>
          </w:r>
          <w:bookmarkStart w:id="11" w:name="_Toc23274_WPSOffice_Level1Page"/>
          <w:r>
            <w:rPr>
              <w:rFonts w:hint="eastAsia" w:ascii="仿宋" w:hAnsi="仿宋" w:eastAsia="仿宋" w:cs="仿宋"/>
              <w:b/>
              <w:bCs/>
              <w:sz w:val="32"/>
              <w:szCs w:val="32"/>
            </w:rPr>
            <w:t>10</w:t>
          </w:r>
          <w:bookmarkEnd w:id="11"/>
          <w:r>
            <w:rPr>
              <w:rFonts w:hint="eastAsia" w:ascii="仿宋" w:hAnsi="仿宋" w:eastAsia="仿宋" w:cs="仿宋"/>
              <w:b/>
              <w:bCs/>
              <w:sz w:val="32"/>
              <w:szCs w:val="32"/>
            </w:rPr>
            <w:fldChar w:fldCharType="end"/>
          </w:r>
        </w:p>
        <w:bookmarkEnd w:id="0"/>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bookmarkStart w:id="12" w:name="_Toc8584_WPSOffice_Level1"/>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黑体" w:hAnsi="黑体" w:eastAsia="黑体" w:cs="黑体"/>
              <w:sz w:val="32"/>
              <w:szCs w:val="32"/>
              <w:lang w:val="en-US" w:eastAsia="zh-CN"/>
            </w:rPr>
          </w:pP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bookmarkStart w:id="13" w:name="_Toc10231_WPSOffice_Level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13"/>
    </w:p>
    <w:p>
      <w:pPr>
        <w:pStyle w:val="4"/>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1.认真实施贯彻党的教育方针，坚持社会主义办学方向，基本知识、基本技能及生产劳动相结合，对学生进行德、智、体、美、劳方面的教育。</w:t>
      </w:r>
    </w:p>
    <w:p>
      <w:pPr>
        <w:pStyle w:val="4"/>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2.运用科学的发展观指导教育教学工作。加强教育科研工作，推动校本教育的健康发展。加强教学管理，不断推进新课程改革，全面提高教学质量。</w:t>
      </w:r>
    </w:p>
    <w:p>
      <w:pPr>
        <w:pStyle w:val="4"/>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3.配合政府依法动员、组织适龄儿童、少年入学，严格控制学生辍学，依法保证适龄儿童、少年接受九年义务教育。</w:t>
      </w:r>
    </w:p>
    <w:p>
      <w:pPr>
        <w:pStyle w:val="4"/>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4.深化人事制度改革，完善学校内部管理，做好后勤保障工作。</w:t>
      </w:r>
    </w:p>
    <w:p>
      <w:pPr>
        <w:pStyle w:val="4"/>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5.科学管理、合理使用学校的设施和经费，并积极筹措资金，努力改善办学条件。</w:t>
      </w:r>
    </w:p>
    <w:p>
      <w:pPr>
        <w:pStyle w:val="4"/>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6.维护学校、师生的合法权益，有权拒绝任何组织和个人对教育教学活动进行非法干扰。</w:t>
      </w:r>
    </w:p>
    <w:p>
      <w:pPr>
        <w:pStyle w:val="4"/>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7.创建绿色校园、文明校园和平安校园。</w:t>
      </w:r>
    </w:p>
    <w:p>
      <w:pPr>
        <w:pStyle w:val="4"/>
        <w:adjustRightInd w:val="0"/>
        <w:snapToGrid w:val="0"/>
        <w:spacing w:beforeLines="0" w:line="550" w:lineRule="atLeast"/>
        <w:ind w:firstLine="640" w:firstLineChars="200"/>
        <w:outlineLvl w:val="2"/>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8.关心教职工生活，发挥教代会职能作用。</w:t>
      </w:r>
    </w:p>
    <w:p>
      <w:pPr>
        <w:snapToGrid w:val="0"/>
        <w:spacing w:line="550" w:lineRule="atLeas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9.承办上级交办的其他事项。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_GB2312" w:hAnsi="楷体_GB2312" w:eastAsia="楷体_GB2312" w:cs="楷体_GB2312"/>
          <w:b/>
          <w:bCs/>
          <w:sz w:val="32"/>
          <w:szCs w:val="32"/>
        </w:rPr>
      </w:pPr>
      <w:bookmarkStart w:id="14" w:name="_Toc20685_WPSOffice_Level2"/>
      <w:r>
        <w:rPr>
          <w:rFonts w:hint="eastAsia" w:ascii="楷体_GB2312" w:hAnsi="楷体_GB2312" w:eastAsia="楷体_GB2312" w:cs="楷体_GB2312"/>
          <w:b/>
          <w:bCs/>
          <w:sz w:val="32"/>
          <w:szCs w:val="32"/>
        </w:rPr>
        <w:t>（二）</w:t>
      </w:r>
      <w:r>
        <w:rPr>
          <w:rFonts w:hint="eastAsia" w:ascii="楷体_GB2312" w:hAnsi="楷体_GB2312" w:eastAsia="楷体_GB2312" w:cs="楷体_GB2312"/>
          <w:b/>
          <w:bCs/>
          <w:sz w:val="32"/>
          <w:szCs w:val="32"/>
          <w:lang w:val="en-US"/>
        </w:rPr>
        <w:t>2024</w:t>
      </w:r>
      <w:r>
        <w:rPr>
          <w:rFonts w:hint="eastAsia" w:ascii="楷体_GB2312" w:hAnsi="楷体_GB2312" w:eastAsia="楷体_GB2312" w:cs="楷体_GB2312"/>
          <w:b/>
          <w:bCs/>
          <w:sz w:val="32"/>
          <w:szCs w:val="32"/>
        </w:rPr>
        <w:t>年重点工作</w:t>
      </w:r>
      <w:bookmarkEnd w:id="1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1.立德树人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（1）坚持学习柳桥小学一日常规学习，并按照一日常规认真落实。</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（2）为发挥榜样的引导作用，学校继续建立“红领巾示范岗、监督岗”，每天做到检仪表、检行为、检卫生、检两操、检课间纪律等，做好记录并及时反馈。</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（3）深化心理健康教育。有计划地加大心理健康教育的力度，通过心理健康教育讲座及按年级设计的分层活动，培养学生坚强的意志和健康的心理，增强学生的社会适应能力。</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（4）开展传统节日教育活动。利用传统节日开展集中体现中华传统美德的主题班(队)会，结合学校实际开展演讲、征文、手抄报比赛等主题活动，让学生接受中华传统美德的教育。</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（5）办好家长学校，构建家校互动格局。通过召开家长会、举办家长学校对家长进行家庭教育、心理健康、法制教育等方面的内容、方式、方法进行指导。</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（6）班主任做好家访工作。通过适当的渠道沟通学生在校情况，了解学生在家表现，使学生在教师、家长的指导下，让良习养成融入到学生的生活中。</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7）完善德育培训，抓好班主任队伍建设。严格落实班主任培训制度，组织校级班主任培训，积极参加区及班主任高端培训，增强班主任的育人意识和育人能力。以评选“文明班级”和“优秀班主任”为契机，弘扬先进，发挥优秀班主任的示范、辐射作用。</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2、坚持教学六认真考核。</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（1）加大教学过程检查力度，特别是上课检查，监控上课情况，对上课纪律进行记录、反馈，发现不良现象，限期整改。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（2）不定期进行备课、上课、作业批改、课后辅导的检查或抽查力度，教导处每月定期开展教学检查，及时通报检查结果，开展好评学评教活动，真正使教学常规管理落到实处。</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（3）狠抓过程落实，进行专项调查与测评，促教师责任心提升和教学效率的提高。</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3、坚持推门听课。</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有针对性的加强对骨干教师、非骨干教师的听课活动，听课要有详细记录，听课结束后要及时与上课教师交流，提出整改意见，以便进行跟踪。听课教师听课节数每学期不少于20节；听课、评课情况等需有书面记录呈报，以便作为考核教师教学工作的直接依据。</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坚持巡查，坚守课堂模式调整。</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坚持课堂巡查制度。强化对教学全过程的管理，不定时深入课堂检查，进一步督促教师认真做好教学常规工作，确保教学工作有序、高效的进行。认真做好课堂教学考评工作，促使学校教学管理水平的进一步提高。坚定不移地执行以“老师为导、学生为主体，训练为主线、会学为主旨、学会为目的”的课堂教学原则。</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认真落实课程改革实施方案，以课改促质量。注重课标的学习研究，注重教学方式和手段的创新，注重校本课程的自主开发，以促进学生全面发展为目标，通过综合实践活动课程与学科一体化研究，进一步解放思想，更新观念，形成与课程改革要求相适应的教学模式，初步形成学生生动活泼主动发展的局面。</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开展好课后延时服务活动，务实重效，继续按照不求数量，但求质量原则开展好相关活动，丰富学生生活，提升学生的综合素养。</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bookmarkStart w:id="15" w:name="_Toc10231_WPSOffice_Level1"/>
      <w:r>
        <w:rPr>
          <w:rFonts w:hint="eastAsia" w:ascii="黑体" w:hAnsi="黑体" w:eastAsia="黑体" w:cs="黑体"/>
          <w:sz w:val="32"/>
          <w:szCs w:val="32"/>
          <w:lang w:val="en-US" w:eastAsia="zh-CN"/>
        </w:rPr>
        <w:t>二、预算单位构成</w:t>
      </w:r>
      <w:bookmarkEnd w:id="1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我单位为广元市昭化区教育局所属的二级预算单位，单位性质为财政补助事业单位。本单位无下属机构，属于公益一类事业单位。2024年初在职教职工33人（其中专业技术人员32人，工勤人员1人）。2024年初共有小学生56人。</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黑体" w:hAnsi="黑体" w:eastAsia="黑体" w:cs="黑体"/>
          <w:sz w:val="32"/>
          <w:szCs w:val="32"/>
          <w:lang w:val="en-US" w:eastAsia="zh-CN"/>
        </w:rPr>
      </w:pPr>
      <w:bookmarkStart w:id="16" w:name="_Toc20685_WPSOffice_Level1"/>
      <w:r>
        <w:rPr>
          <w:rFonts w:hint="eastAsia" w:ascii="黑体" w:hAnsi="黑体" w:eastAsia="黑体" w:cs="黑体"/>
          <w:sz w:val="32"/>
          <w:szCs w:val="32"/>
          <w:lang w:val="en-US" w:eastAsia="zh-CN"/>
        </w:rPr>
        <w:t>收支预算情况说明</w:t>
      </w:r>
      <w:bookmarkEnd w:id="16"/>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按照综合预算的原则，柳桥小学所有收入和支出均纳入部门预算管理。收入包括：一般公共预算拨款收入；支出包括：教育支出、社会保障和就业支出。柳桥小学2024年收支总预算662.26万元,比2023年收支预算总数减少64.86万元，主要原因是基本支出减少。</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bookmarkStart w:id="17" w:name="_Toc11398_WPSOffice_Level2"/>
      <w:r>
        <w:rPr>
          <w:rFonts w:hint="eastAsia" w:ascii="楷体_GB2312" w:hAnsi="楷体_GB2312" w:eastAsia="楷体_GB2312" w:cs="楷体_GB2312"/>
          <w:sz w:val="32"/>
          <w:szCs w:val="32"/>
          <w:lang w:val="en-US" w:eastAsia="zh-CN"/>
        </w:rPr>
        <w:t>收入预算情况</w:t>
      </w:r>
      <w:bookmarkEnd w:id="1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柳桥小学2024年收入预算662.26万元，一般公共预算拨款收入662.26万元，占100%。</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楷体_GB2312" w:hAnsi="楷体_GB2312" w:eastAsia="楷体_GB2312" w:cs="楷体_GB2312"/>
          <w:sz w:val="32"/>
          <w:szCs w:val="32"/>
          <w:lang w:val="en-US" w:eastAsia="zh-CN"/>
        </w:rPr>
      </w:pPr>
      <w:bookmarkStart w:id="18" w:name="_Toc6362_WPSOffice_Level2"/>
      <w:r>
        <w:rPr>
          <w:rFonts w:hint="eastAsia" w:ascii="楷体_GB2312" w:hAnsi="楷体_GB2312" w:eastAsia="楷体_GB2312" w:cs="楷体_GB2312"/>
          <w:sz w:val="32"/>
          <w:szCs w:val="32"/>
          <w:lang w:val="en-US" w:eastAsia="zh-CN"/>
        </w:rPr>
        <w:t>支出预算情况</w:t>
      </w:r>
      <w:bookmarkEnd w:id="18"/>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柳桥小学2024年支出预算662.26万元，其中：基本支出633.50万元，占95.66%；项目支出28.76万元，占4.34%。</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sz w:val="32"/>
          <w:szCs w:val="32"/>
        </w:rPr>
      </w:pPr>
      <w:bookmarkStart w:id="19" w:name="_Toc11398_WPSOffice_Level1"/>
      <w:r>
        <w:rPr>
          <w:rFonts w:hint="eastAsia" w:ascii="黑体" w:hAnsi="黑体" w:eastAsia="黑体" w:cs="黑体"/>
          <w:sz w:val="32"/>
          <w:szCs w:val="32"/>
          <w:lang w:val="en-US" w:eastAsia="zh-CN"/>
        </w:rPr>
        <w:t>四、财政拨款收支预算情况说明</w:t>
      </w:r>
      <w:bookmarkEnd w:id="1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柳桥小学2024年财政拨款收支总预算662.26万元,比2023年财政拨款收支总预算减少64.86万元。主要原因是基本支出减少。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收入包括：本年一般公共预算拨款收入662.26万元；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支出包括：教育支出570.26万元、社会保障和就业支出92万元。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bookmarkStart w:id="20" w:name="_Toc6362_WPSOffice_Level1"/>
      <w:r>
        <w:rPr>
          <w:rFonts w:hint="eastAsia" w:ascii="黑体" w:hAnsi="黑体" w:eastAsia="黑体" w:cs="黑体"/>
          <w:sz w:val="32"/>
          <w:szCs w:val="32"/>
          <w:lang w:val="en-US" w:eastAsia="zh-CN"/>
        </w:rPr>
        <w:t>五、一般公共预算当年拨款情况说明</w:t>
      </w:r>
      <w:bookmarkEnd w:id="2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bookmarkStart w:id="21" w:name="_Toc3792_WPSOffice_Level2"/>
      <w:r>
        <w:rPr>
          <w:rFonts w:hint="eastAsia" w:ascii="楷体_GB2312" w:hAnsi="楷体_GB2312" w:eastAsia="楷体_GB2312" w:cs="楷体_GB2312"/>
          <w:sz w:val="32"/>
          <w:szCs w:val="32"/>
          <w:lang w:val="en-US" w:eastAsia="zh-CN"/>
        </w:rPr>
        <w:t>（一）一般公共预算当年拨款规模变化情况</w:t>
      </w:r>
      <w:bookmarkEnd w:id="2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柳桥小学2024年一般公共预算当年拨款662.26万元，比2023年预算数减少64.86万元，主要原因是基本支出减少。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bookmarkStart w:id="22" w:name="_Toc4043_WPSOffice_Level2"/>
      <w:r>
        <w:rPr>
          <w:rFonts w:hint="eastAsia" w:ascii="楷体_GB2312" w:hAnsi="楷体_GB2312" w:eastAsia="楷体_GB2312" w:cs="楷体_GB2312"/>
          <w:sz w:val="32"/>
          <w:szCs w:val="32"/>
          <w:lang w:val="en-US" w:eastAsia="zh-CN"/>
        </w:rPr>
        <w:t>（二）一般公共预算当年拨款结构情况</w:t>
      </w:r>
      <w:bookmarkEnd w:id="22"/>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教育支出570.26万元，占86.11%，社会保障和就业支出92万元，占比13.89%。</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left="0" w:leftChars="0"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23" w:name="_Toc26932_WPSOffice_Level2"/>
      <w:r>
        <w:rPr>
          <w:rFonts w:hint="eastAsia" w:ascii="楷体_GB2312" w:hAnsi="楷体_GB2312" w:eastAsia="楷体_GB2312" w:cs="楷体_GB2312"/>
          <w:sz w:val="32"/>
          <w:szCs w:val="32"/>
          <w:lang w:val="en-US" w:eastAsia="zh-CN"/>
        </w:rPr>
        <w:t>一般公共预算当年拨款具体使用情况</w:t>
      </w:r>
      <w:bookmarkEnd w:id="2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bCs/>
          <w:sz w:val="32"/>
          <w:szCs w:val="32"/>
          <w:lang w:val="en-US" w:eastAsia="zh-CN"/>
        </w:rPr>
        <w:t>1.教育支出（类）普通教育（款）小学教育（项）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2024年预算数为570.26万元，主要用于：本单位基本支出，包括基本工资、津贴补贴、基础绩效奖等人员经费以及办公费、维修（护）费、印刷费、水电费、工会经费等日常公用经费。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bCs/>
          <w:sz w:val="32"/>
          <w:szCs w:val="32"/>
          <w:lang w:val="en-US" w:eastAsia="zh-CN"/>
        </w:rPr>
        <w:t>2.社会保障和就业（类）行政事业单位养老支出（款）事业单位离退休（项）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2024年预算数为92万元，主要用于：本单位离退休人员经费支出。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bookmarkStart w:id="24" w:name="_Toc3792_WPSOffice_Level1"/>
      <w:r>
        <w:rPr>
          <w:rFonts w:hint="eastAsia" w:ascii="黑体" w:hAnsi="黑体" w:eastAsia="黑体" w:cs="黑体"/>
          <w:sz w:val="32"/>
          <w:szCs w:val="32"/>
          <w:lang w:val="en-US" w:eastAsia="zh-CN"/>
        </w:rPr>
        <w:t>六、一般公共预算基本支出情况说明</w:t>
      </w:r>
      <w:bookmarkEnd w:id="2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柳桥小学2024年一般公共预算基本支出633.5万元，其中：人员经费633.50万元，主要包括：基本工资、津贴补贴、奖金、绩效奖金、社会保险缴费、住房公积金、对个人和家庭的补助等支出。</w:t>
      </w:r>
    </w:p>
    <w:p>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bookmarkStart w:id="25" w:name="_Toc4043_WPSOffice_Level1"/>
      <w:r>
        <w:rPr>
          <w:rFonts w:hint="eastAsia" w:ascii="黑体" w:hAnsi="黑体" w:eastAsia="黑体" w:cs="黑体"/>
          <w:sz w:val="32"/>
          <w:szCs w:val="32"/>
          <w:lang w:val="en-US" w:eastAsia="zh-CN"/>
        </w:rPr>
        <w:t>“三公”经费财政拨款预算安排情况说明</w:t>
      </w:r>
      <w:bookmarkEnd w:id="2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柳桥小学2024年“三公”经费财政拨款预算数0.13万元，其中：公务接待费0.13万元，公务用车购置及运行维护费0万元，因公出国（境）经费0万元。</w:t>
      </w:r>
    </w:p>
    <w:p>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bookmarkStart w:id="26" w:name="_Toc31003_WPSOffice_Level2"/>
      <w:r>
        <w:rPr>
          <w:rFonts w:hint="eastAsia" w:ascii="楷体_GB2312" w:hAnsi="楷体_GB2312" w:eastAsia="楷体_GB2312" w:cs="楷体_GB2312"/>
          <w:sz w:val="32"/>
          <w:szCs w:val="32"/>
          <w:lang w:val="en-US" w:eastAsia="zh-CN"/>
        </w:rPr>
        <w:t>公务接待费</w:t>
      </w:r>
      <w:bookmarkEnd w:id="26"/>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公务接待费与2023年预算相比下降7.69%。主要原因是坚持厉行节约反对浪费的要求，严格执行三公经费压减政策。</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2024年公务接待费计划用于执行接待考察调研、检查指导等公务活动开支的交通费、住宿费、用餐费等。</w:t>
      </w:r>
    </w:p>
    <w:p>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left="0" w:leftChars="0" w:right="0" w:rightChars="0" w:firstLine="640" w:firstLineChars="200"/>
        <w:jc w:val="both"/>
        <w:rPr>
          <w:rFonts w:hint="eastAsia" w:ascii="楷体_GB2312" w:hAnsi="楷体_GB2312" w:eastAsia="楷体_GB2312" w:cs="楷体_GB2312"/>
          <w:sz w:val="32"/>
          <w:szCs w:val="32"/>
          <w:lang w:val="en-US" w:eastAsia="zh-CN"/>
        </w:rPr>
      </w:pPr>
      <w:bookmarkStart w:id="27" w:name="_Toc8565_WPSOffice_Level2"/>
      <w:r>
        <w:rPr>
          <w:rFonts w:hint="eastAsia" w:ascii="楷体_GB2312" w:hAnsi="楷体_GB2312" w:eastAsia="楷体_GB2312" w:cs="楷体_GB2312"/>
          <w:sz w:val="32"/>
          <w:szCs w:val="32"/>
          <w:lang w:val="en-US" w:eastAsia="zh-CN"/>
        </w:rPr>
        <w:t>公务用车购置及运行维护费</w:t>
      </w:r>
      <w:bookmarkEnd w:id="2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柳桥小学现有公务用车0辆。</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2024公务用车购置及运行维护费与2023年预算相比持平。</w:t>
      </w:r>
    </w:p>
    <w:p>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left="0" w:leftChars="0" w:right="0" w:rightChars="0" w:firstLine="640" w:firstLineChars="200"/>
        <w:jc w:val="both"/>
        <w:rPr>
          <w:rFonts w:hint="eastAsia" w:ascii="仿宋_GB2312" w:hAnsi="仿宋_GB2312" w:eastAsia="仿宋_GB2312" w:cs="仿宋_GB2312"/>
          <w:b/>
          <w:bCs/>
          <w:sz w:val="32"/>
          <w:szCs w:val="32"/>
          <w:lang w:val="en-US" w:eastAsia="zh-CN"/>
        </w:rPr>
      </w:pPr>
      <w:bookmarkStart w:id="28" w:name="_Toc23274_WPSOffice_Level2"/>
      <w:r>
        <w:rPr>
          <w:rFonts w:hint="eastAsia" w:ascii="楷体_GB2312" w:hAnsi="楷体_GB2312" w:eastAsia="楷体_GB2312" w:cs="楷体_GB2312"/>
          <w:sz w:val="32"/>
          <w:szCs w:val="32"/>
          <w:lang w:val="en-US" w:eastAsia="zh-CN"/>
        </w:rPr>
        <w:t>因公出国（境）经费</w:t>
      </w:r>
      <w:bookmarkEnd w:id="28"/>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柳桥小学因公出国（境）经费与2023年预算相比持平。</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bookmarkStart w:id="29" w:name="_Toc26932_WPSOffice_Level1"/>
      <w:r>
        <w:rPr>
          <w:rFonts w:hint="eastAsia" w:ascii="黑体" w:hAnsi="黑体" w:eastAsia="黑体" w:cs="黑体"/>
          <w:sz w:val="32"/>
          <w:szCs w:val="32"/>
          <w:lang w:val="en-US" w:eastAsia="zh-CN"/>
        </w:rPr>
        <w:t>八、政府性基金预算支出情况说明</w:t>
      </w:r>
      <w:bookmarkEnd w:id="2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柳桥小学2024年政府性基金预算拨款0万元。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bookmarkStart w:id="30" w:name="_Toc31003_WPSOffice_Level1"/>
      <w:r>
        <w:rPr>
          <w:rFonts w:hint="eastAsia" w:ascii="黑体" w:hAnsi="黑体" w:eastAsia="黑体" w:cs="黑体"/>
          <w:sz w:val="32"/>
          <w:szCs w:val="32"/>
          <w:lang w:val="en-US" w:eastAsia="zh-CN"/>
        </w:rPr>
        <w:t>九、国有资本经营预算支出情况说明</w:t>
      </w:r>
      <w:bookmarkEnd w:id="3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柳桥小学2024年没有使用国有资本经营预算拨款安排的支出。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bookmarkStart w:id="31" w:name="_Toc8565_WPSOffice_Level1"/>
      <w:r>
        <w:rPr>
          <w:rFonts w:hint="eastAsia" w:ascii="黑体" w:hAnsi="黑体" w:eastAsia="黑体" w:cs="黑体"/>
          <w:sz w:val="32"/>
          <w:szCs w:val="32"/>
          <w:lang w:val="en-US" w:eastAsia="zh-CN"/>
        </w:rPr>
        <w:t>十、其他重要事项的情况说明</w:t>
      </w:r>
      <w:bookmarkEnd w:id="3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default" w:ascii="楷体_GB2312" w:hAnsi="楷体_GB2312" w:eastAsia="楷体_GB2312" w:cs="楷体_GB2312"/>
          <w:sz w:val="32"/>
          <w:szCs w:val="32"/>
          <w:lang w:val="en-US" w:eastAsia="zh-CN"/>
        </w:rPr>
      </w:pPr>
      <w:bookmarkStart w:id="32" w:name="_Toc9968_WPSOffice_Level2"/>
      <w:r>
        <w:rPr>
          <w:rFonts w:hint="eastAsia" w:ascii="楷体_GB2312" w:hAnsi="楷体_GB2312" w:eastAsia="楷体_GB2312" w:cs="楷体_GB2312"/>
          <w:sz w:val="32"/>
          <w:szCs w:val="32"/>
          <w:lang w:val="en-US" w:eastAsia="zh-CN"/>
        </w:rPr>
        <w:t>（一）机关运行经费</w:t>
      </w:r>
      <w:bookmarkEnd w:id="32"/>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2024年，柳桥小学属于公益一类事业单位无机关运行经费。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default" w:ascii="Times New Roman" w:hAnsi="Times New Roman" w:cs="Times New Roman"/>
          <w:i w:val="0"/>
          <w:caps w:val="0"/>
          <w:color w:val="333333"/>
          <w:spacing w:val="0"/>
          <w:sz w:val="32"/>
          <w:szCs w:val="32"/>
        </w:rPr>
      </w:pPr>
      <w:bookmarkStart w:id="33" w:name="_Toc27099_WPSOffice_Level2"/>
      <w:r>
        <w:rPr>
          <w:rFonts w:hint="eastAsia" w:ascii="楷体_GB2312" w:hAnsi="楷体_GB2312" w:eastAsia="楷体_GB2312" w:cs="楷体_GB2312"/>
          <w:sz w:val="32"/>
          <w:szCs w:val="32"/>
          <w:lang w:val="en-US" w:eastAsia="zh-CN"/>
        </w:rPr>
        <w:t>（二）政府采购情况</w:t>
      </w:r>
      <w:bookmarkEnd w:id="3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2024年，柳桥小学未安排政府采购预算。</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bookmarkStart w:id="34" w:name="_Toc15251_WPSOffice_Level2"/>
      <w:r>
        <w:rPr>
          <w:rFonts w:hint="eastAsia" w:ascii="楷体_GB2312" w:hAnsi="楷体_GB2312" w:eastAsia="楷体_GB2312" w:cs="楷体_GB2312"/>
          <w:sz w:val="32"/>
          <w:szCs w:val="32"/>
          <w:lang w:val="en-US" w:eastAsia="zh-CN"/>
        </w:rPr>
        <w:t>（三）国有资产占有使用情况</w:t>
      </w:r>
      <w:bookmarkEnd w:id="3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截至2023年底，柳桥小学共有车辆0辆。本单位无价值200万元以上大型设备。</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Times New Roman" w:hAnsi="Times New Roman" w:eastAsia="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2024年未安排购置车辆及单位价值200万元以上大型设备。</w:t>
      </w:r>
    </w:p>
    <w:p>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left="0" w:leftChars="0" w:right="0" w:rightChars="0" w:firstLine="640" w:firstLineChars="200"/>
        <w:jc w:val="both"/>
        <w:rPr>
          <w:rFonts w:hint="eastAsia" w:ascii="楷体_GB2312" w:hAnsi="楷体_GB2312" w:eastAsia="楷体_GB2312" w:cs="楷体_GB2312"/>
          <w:sz w:val="32"/>
          <w:szCs w:val="32"/>
          <w:lang w:val="en-US" w:eastAsia="zh-CN"/>
        </w:rPr>
      </w:pPr>
      <w:bookmarkStart w:id="35" w:name="_Toc2226_WPSOffice_Level2"/>
      <w:r>
        <w:rPr>
          <w:rFonts w:hint="eastAsia" w:ascii="楷体_GB2312" w:hAnsi="楷体_GB2312" w:eastAsia="楷体_GB2312" w:cs="楷体_GB2312"/>
          <w:sz w:val="32"/>
          <w:szCs w:val="32"/>
          <w:lang w:val="en-US" w:eastAsia="zh-CN"/>
        </w:rPr>
        <w:t>绩效目标设置情况</w:t>
      </w:r>
      <w:bookmarkEnd w:id="3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绩效目标是预算编制的前提和基础，2024年柳桥小学开展绩效目标管理的项目4个，涉及预算28.76万元。其中：人员类项目0个，涉及预算 0万元；运转类项目4个，涉及预算28.76万元；特定目标类项目0个，涉及预算0万元。因部分项目内容涉密，不予公开。</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bookmarkStart w:id="36" w:name="_Toc23274_WPSOffice_Level1"/>
      <w:r>
        <w:rPr>
          <w:rFonts w:hint="eastAsia" w:ascii="黑体" w:hAnsi="黑体" w:eastAsia="黑体" w:cs="黑体"/>
          <w:sz w:val="32"/>
          <w:szCs w:val="32"/>
          <w:lang w:val="en-US" w:eastAsia="zh-CN"/>
        </w:rPr>
        <w:t>十一、名词解释</w:t>
      </w:r>
      <w:bookmarkEnd w:id="36"/>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（一）财政拨款收入</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w:t>
      </w:r>
      <w:bookmarkStart w:id="39" w:name="_GoBack"/>
      <w:bookmarkEnd w:id="39"/>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财政当年安排的财政预算收入。按现行管理制度</w:t>
      </w:r>
      <w:r>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部门预算中反映的财政拨款包括一般公共预算拨款和政府性基金预算拨款。</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（二）事业收入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：指事业单位开展专业业务活动及辅助活动所取得的收入。主要为学校根据国家有关部门批准的项目和标准收取的学费、住宿费等（或医院收取的医疗收入）。</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（三）其他收入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：指除上述“一般公共预算拨款收入” “事业收入”等以外的收入。如银行存款利息收入、课时收入等。</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3"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（四）教育支出（类）普通教育（款）小学教育（项）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：指全区小学教育发展的基本支出，包括基本工资、津贴补贴等人员经费以及办公费、印刷费、水电费等日常公用经费。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（五）社会保障和就业（类）行政事业单位养老支出（款）事业单位离退休（项）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：指事业单位离退休人员的支出。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（六）基本支出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：指为保证机构正常运转，完成日常工作任务而发生的人员支出和公用支出。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（七）项目支出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：指在基本支出之外为完成特定行政任务和事业发展目标所发生的支出。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xml:space="preserve">    </w:t>
      </w: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bidi="ar"/>
        </w:rPr>
        <w:t>（八）“三公”经费：纳入财政预算管理的“三公”经费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，是指部门用财政拨款安排的因公出国（境）费、公务用车购置及运行费和公务接待费。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37" w:name="_Toc9968_WPSOffice_Level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附件：1.预算公开报表</w:t>
      </w:r>
      <w:bookmarkEnd w:id="3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tabs>
          <w:tab w:val="right" w:pos="7638"/>
        </w:tabs>
        <w:spacing w:before="0" w:beforeAutospacing="0" w:after="0" w:afterAutospacing="0" w:line="580" w:lineRule="atLeast"/>
        <w:ind w:right="0" w:rightChars="0" w:firstLine="1600" w:firstLineChars="5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38" w:name="_Toc27099_WPSOffice_Level1"/>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2.项目支出绩效目标表</w:t>
      </w:r>
      <w:bookmarkEnd w:id="38"/>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seocd4BAAC+AwAADgAAAGRycy9lMm9Eb2MueG1srVPNjtMwEL4j8Q6W&#10;7zTZroS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Gx6hx3gEAAL4DAAAOAAAAAAAA&#10;AAEAIAAAAB4BAABkcnMvZTJvRG9jLnhtbFBLBQYAAAAABgAGAFkBAABu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20BA2"/>
    <w:multiLevelType w:val="singleLevel"/>
    <w:tmpl w:val="91120BA2"/>
    <w:lvl w:ilvl="0" w:tentative="0">
      <w:start w:val="1"/>
      <w:numFmt w:val="chineseCounting"/>
      <w:suff w:val="nothing"/>
      <w:lvlText w:val="（%1）"/>
      <w:lvlJc w:val="left"/>
      <w:rPr>
        <w:rFonts w:hint="eastAsia"/>
      </w:rPr>
    </w:lvl>
  </w:abstractNum>
  <w:abstractNum w:abstractNumId="1">
    <w:nsid w:val="D0722955"/>
    <w:multiLevelType w:val="singleLevel"/>
    <w:tmpl w:val="D0722955"/>
    <w:lvl w:ilvl="0" w:tentative="0">
      <w:start w:val="7"/>
      <w:numFmt w:val="chineseCounting"/>
      <w:suff w:val="nothing"/>
      <w:lvlText w:val="%1、"/>
      <w:lvlJc w:val="left"/>
      <w:rPr>
        <w:rFonts w:hint="eastAsia"/>
      </w:rPr>
    </w:lvl>
  </w:abstractNum>
  <w:abstractNum w:abstractNumId="2">
    <w:nsid w:val="DA41F202"/>
    <w:multiLevelType w:val="singleLevel"/>
    <w:tmpl w:val="DA41F202"/>
    <w:lvl w:ilvl="0" w:tentative="0">
      <w:start w:val="4"/>
      <w:numFmt w:val="decimal"/>
      <w:suff w:val="nothing"/>
      <w:lvlText w:val="%1、"/>
      <w:lvlJc w:val="left"/>
    </w:lvl>
  </w:abstractNum>
  <w:abstractNum w:abstractNumId="3">
    <w:nsid w:val="3B8A9F17"/>
    <w:multiLevelType w:val="singleLevel"/>
    <w:tmpl w:val="3B8A9F17"/>
    <w:lvl w:ilvl="0" w:tentative="0">
      <w:start w:val="3"/>
      <w:numFmt w:val="chineseCounting"/>
      <w:suff w:val="nothing"/>
      <w:lvlText w:val="%1、"/>
      <w:lvlJc w:val="left"/>
      <w:rPr>
        <w:rFonts w:hint="eastAsia"/>
      </w:rPr>
    </w:lvl>
  </w:abstractNum>
  <w:abstractNum w:abstractNumId="4">
    <w:nsid w:val="63B8CC48"/>
    <w:multiLevelType w:val="singleLevel"/>
    <w:tmpl w:val="63B8CC48"/>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1A31699"/>
    <w:rsid w:val="01C56AAA"/>
    <w:rsid w:val="0B585AD7"/>
    <w:rsid w:val="17A72767"/>
    <w:rsid w:val="183D0EFC"/>
    <w:rsid w:val="1B0221A2"/>
    <w:rsid w:val="1F7BF06F"/>
    <w:rsid w:val="1FEE4B73"/>
    <w:rsid w:val="239841C8"/>
    <w:rsid w:val="23CE9849"/>
    <w:rsid w:val="39F304DD"/>
    <w:rsid w:val="54244390"/>
    <w:rsid w:val="54662A63"/>
    <w:rsid w:val="58064E12"/>
    <w:rsid w:val="5BFEE015"/>
    <w:rsid w:val="5EB36E1F"/>
    <w:rsid w:val="63EDCF55"/>
    <w:rsid w:val="63FBFBCF"/>
    <w:rsid w:val="669360FD"/>
    <w:rsid w:val="68FF6A83"/>
    <w:rsid w:val="6FBBC9CF"/>
    <w:rsid w:val="70F42DE9"/>
    <w:rsid w:val="72BDE561"/>
    <w:rsid w:val="78462278"/>
    <w:rsid w:val="7997EA6C"/>
    <w:rsid w:val="7AEAE675"/>
    <w:rsid w:val="7BAFCE5D"/>
    <w:rsid w:val="7C523723"/>
    <w:rsid w:val="7D46598C"/>
    <w:rsid w:val="7DFB240B"/>
    <w:rsid w:val="7E0935ED"/>
    <w:rsid w:val="7ECE6CEB"/>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autoRedefine/>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autoRedefine/>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uiPriority w:val="0"/>
    <w:pPr>
      <w:ind w:leftChars="0"/>
    </w:pPr>
    <w:rPr>
      <w:rFonts w:ascii="Times New Roman" w:hAnsi="Times New Roman" w:eastAsia="宋体" w:cs="Times New Roman"/>
      <w:sz w:val="20"/>
      <w:szCs w:val="20"/>
    </w:rPr>
  </w:style>
  <w:style w:type="paragraph" w:customStyle="1" w:styleId="15">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5adb43d-3c43-41d7-8c5f-38ca33419848}"/>
        <w:style w:val=""/>
        <w:category>
          <w:name w:val="常规"/>
          <w:gallery w:val="placeholder"/>
        </w:category>
        <w:types>
          <w:type w:val="bbPlcHdr"/>
        </w:types>
        <w:behaviors>
          <w:behavior w:val="content"/>
        </w:behaviors>
        <w:description w:val=""/>
        <w:guid w:val="{f5adb43d-3c43-41d7-8c5f-38ca33419848}"/>
      </w:docPartPr>
      <w:docPartBody>
        <w:p>
          <w:r>
            <w:rPr>
              <w:color w:val="808080"/>
            </w:rPr>
            <w:t>单击此处输入文字。</w:t>
          </w:r>
        </w:p>
      </w:docPartBody>
    </w:docPart>
    <w:docPart>
      <w:docPartPr>
        <w:name w:val="{e9af0707-22a8-488b-a63f-5ed62b2b6484}"/>
        <w:style w:val=""/>
        <w:category>
          <w:name w:val="常规"/>
          <w:gallery w:val="placeholder"/>
        </w:category>
        <w:types>
          <w:type w:val="bbPlcHdr"/>
        </w:types>
        <w:behaviors>
          <w:behavior w:val="content"/>
        </w:behaviors>
        <w:description w:val=""/>
        <w:guid w:val="{e9af0707-22a8-488b-a63f-5ed62b2b6484}"/>
      </w:docPartPr>
      <w:docPartBody>
        <w:p>
          <w:r>
            <w:rPr>
              <w:color w:val="808080"/>
            </w:rPr>
            <w:t>单击此处输入文字。</w:t>
          </w:r>
        </w:p>
      </w:docPartBody>
    </w:docPart>
    <w:docPart>
      <w:docPartPr>
        <w:name w:val="{cbafc33b-3c60-412c-9ebb-5e4ff9fba05b}"/>
        <w:style w:val=""/>
        <w:category>
          <w:name w:val="常规"/>
          <w:gallery w:val="placeholder"/>
        </w:category>
        <w:types>
          <w:type w:val="bbPlcHdr"/>
        </w:types>
        <w:behaviors>
          <w:behavior w:val="content"/>
        </w:behaviors>
        <w:description w:val=""/>
        <w:guid w:val="{cbafc33b-3c60-412c-9ebb-5e4ff9fba05b}"/>
      </w:docPartPr>
      <w:docPartBody>
        <w:p>
          <w:r>
            <w:rPr>
              <w:color w:val="808080"/>
            </w:rPr>
            <w:t>单击此处输入文字。</w:t>
          </w:r>
        </w:p>
      </w:docPartBody>
    </w:docPart>
    <w:docPart>
      <w:docPartPr>
        <w:name w:val="{c3ac7a8b-1165-4734-ab99-39874e6ded37}"/>
        <w:style w:val=""/>
        <w:category>
          <w:name w:val="常规"/>
          <w:gallery w:val="placeholder"/>
        </w:category>
        <w:types>
          <w:type w:val="bbPlcHdr"/>
        </w:types>
        <w:behaviors>
          <w:behavior w:val="content"/>
        </w:behaviors>
        <w:description w:val=""/>
        <w:guid w:val="{c3ac7a8b-1165-4734-ab99-39874e6ded37}"/>
      </w:docPartPr>
      <w:docPartBody>
        <w:p>
          <w:r>
            <w:rPr>
              <w:color w:val="808080"/>
            </w:rPr>
            <w:t>单击此处输入文字。</w:t>
          </w:r>
        </w:p>
      </w:docPartBody>
    </w:docPart>
    <w:docPart>
      <w:docPartPr>
        <w:name w:val="{e0dff21b-7bf6-4593-a942-7d658b7bd98b}"/>
        <w:style w:val=""/>
        <w:category>
          <w:name w:val="常规"/>
          <w:gallery w:val="placeholder"/>
        </w:category>
        <w:types>
          <w:type w:val="bbPlcHdr"/>
        </w:types>
        <w:behaviors>
          <w:behavior w:val="content"/>
        </w:behaviors>
        <w:description w:val=""/>
        <w:guid w:val="{e0dff21b-7bf6-4593-a942-7d658b7bd98b}"/>
      </w:docPartPr>
      <w:docPartBody>
        <w:p>
          <w:r>
            <w:rPr>
              <w:color w:val="808080"/>
            </w:rPr>
            <w:t>单击此处输入文字。</w:t>
          </w:r>
        </w:p>
      </w:docPartBody>
    </w:docPart>
    <w:docPart>
      <w:docPartPr>
        <w:name w:val="{e4e43d9a-173e-48a0-b790-777d5646d90d}"/>
        <w:style w:val=""/>
        <w:category>
          <w:name w:val="常规"/>
          <w:gallery w:val="placeholder"/>
        </w:category>
        <w:types>
          <w:type w:val="bbPlcHdr"/>
        </w:types>
        <w:behaviors>
          <w:behavior w:val="content"/>
        </w:behaviors>
        <w:description w:val=""/>
        <w:guid w:val="{e4e43d9a-173e-48a0-b790-777d5646d90d}"/>
      </w:docPartPr>
      <w:docPartBody>
        <w:p>
          <w:r>
            <w:rPr>
              <w:color w:val="808080"/>
            </w:rPr>
            <w:t>单击此处输入文字。</w:t>
          </w:r>
        </w:p>
      </w:docPartBody>
    </w:docPart>
    <w:docPart>
      <w:docPartPr>
        <w:name w:val="{7cf40927-c7cd-476a-ae19-dda9319f0c16}"/>
        <w:style w:val=""/>
        <w:category>
          <w:name w:val="常规"/>
          <w:gallery w:val="placeholder"/>
        </w:category>
        <w:types>
          <w:type w:val="bbPlcHdr"/>
        </w:types>
        <w:behaviors>
          <w:behavior w:val="content"/>
        </w:behaviors>
        <w:description w:val=""/>
        <w:guid w:val="{7cf40927-c7cd-476a-ae19-dda9319f0c16}"/>
      </w:docPartPr>
      <w:docPartBody>
        <w:p>
          <w:r>
            <w:rPr>
              <w:color w:val="808080"/>
            </w:rPr>
            <w:t>单击此处输入文字。</w:t>
          </w:r>
        </w:p>
      </w:docPartBody>
    </w:docPart>
    <w:docPart>
      <w:docPartPr>
        <w:name w:val="{51cbfa71-964b-45f1-8ace-5584bd50b913}"/>
        <w:style w:val=""/>
        <w:category>
          <w:name w:val="常规"/>
          <w:gallery w:val="placeholder"/>
        </w:category>
        <w:types>
          <w:type w:val="bbPlcHdr"/>
        </w:types>
        <w:behaviors>
          <w:behavior w:val="content"/>
        </w:behaviors>
        <w:description w:val=""/>
        <w:guid w:val="{51cbfa71-964b-45f1-8ace-5584bd50b913}"/>
      </w:docPartPr>
      <w:docPartBody>
        <w:p>
          <w:r>
            <w:rPr>
              <w:color w:val="808080"/>
            </w:rPr>
            <w:t>单击此处输入文字。</w:t>
          </w:r>
        </w:p>
      </w:docPartBody>
    </w:docPart>
    <w:docPart>
      <w:docPartPr>
        <w:name w:val="{5b0082db-fa6b-44b9-9c2b-9f542301e75c}"/>
        <w:style w:val=""/>
        <w:category>
          <w:name w:val="常规"/>
          <w:gallery w:val="placeholder"/>
        </w:category>
        <w:types>
          <w:type w:val="bbPlcHdr"/>
        </w:types>
        <w:behaviors>
          <w:behavior w:val="content"/>
        </w:behaviors>
        <w:description w:val=""/>
        <w:guid w:val="{5b0082db-fa6b-44b9-9c2b-9f542301e75c}"/>
      </w:docPartPr>
      <w:docPartBody>
        <w:p>
          <w:r>
            <w:rPr>
              <w:color w:val="808080"/>
            </w:rPr>
            <w:t>单击此处输入文字。</w:t>
          </w:r>
        </w:p>
      </w:docPartBody>
    </w:docPart>
    <w:docPart>
      <w:docPartPr>
        <w:name w:val="{9cb90cd7-7dcd-4b85-bee7-f7916a3972ac}"/>
        <w:style w:val=""/>
        <w:category>
          <w:name w:val="常规"/>
          <w:gallery w:val="placeholder"/>
        </w:category>
        <w:types>
          <w:type w:val="bbPlcHdr"/>
        </w:types>
        <w:behaviors>
          <w:behavior w:val="content"/>
        </w:behaviors>
        <w:description w:val=""/>
        <w:guid w:val="{9cb90cd7-7dcd-4b85-bee7-f7916a3972ac}"/>
      </w:docPartPr>
      <w:docPartBody>
        <w:p>
          <w:r>
            <w:rPr>
              <w:color w:val="808080"/>
            </w:rPr>
            <w:t>单击此处输入文字。</w:t>
          </w:r>
        </w:p>
      </w:docPartBody>
    </w:docPart>
    <w:docPart>
      <w:docPartPr>
        <w:name w:val="{b4ecbdd2-f400-4531-b75d-ff4ef4b7717b}"/>
        <w:style w:val=""/>
        <w:category>
          <w:name w:val="常规"/>
          <w:gallery w:val="placeholder"/>
        </w:category>
        <w:types>
          <w:type w:val="bbPlcHdr"/>
        </w:types>
        <w:behaviors>
          <w:behavior w:val="content"/>
        </w:behaviors>
        <w:description w:val=""/>
        <w:guid w:val="{b4ecbdd2-f400-4531-b75d-ff4ef4b7717b}"/>
      </w:docPartPr>
      <w:docPartBody>
        <w:p>
          <w:r>
            <w:rPr>
              <w:color w:val="808080"/>
            </w:rPr>
            <w:t>单击此处输入文字。</w:t>
          </w:r>
        </w:p>
      </w:docPartBody>
    </w:docPart>
    <w:docPart>
      <w:docPartPr>
        <w:name w:val="{928e95a4-e4ad-4c4e-a82d-ab2bfd68b488}"/>
        <w:style w:val=""/>
        <w:category>
          <w:name w:val="常规"/>
          <w:gallery w:val="placeholder"/>
        </w:category>
        <w:types>
          <w:type w:val="bbPlcHdr"/>
        </w:types>
        <w:behaviors>
          <w:behavior w:val="content"/>
        </w:behaviors>
        <w:description w:val=""/>
        <w:guid w:val="{928e95a4-e4ad-4c4e-a82d-ab2bfd68b488}"/>
      </w:docPartPr>
      <w:docPartBody>
        <w:p>
          <w:r>
            <w:rPr>
              <w:color w:val="808080"/>
            </w:rPr>
            <w:t>单击此处输入文字。</w:t>
          </w:r>
        </w:p>
      </w:docPartBody>
    </w:docPart>
    <w:docPart>
      <w:docPartPr>
        <w:name w:val="{d3017502-ea4c-4a71-b00a-563d95dba706}"/>
        <w:style w:val=""/>
        <w:category>
          <w:name w:val="常规"/>
          <w:gallery w:val="placeholder"/>
        </w:category>
        <w:types>
          <w:type w:val="bbPlcHdr"/>
        </w:types>
        <w:behaviors>
          <w:behavior w:val="content"/>
        </w:behaviors>
        <w:description w:val=""/>
        <w:guid w:val="{d3017502-ea4c-4a71-b00a-563d95dba706}"/>
      </w:docPartPr>
      <w:docPartBody>
        <w:p>
          <w:r>
            <w:rPr>
              <w:color w:val="808080"/>
            </w:rPr>
            <w:t>单击此处输入文字。</w:t>
          </w:r>
        </w:p>
      </w:docPartBody>
    </w:docPart>
    <w:docPart>
      <w:docPartPr>
        <w:name w:val="{c25121c6-32ae-4dc1-a88b-1266c9aecf21}"/>
        <w:style w:val=""/>
        <w:category>
          <w:name w:val="常规"/>
          <w:gallery w:val="placeholder"/>
        </w:category>
        <w:types>
          <w:type w:val="bbPlcHdr"/>
        </w:types>
        <w:behaviors>
          <w:behavior w:val="content"/>
        </w:behaviors>
        <w:description w:val=""/>
        <w:guid w:val="{c25121c6-32ae-4dc1-a88b-1266c9aecf21}"/>
      </w:docPartPr>
      <w:docPartBody>
        <w:p>
          <w:r>
            <w:rPr>
              <w:color w:val="808080"/>
            </w:rPr>
            <w:t>单击此处输入文字。</w:t>
          </w:r>
        </w:p>
      </w:docPartBody>
    </w:docPart>
    <w:docPart>
      <w:docPartPr>
        <w:name w:val="{a6f2ab50-e4cc-4d43-aff7-0ee758280d56}"/>
        <w:style w:val=""/>
        <w:category>
          <w:name w:val="常规"/>
          <w:gallery w:val="placeholder"/>
        </w:category>
        <w:types>
          <w:type w:val="bbPlcHdr"/>
        </w:types>
        <w:behaviors>
          <w:behavior w:val="content"/>
        </w:behaviors>
        <w:description w:val=""/>
        <w:guid w:val="{a6f2ab50-e4cc-4d43-aff7-0ee758280d56}"/>
      </w:docPartPr>
      <w:docPartBody>
        <w:p>
          <w:r>
            <w:rPr>
              <w:color w:val="808080"/>
            </w:rPr>
            <w:t>单击此处输入文字。</w:t>
          </w:r>
        </w:p>
      </w:docPartBody>
    </w:docPart>
    <w:docPart>
      <w:docPartPr>
        <w:name w:val="{e6f76962-e981-4d65-84ea-86187b688ee7}"/>
        <w:style w:val=""/>
        <w:category>
          <w:name w:val="常规"/>
          <w:gallery w:val="placeholder"/>
        </w:category>
        <w:types>
          <w:type w:val="bbPlcHdr"/>
        </w:types>
        <w:behaviors>
          <w:behavior w:val="content"/>
        </w:behaviors>
        <w:description w:val=""/>
        <w:guid w:val="{e6f76962-e981-4d65-84ea-86187b688ee7}"/>
      </w:docPartPr>
      <w:docPartBody>
        <w:p>
          <w:r>
            <w:rPr>
              <w:color w:val="808080"/>
            </w:rPr>
            <w:t>单击此处输入文字。</w:t>
          </w:r>
        </w:p>
      </w:docPartBody>
    </w:docPart>
    <w:docPart>
      <w:docPartPr>
        <w:name w:val="{c9958210-dd72-42ab-9e9a-cbb4467504ae}"/>
        <w:style w:val=""/>
        <w:category>
          <w:name w:val="常规"/>
          <w:gallery w:val="placeholder"/>
        </w:category>
        <w:types>
          <w:type w:val="bbPlcHdr"/>
        </w:types>
        <w:behaviors>
          <w:behavior w:val="content"/>
        </w:behaviors>
        <w:description w:val=""/>
        <w:guid w:val="{c9958210-dd72-42ab-9e9a-cbb4467504ae}"/>
      </w:docPartPr>
      <w:docPartBody>
        <w:p>
          <w:r>
            <w:rPr>
              <w:color w:val="808080"/>
            </w:rPr>
            <w:t>单击此处输入文字。</w:t>
          </w:r>
        </w:p>
      </w:docPartBody>
    </w:docPart>
    <w:docPart>
      <w:docPartPr>
        <w:name w:val="{11b32f67-d416-4107-9e17-70d4cbdc4bfd}"/>
        <w:style w:val=""/>
        <w:category>
          <w:name w:val="常规"/>
          <w:gallery w:val="placeholder"/>
        </w:category>
        <w:types>
          <w:type w:val="bbPlcHdr"/>
        </w:types>
        <w:behaviors>
          <w:behavior w:val="content"/>
        </w:behaviors>
        <w:description w:val=""/>
        <w:guid w:val="{11b32f67-d416-4107-9e17-70d4cbdc4bfd}"/>
      </w:docPartPr>
      <w:docPartBody>
        <w:p>
          <w:r>
            <w:rPr>
              <w:color w:val="808080"/>
            </w:rPr>
            <w:t>单击此处输入文字。</w:t>
          </w:r>
        </w:p>
      </w:docPartBody>
    </w:docPart>
    <w:docPart>
      <w:docPartPr>
        <w:name w:val="{17466d07-8066-4ae2-901e-d3b0bfd41d0d}"/>
        <w:style w:val=""/>
        <w:category>
          <w:name w:val="常规"/>
          <w:gallery w:val="placeholder"/>
        </w:category>
        <w:types>
          <w:type w:val="bbPlcHdr"/>
        </w:types>
        <w:behaviors>
          <w:behavior w:val="content"/>
        </w:behaviors>
        <w:description w:val=""/>
        <w:guid w:val="{17466d07-8066-4ae2-901e-d3b0bfd41d0d}"/>
      </w:docPartPr>
      <w:docPartBody>
        <w:p>
          <w:r>
            <w:rPr>
              <w:color w:val="808080"/>
            </w:rPr>
            <w:t>单击此处输入文字。</w:t>
          </w:r>
        </w:p>
      </w:docPartBody>
    </w:docPart>
    <w:docPart>
      <w:docPartPr>
        <w:name w:val="{6580202f-3e71-453d-990a-df15e9b1d49a}"/>
        <w:style w:val=""/>
        <w:category>
          <w:name w:val="常规"/>
          <w:gallery w:val="placeholder"/>
        </w:category>
        <w:types>
          <w:type w:val="bbPlcHdr"/>
        </w:types>
        <w:behaviors>
          <w:behavior w:val="content"/>
        </w:behaviors>
        <w:description w:val=""/>
        <w:guid w:val="{6580202f-3e71-453d-990a-df15e9b1d49a}"/>
      </w:docPartPr>
      <w:docPartBody>
        <w:p>
          <w:r>
            <w:rPr>
              <w:color w:val="808080"/>
            </w:rPr>
            <w:t>单击此处输入文字。</w:t>
          </w:r>
        </w:p>
      </w:docPartBody>
    </w:docPart>
    <w:docPart>
      <w:docPartPr>
        <w:name w:val="{36090aea-0bf6-4447-93fb-97c165423dd7}"/>
        <w:style w:val=""/>
        <w:category>
          <w:name w:val="常规"/>
          <w:gallery w:val="placeholder"/>
        </w:category>
        <w:types>
          <w:type w:val="bbPlcHdr"/>
        </w:types>
        <w:behaviors>
          <w:behavior w:val="content"/>
        </w:behaviors>
        <w:description w:val=""/>
        <w:guid w:val="{36090aea-0bf6-4447-93fb-97c165423dd7}"/>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2024-04-08T07:17:45Z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