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广元市昭化区实验小学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4270"/>
        <w15:color w:val="DBDBDB"/>
        <w:docPartObj>
          <w:docPartGallery w:val="Table of Contents"/>
          <w:docPartUnique/>
        </w:docPartObj>
      </w:sdtPr>
      <w:sdtEndPr>
        <w:rPr>
          <w:rFonts w:hint="eastAsia" w:ascii="仿宋" w:hAnsi="仿宋" w:eastAsia="仿宋" w:cs="仿宋"/>
          <w:b/>
          <w:i w:val="0"/>
          <w:caps w:val="0"/>
          <w:color w:val="000000" w:themeColor="text1"/>
          <w:spacing w:val="0"/>
          <w:kern w:val="2"/>
          <w:sz w:val="32"/>
          <w:szCs w:val="32"/>
          <w:highlight w:val="none"/>
          <w:lang w:val="en-US" w:eastAsia="zh-CN" w:bidi="ar-SA"/>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instrText xml:space="preserve">TOC \o "1-2" \h \u </w:instrText>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separate"/>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_Toc15559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一、基本职能及主要工作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_Toc15559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_Toc22179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_Toc22179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_Toc14773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_Toc14773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_Toc21178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二、部门预算单位构成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_Toc21178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_Toc1133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三、收支预算情况说明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_Toc1133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_Toc28352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_Toc28352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_Toc4213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_Toc4213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_Toc11385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四、财政拨款收支预算情况说明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_Toc11385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_Toc11124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五、一般公共预算当年拨款情况说明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_Toc11124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_Toc29214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_Toc29214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_Toc23872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_Toc23872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_Toc162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_Toc162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_Toc16790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六、一般公共预算基本支出情况说明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_Toc16790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_Toc12575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七、“三公”经费财政拨款预算安排情况说明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_Toc12575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_Toc28744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（一）公务接待费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_Toc28744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_Toc23222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（二） 公务用车购置及运行维护费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_Toc23222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_Toc28706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（三）因公出国（境）经费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_Toc28706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_Toc3175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八、政府性基金预算支出情况说明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_Toc3175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_Toc20967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九、国有资本经营预算支出情况说明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_Toc20967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_Toc25260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十、其他重要事项的情况说明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_Toc25260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pStyle w:val="7"/>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begin"/>
          </w:r>
          <w:r>
            <w:rPr>
              <w:rFonts w:hint="eastAsia" w:ascii="仿宋" w:hAnsi="仿宋" w:eastAsia="仿宋" w:cs="仿宋"/>
              <w:i w:val="0"/>
              <w:caps w:val="0"/>
              <w:spacing w:val="0"/>
              <w:sz w:val="32"/>
              <w:szCs w:val="32"/>
              <w:highlight w:val="none"/>
            </w:rPr>
            <w:instrText xml:space="preserve"> HYPERLINK \l _Toc10471 </w:instrText>
          </w:r>
          <w:r>
            <w:rPr>
              <w:rFonts w:hint="eastAsia" w:ascii="仿宋" w:hAnsi="仿宋" w:eastAsia="仿宋" w:cs="仿宋"/>
              <w:i w:val="0"/>
              <w:caps w:val="0"/>
              <w:spacing w:val="0"/>
              <w:sz w:val="32"/>
              <w:szCs w:val="32"/>
              <w:highlight w:val="none"/>
            </w:rPr>
            <w:fldChar w:fldCharType="separate"/>
          </w:r>
          <w:r>
            <w:rPr>
              <w:rFonts w:hint="eastAsia" w:ascii="仿宋" w:hAnsi="仿宋" w:eastAsia="仿宋" w:cs="仿宋"/>
              <w:sz w:val="32"/>
              <w:szCs w:val="32"/>
              <w:lang w:val="en-US" w:eastAsia="zh-CN"/>
            </w:rPr>
            <w:t>十一、名词解释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_Toc10471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p>
          <w:pPr>
            <w:jc w:val="both"/>
            <w:rPr>
              <w:rFonts w:hint="eastAsia" w:ascii="仿宋" w:hAnsi="仿宋" w:eastAsia="仿宋" w:cs="仿宋"/>
              <w:i w:val="0"/>
              <w:caps w:val="0"/>
              <w:color w:val="000000" w:themeColor="text1"/>
              <w:spacing w:val="0"/>
              <w:sz w:val="32"/>
              <w:szCs w:val="32"/>
              <w:highlight w:val="none"/>
              <w14:textFill>
                <w14:solidFill>
                  <w14:schemeClr w14:val="tx1"/>
                </w14:solidFill>
              </w14:textFill>
            </w:rPr>
          </w:pPr>
          <w:r>
            <w:rPr>
              <w:rFonts w:hint="eastAsia" w:ascii="仿宋" w:hAnsi="仿宋" w:eastAsia="仿宋" w:cs="仿宋"/>
              <w:i w:val="0"/>
              <w:caps w:val="0"/>
              <w:color w:val="000000" w:themeColor="text1"/>
              <w:spacing w:val="0"/>
              <w:sz w:val="32"/>
              <w:szCs w:val="32"/>
              <w:highlight w:val="none"/>
              <w14:textFill>
                <w14:solidFill>
                  <w14:schemeClr w14:val="tx1"/>
                </w14:solidFill>
              </w14:textFill>
            </w:rPr>
            <w:fldChar w:fldCharType="end"/>
          </w:r>
        </w:p>
      </w:sdtContent>
    </w:sdt>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lang w:val="en-US" w:eastAsia="zh-CN"/>
        </w:rPr>
      </w:pPr>
      <w:bookmarkStart w:id="0" w:name="_Toc1555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2217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1"/>
    </w:p>
    <w:p>
      <w:pPr>
        <w:pStyle w:val="3"/>
        <w:shd w:val="clear" w:color="auto" w:fill="auto"/>
        <w:adjustRightInd w:val="0"/>
        <w:spacing w:beforeLines="0" w:line="500" w:lineRule="exact"/>
        <w:ind w:firstLine="640" w:firstLineChars="200"/>
        <w:outlineLvl w:val="2"/>
        <w:rPr>
          <w:rFonts w:ascii="仿宋" w:hAnsi="仿宋" w:eastAsia="仿宋"/>
          <w:color w:val="000000"/>
          <w:kern w:val="2"/>
          <w:sz w:val="32"/>
          <w:szCs w:val="32"/>
          <w:highlight w:val="none"/>
          <w:shd w:val="clear" w:color="auto" w:fill="auto"/>
        </w:rPr>
      </w:pPr>
      <w:r>
        <w:rPr>
          <w:rFonts w:hint="eastAsia" w:ascii="仿宋" w:hAnsi="仿宋" w:eastAsia="仿宋"/>
          <w:color w:val="000000"/>
          <w:kern w:val="2"/>
          <w:sz w:val="32"/>
          <w:szCs w:val="32"/>
          <w:highlight w:val="none"/>
          <w:shd w:val="clear" w:color="auto" w:fill="auto"/>
        </w:rPr>
        <w:t>1.贯彻党的教育方针，坚持社会主义办学方向，实行教育与生产劳动相结合，对学生进行德育、智育、体育、美育和劳动等方面的教育。</w:t>
      </w:r>
    </w:p>
    <w:p>
      <w:pPr>
        <w:pStyle w:val="3"/>
        <w:shd w:val="clear" w:color="auto" w:fill="auto"/>
        <w:adjustRightInd w:val="0"/>
        <w:spacing w:beforeLines="0" w:line="500" w:lineRule="exact"/>
        <w:ind w:firstLine="640" w:firstLineChars="200"/>
        <w:outlineLvl w:val="2"/>
        <w:rPr>
          <w:rFonts w:hint="eastAsia" w:ascii="仿宋" w:hAnsi="仿宋" w:eastAsia="仿宋"/>
          <w:color w:val="000000"/>
          <w:kern w:val="2"/>
          <w:sz w:val="32"/>
          <w:szCs w:val="32"/>
          <w:highlight w:val="none"/>
          <w:shd w:val="clear" w:color="auto" w:fill="auto"/>
        </w:rPr>
      </w:pPr>
      <w:r>
        <w:rPr>
          <w:rFonts w:hint="eastAsia" w:ascii="仿宋" w:hAnsi="仿宋" w:eastAsia="仿宋"/>
          <w:color w:val="000000"/>
          <w:kern w:val="2"/>
          <w:sz w:val="32"/>
          <w:szCs w:val="32"/>
          <w:highlight w:val="none"/>
          <w:shd w:val="clear" w:color="auto" w:fill="auto"/>
        </w:rPr>
        <w:t>2.用科学的发展观指导教育教学工作。加强教育科研工作，推动校本教育的健康发展。加强教学管理，不断推进新课程改革，全面提高教学质量。</w:t>
      </w:r>
    </w:p>
    <w:p>
      <w:pPr>
        <w:pStyle w:val="3"/>
        <w:shd w:val="clear" w:color="auto" w:fill="auto"/>
        <w:adjustRightInd w:val="0"/>
        <w:spacing w:beforeLines="0" w:line="500" w:lineRule="exact"/>
        <w:ind w:firstLine="640" w:firstLineChars="200"/>
        <w:outlineLvl w:val="2"/>
        <w:rPr>
          <w:rFonts w:hint="eastAsia" w:ascii="仿宋" w:hAnsi="仿宋" w:eastAsia="仿宋"/>
          <w:color w:val="000000"/>
          <w:kern w:val="2"/>
          <w:sz w:val="32"/>
          <w:szCs w:val="32"/>
          <w:highlight w:val="none"/>
          <w:shd w:val="clear" w:color="auto" w:fill="auto"/>
        </w:rPr>
      </w:pPr>
      <w:r>
        <w:rPr>
          <w:rFonts w:hint="eastAsia" w:ascii="仿宋" w:hAnsi="仿宋" w:eastAsia="仿宋"/>
          <w:color w:val="000000"/>
          <w:kern w:val="2"/>
          <w:sz w:val="32"/>
          <w:szCs w:val="32"/>
          <w:highlight w:val="none"/>
          <w:shd w:val="clear" w:color="auto" w:fill="auto"/>
        </w:rPr>
        <w:t>3.负责配合政府依法动员、组织适龄儿童、少年入学，严格控制学生辍学，依法保证适龄儿童、少年接受九年义务教育。</w:t>
      </w:r>
    </w:p>
    <w:p>
      <w:pPr>
        <w:pStyle w:val="3"/>
        <w:shd w:val="clear" w:color="auto" w:fill="auto"/>
        <w:adjustRightInd w:val="0"/>
        <w:spacing w:beforeLines="0" w:line="500" w:lineRule="exact"/>
        <w:ind w:firstLine="640" w:firstLineChars="200"/>
        <w:outlineLvl w:val="2"/>
        <w:rPr>
          <w:rFonts w:hint="eastAsia" w:ascii="仿宋" w:hAnsi="仿宋" w:eastAsia="仿宋"/>
          <w:color w:val="000000"/>
          <w:kern w:val="2"/>
          <w:sz w:val="32"/>
          <w:szCs w:val="32"/>
          <w:highlight w:val="none"/>
          <w:shd w:val="clear" w:color="auto" w:fill="auto"/>
        </w:rPr>
      </w:pPr>
      <w:r>
        <w:rPr>
          <w:rFonts w:hint="eastAsia" w:ascii="仿宋" w:hAnsi="仿宋" w:eastAsia="仿宋"/>
          <w:color w:val="000000"/>
          <w:kern w:val="2"/>
          <w:sz w:val="32"/>
          <w:szCs w:val="32"/>
          <w:highlight w:val="none"/>
          <w:shd w:val="clear" w:color="auto" w:fill="auto"/>
        </w:rPr>
        <w:t>4.继续深化人事制度改革，完善学校内部管理，做好后勤保障工作。</w:t>
      </w:r>
    </w:p>
    <w:p>
      <w:pPr>
        <w:pStyle w:val="3"/>
        <w:shd w:val="clear" w:color="auto" w:fill="auto"/>
        <w:adjustRightInd w:val="0"/>
        <w:spacing w:beforeLines="0" w:line="500" w:lineRule="exact"/>
        <w:ind w:firstLine="640" w:firstLineChars="200"/>
        <w:outlineLvl w:val="2"/>
        <w:rPr>
          <w:rFonts w:hint="eastAsia" w:ascii="仿宋" w:hAnsi="仿宋" w:eastAsia="仿宋"/>
          <w:color w:val="000000"/>
          <w:kern w:val="2"/>
          <w:sz w:val="32"/>
          <w:szCs w:val="32"/>
          <w:highlight w:val="none"/>
          <w:shd w:val="clear" w:color="auto" w:fill="auto"/>
        </w:rPr>
      </w:pPr>
      <w:r>
        <w:rPr>
          <w:rFonts w:hint="eastAsia" w:ascii="仿宋" w:hAnsi="仿宋" w:eastAsia="仿宋"/>
          <w:color w:val="000000"/>
          <w:kern w:val="2"/>
          <w:sz w:val="32"/>
          <w:szCs w:val="32"/>
          <w:highlight w:val="none"/>
          <w:shd w:val="clear" w:color="auto" w:fill="auto"/>
        </w:rPr>
        <w:t>5.负责维护学校、师生的合法权益，有权拒绝任何组织和个人对教育教学活动进行非法干扰。</w:t>
      </w:r>
    </w:p>
    <w:p>
      <w:pPr>
        <w:pStyle w:val="3"/>
        <w:shd w:val="clear" w:color="auto" w:fill="auto"/>
        <w:adjustRightInd w:val="0"/>
        <w:spacing w:beforeLines="0" w:line="500" w:lineRule="exact"/>
        <w:ind w:firstLine="640" w:firstLineChars="200"/>
        <w:outlineLvl w:val="2"/>
        <w:rPr>
          <w:rFonts w:hint="eastAsia" w:ascii="仿宋" w:hAnsi="仿宋" w:eastAsia="仿宋"/>
          <w:color w:val="000000"/>
          <w:kern w:val="2"/>
          <w:sz w:val="32"/>
          <w:szCs w:val="32"/>
          <w:highlight w:val="none"/>
          <w:shd w:val="clear" w:color="auto" w:fill="auto"/>
        </w:rPr>
      </w:pPr>
      <w:r>
        <w:rPr>
          <w:rFonts w:hint="eastAsia" w:ascii="仿宋" w:hAnsi="仿宋" w:eastAsia="仿宋"/>
          <w:color w:val="000000"/>
          <w:kern w:val="2"/>
          <w:sz w:val="32"/>
          <w:szCs w:val="32"/>
          <w:highlight w:val="none"/>
          <w:shd w:val="clear" w:color="auto" w:fill="auto"/>
        </w:rPr>
        <w:t>6.负责创建绿色校园、文明校园和平安校园。</w:t>
      </w:r>
    </w:p>
    <w:p>
      <w:pPr>
        <w:pStyle w:val="3"/>
        <w:shd w:val="clear" w:color="auto" w:fill="auto"/>
        <w:adjustRightInd w:val="0"/>
        <w:spacing w:beforeLines="0" w:line="500" w:lineRule="exact"/>
        <w:ind w:firstLine="640" w:firstLineChars="200"/>
        <w:outlineLvl w:val="2"/>
        <w:rPr>
          <w:rFonts w:hint="eastAsia" w:ascii="仿宋" w:hAnsi="仿宋" w:eastAsia="仿宋"/>
          <w:color w:val="000000"/>
          <w:kern w:val="2"/>
          <w:sz w:val="32"/>
          <w:szCs w:val="32"/>
          <w:highlight w:val="none"/>
          <w:shd w:val="clear" w:color="auto" w:fill="auto"/>
        </w:rPr>
      </w:pPr>
      <w:r>
        <w:rPr>
          <w:rFonts w:hint="eastAsia" w:ascii="仿宋" w:hAnsi="仿宋" w:eastAsia="仿宋"/>
          <w:color w:val="000000"/>
          <w:kern w:val="2"/>
          <w:sz w:val="32"/>
          <w:szCs w:val="32"/>
          <w:highlight w:val="none"/>
          <w:shd w:val="clear" w:color="auto" w:fill="auto"/>
        </w:rPr>
        <w:t>7.负责关心教职工生活，发挥教代会职能作用。</w:t>
      </w:r>
    </w:p>
    <w:p>
      <w:pPr>
        <w:shd w:val="clear" w:color="auto" w:fill="auto"/>
        <w:ind w:firstLine="640" w:firstLineChars="200"/>
        <w:rPr>
          <w:rFonts w:hint="eastAsia" w:ascii="楷体_GB2312" w:hAnsi="楷体_GB2312" w:eastAsia="楷体_GB2312" w:cs="楷体_GB2312"/>
          <w:sz w:val="32"/>
          <w:szCs w:val="32"/>
        </w:rPr>
      </w:pPr>
      <w:r>
        <w:rPr>
          <w:rFonts w:hint="eastAsia" w:ascii="仿宋" w:hAnsi="仿宋" w:eastAsia="仿宋"/>
          <w:color w:val="000000"/>
          <w:sz w:val="32"/>
          <w:szCs w:val="32"/>
          <w:highlight w:val="none"/>
          <w:shd w:val="clear" w:color="auto" w:fill="auto"/>
        </w:rPr>
        <w:t>8.承办上级交办的其他事项。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477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提升教育教学质量，发展学生核心素养。目标考核先进单位、素质教育质量评估获同类学校一等奖、学生学业水平检测综合排名“保二争一”。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加强师资队伍建设，提高教师队伍素质。招引教师</w:t>
      </w:r>
      <w:r>
        <w:rPr>
          <w:rFonts w:hint="eastAsia" w:ascii="仿宋" w:hAnsi="仿宋" w:eastAsia="仿宋" w:cs="仿宋"/>
          <w:sz w:val="32"/>
          <w:szCs w:val="32"/>
          <w:lang w:val="en-US" w:eastAsia="zh-CN"/>
        </w:rPr>
        <w:t>1-2人、建成青年教师青蓝结对工程。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优化教育资源配置，改善整体办学条件。建成学生宿舍楼、完成学校信息化升级改造及教室灯光改造。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推进学校文化建设，打造学校办学品牌。</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21178"/>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133"/>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实验小学单位所有收入和支出均纳入部门预算管理。收入包括：一般公共预算拨款收入；支出包括：教育支出、社会保障和就业支出。实验小学2024年收支预算总数873.57万元,比2023年收支预算总数增加10.1万元，主要原因是基本支出和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28352"/>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实验小学2024年收入预算873.57万元，其中：一般公共预算拨款收入873.57万元，占100%。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4213"/>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实验小学2024年支出预算873.57万元，其中：基本支出825.07万元，占94%；项目支出48.5万元，占0.6%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11385"/>
      <w:r>
        <w:rPr>
          <w:rFonts w:hint="eastAsia" w:ascii="黑体" w:hAnsi="黑体" w:eastAsia="黑体" w:cs="黑体"/>
          <w:sz w:val="32"/>
          <w:szCs w:val="32"/>
          <w:lang w:val="en-US" w:eastAsia="zh-CN"/>
        </w:rPr>
        <w:t>四、财政拨款收支预算情况说明</w:t>
      </w:r>
      <w:bookmarkEnd w:id="7"/>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line="580" w:lineRule="atLeast"/>
        <w:ind w:left="0" w:right="0" w:firstLine="668"/>
        <w:jc w:val="both"/>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实验小学2024年财政拨款收支预算总数873.57万元,比2023年财政拨款收支预算总数增加10.1万元，主要原因是基本支出和项目支出增加。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收入包括：本年一般公共预算拨款收入873.57万元；支出包括：教育支出795.57万元、社会保障和就业支出78万元。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1124"/>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29214"/>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line="580" w:lineRule="atLeast"/>
        <w:ind w:left="0" w:right="0" w:firstLine="668"/>
        <w:jc w:val="both"/>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实验小学2024年一般公共预算当年拨款873.57万元，比2023年预算数增加10.1万元，主要原因是基本支出和项目支出增加。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3872"/>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一般公共服务支出873.57万元，占100%；教育支出795.57万元，占91%；社会保障和就业支出78万元，占0.9%。</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62"/>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一般公共服务（类）普通教育（款）小学教育（项）2024年预算数为873.57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2.社会保障和就业（类）行政事业单位养老支出（款）事业单位离退休（项）2024年预算数为78万元，主要用于：本单位离退休人员经费支出。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16790"/>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实验小学2024年一般公共预算基本支出825.07万元，其中：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人员经费825.07万元，主要包括：基本工资、津贴补贴、奖金、社会保险缴费、离休费、住房公积金等支出。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2575"/>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实验小学2024年“三公”经费财政拨款预算数0.11万元，其中：公务接待费0.11万元。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28744"/>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公务接待费与2023年预算相比下降，主要原因是奉行节约，严格执行三公经费压减政策。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3222"/>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28706"/>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3175"/>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实验小学2024年政府性基金预算拨款安排支出0万元。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0967"/>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实验小学2024年无国有资本经营预算拨款安排的支出。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25260"/>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5357"/>
      <w:r>
        <w:rPr>
          <w:rFonts w:hint="eastAsia" w:ascii="楷体_GB2312" w:hAnsi="楷体_GB2312" w:eastAsia="楷体_GB2312" w:cs="楷体_GB2312"/>
          <w:sz w:val="32"/>
          <w:szCs w:val="32"/>
          <w:lang w:val="en-US" w:eastAsia="zh-CN"/>
        </w:rPr>
        <w:t>（一）机关运行经费</w:t>
      </w:r>
      <w:bookmarkEnd w:id="20"/>
    </w:p>
    <w:p>
      <w:pPr>
        <w:pStyle w:val="10"/>
        <w:widowControl/>
        <w:shd w:val="clear" w:color="auto" w:fill="auto"/>
        <w:spacing w:before="120" w:line="600" w:lineRule="exact"/>
        <w:ind w:firstLine="645"/>
        <w:rPr>
          <w:rFonts w:hint="eastAsia" w:ascii="Times New Roman" w:hAnsi="Times New Roman" w:eastAsia="仿宋_GB2312"/>
          <w:color w:val="000000"/>
          <w:sz w:val="32"/>
          <w:szCs w:val="32"/>
          <w:highlight w:val="none"/>
          <w:shd w:val="clear" w:color="auto" w:fill="auto"/>
          <w:lang w:eastAsia="zh-CN"/>
        </w:rPr>
      </w:pPr>
      <w:r>
        <w:rPr>
          <w:rFonts w:hint="eastAsia" w:ascii="仿宋_GB2312" w:hAnsi="仿宋_GB2312" w:eastAsia="仿宋_GB2312" w:cs="仿宋_GB2312"/>
          <w:sz w:val="32"/>
          <w:szCs w:val="32"/>
          <w:lang w:val="en-US" w:eastAsia="zh-CN"/>
        </w:rPr>
        <w:t>2024年，</w:t>
      </w:r>
      <w:r>
        <w:rPr>
          <w:rFonts w:hint="eastAsia" w:ascii="Times New Roman" w:hAnsi="Times New Roman" w:eastAsia="仿宋_GB2312"/>
          <w:color w:val="000000"/>
          <w:sz w:val="32"/>
          <w:szCs w:val="32"/>
          <w:highlight w:val="none"/>
          <w:shd w:val="clear" w:color="auto" w:fill="auto"/>
          <w:lang w:eastAsia="zh-CN"/>
        </w:rPr>
        <w:t>本单位属于公益一类事业单位无机关运行经费。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6088"/>
      <w:r>
        <w:rPr>
          <w:rFonts w:hint="eastAsia" w:ascii="楷体_GB2312" w:hAnsi="楷体_GB2312" w:eastAsia="楷体_GB2312" w:cs="楷体_GB2312"/>
          <w:sz w:val="32"/>
          <w:szCs w:val="32"/>
          <w:lang w:val="en-US" w:eastAsia="zh-CN"/>
        </w:rPr>
        <w:t>（二）政府采购情况</w:t>
      </w:r>
      <w:bookmarkEnd w:id="2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2024年，实验小学</w:t>
      </w:r>
      <w:r>
        <w:rPr>
          <w:rFonts w:hint="eastAsia" w:ascii="仿宋_GB2312" w:hAnsi="Times New Roman" w:eastAsia="仿宋_GB2312" w:cs="仿宋_GB2312"/>
          <w:i w:val="0"/>
          <w:caps w:val="0"/>
          <w:color w:val="000000"/>
          <w:spacing w:val="0"/>
          <w:kern w:val="0"/>
          <w:sz w:val="32"/>
          <w:szCs w:val="32"/>
          <w:highlight w:val="none"/>
          <w:shd w:val="clear" w:color="auto" w:fill="auto"/>
          <w:lang w:val="en-US" w:eastAsia="zh-CN" w:bidi="ar"/>
        </w:rPr>
        <w:t>未安排政府采购预算预算。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3517"/>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截至2023年底，实验小学共有车辆0辆，无价值200万元以上的大型设备。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5772"/>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2024年实验小学开展绩效目标管理的项目2个，涉及预算48.5万元。其中：人员类项目0个，涉及预算0万元；运转类项目2个，涉及预算48.5万元；特定目标类项目0个，涉及预算0万元。因部分项目内容涉密，不予公开。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0471"/>
      <w:r>
        <w:rPr>
          <w:rFonts w:hint="eastAsia" w:ascii="黑体" w:hAnsi="黑体" w:eastAsia="黑体" w:cs="黑体"/>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w:t>
      </w:r>
      <w:bookmarkStart w:id="27" w:name="_GoBack"/>
      <w:bookmarkEnd w:id="27"/>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 “事业收入”等以外的收入。如银行存款利息收入、社会考试服务收入、校企合作收入、课时收入等。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（四）上年结转：指以前年度尚未完成，结转到本年仍按原规定用途继续使用的资金。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（五）一般公共服务（类）普通教育（款）小学教育（项）：</w:t>
      </w:r>
      <w:r>
        <w:rPr>
          <w:rFonts w:hint="eastAsia" w:ascii="仿宋_GB2312" w:hAnsi="仿宋_GB2312" w:eastAsia="仿宋_GB2312" w:cs="仿宋_GB2312"/>
          <w:color w:val="auto"/>
          <w:sz w:val="32"/>
          <w:szCs w:val="32"/>
          <w:lang w:val="en-US" w:eastAsia="zh-CN"/>
        </w:rPr>
        <w:t>指本单位用于保障机构正常运行、开展日常工作的基本支出。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lang w:val="en-US" w:eastAsia="zh-CN"/>
        </w:rPr>
        <w:t>（六）社会保障和就业（类）行政事业单位养老支出（款）事业单位离退休（项）：</w:t>
      </w:r>
      <w:r>
        <w:rPr>
          <w:rFonts w:hint="eastAsia" w:ascii="仿宋_GB2312" w:hAnsi="仿宋_GB2312" w:eastAsia="仿宋_GB2312" w:cs="仿宋_GB2312"/>
          <w:color w:val="auto"/>
          <w:sz w:val="32"/>
          <w:szCs w:val="32"/>
          <w:lang w:val="en-US" w:eastAsia="zh-CN"/>
        </w:rPr>
        <w:t>指本单位离退休人员的支出。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（十七）住房保障（类）住房改革支出（款）住房公积金（项）：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（十八）基本支出：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（十九）项目支出：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（二十）“三公”经费：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25" w:name="_Toc961"/>
      <w:r>
        <w:rPr>
          <w:rFonts w:hint="eastAsia" w:ascii="仿宋_GB2312" w:hAnsi="仿宋_GB2312" w:eastAsia="仿宋_GB2312" w:cs="仿宋_GB2312"/>
          <w:sz w:val="32"/>
          <w:szCs w:val="32"/>
          <w:lang w:val="en-US" w:eastAsia="zh-CN"/>
        </w:rPr>
        <w:t>附件：1.部门预算公开表</w:t>
      </w:r>
      <w:bookmarkEnd w:id="25"/>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0"/>
        <w:rPr>
          <w:rFonts w:hint="eastAsia" w:ascii="仿宋_GB2312" w:hAnsi="仿宋_GB2312" w:eastAsia="仿宋_GB2312" w:cs="仿宋_GB2312"/>
          <w:sz w:val="32"/>
          <w:szCs w:val="32"/>
          <w:lang w:val="en-US" w:eastAsia="zh-CN"/>
        </w:rPr>
      </w:pPr>
      <w:bookmarkStart w:id="26" w:name="_Toc21342"/>
      <w:r>
        <w:rPr>
          <w:rFonts w:hint="eastAsia" w:ascii="仿宋_GB2312" w:hAnsi="仿宋_GB2312" w:eastAsia="仿宋_GB2312" w:cs="仿宋_GB2312"/>
          <w:sz w:val="32"/>
          <w:szCs w:val="32"/>
          <w:lang w:val="en-US" w:eastAsia="zh-CN"/>
        </w:rPr>
        <w:t>项目支出绩效目标表</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0126407"/>
    <w:rsid w:val="004524F7"/>
    <w:rsid w:val="0068458D"/>
    <w:rsid w:val="012352D1"/>
    <w:rsid w:val="04BE4CA4"/>
    <w:rsid w:val="134839E3"/>
    <w:rsid w:val="178C645E"/>
    <w:rsid w:val="17F84A56"/>
    <w:rsid w:val="18CC01A8"/>
    <w:rsid w:val="194A149A"/>
    <w:rsid w:val="1D6366BD"/>
    <w:rsid w:val="1F3411CE"/>
    <w:rsid w:val="1F7BF06F"/>
    <w:rsid w:val="1FEE4B73"/>
    <w:rsid w:val="1FF12E3B"/>
    <w:rsid w:val="23CE9849"/>
    <w:rsid w:val="26C10EF9"/>
    <w:rsid w:val="270405F7"/>
    <w:rsid w:val="28595DE4"/>
    <w:rsid w:val="29AA3B88"/>
    <w:rsid w:val="2AE44ED8"/>
    <w:rsid w:val="2C4A0C50"/>
    <w:rsid w:val="2C957E6E"/>
    <w:rsid w:val="2E1917CC"/>
    <w:rsid w:val="31132B23"/>
    <w:rsid w:val="31834988"/>
    <w:rsid w:val="33706040"/>
    <w:rsid w:val="34703FD5"/>
    <w:rsid w:val="387C45C1"/>
    <w:rsid w:val="39353987"/>
    <w:rsid w:val="39F304DD"/>
    <w:rsid w:val="3BBB5F6D"/>
    <w:rsid w:val="3BCC1D33"/>
    <w:rsid w:val="400B641E"/>
    <w:rsid w:val="40BE7C29"/>
    <w:rsid w:val="412642C2"/>
    <w:rsid w:val="41CE334B"/>
    <w:rsid w:val="45BF3D19"/>
    <w:rsid w:val="4660125F"/>
    <w:rsid w:val="4927111A"/>
    <w:rsid w:val="4AFF27CC"/>
    <w:rsid w:val="4CAF0C1F"/>
    <w:rsid w:val="4EC02977"/>
    <w:rsid w:val="4F293E71"/>
    <w:rsid w:val="506211D9"/>
    <w:rsid w:val="522C79DF"/>
    <w:rsid w:val="54244390"/>
    <w:rsid w:val="54662A63"/>
    <w:rsid w:val="553855FB"/>
    <w:rsid w:val="56D16343"/>
    <w:rsid w:val="57FF6347"/>
    <w:rsid w:val="58064E12"/>
    <w:rsid w:val="5AA33817"/>
    <w:rsid w:val="5BFEE015"/>
    <w:rsid w:val="5CA85C02"/>
    <w:rsid w:val="5DF33FC5"/>
    <w:rsid w:val="60B55C60"/>
    <w:rsid w:val="63236BAB"/>
    <w:rsid w:val="63EDCF55"/>
    <w:rsid w:val="63FBFBCF"/>
    <w:rsid w:val="669360FD"/>
    <w:rsid w:val="68FF6A83"/>
    <w:rsid w:val="6CF11034"/>
    <w:rsid w:val="6FBBC9CF"/>
    <w:rsid w:val="71CD5149"/>
    <w:rsid w:val="72BDE561"/>
    <w:rsid w:val="77C05078"/>
    <w:rsid w:val="78462278"/>
    <w:rsid w:val="7997EA6C"/>
    <w:rsid w:val="7AEAE675"/>
    <w:rsid w:val="7BAFCE5D"/>
    <w:rsid w:val="7C523723"/>
    <w:rsid w:val="7D46598C"/>
    <w:rsid w:val="7DFB240B"/>
    <w:rsid w:val="7E0935ED"/>
    <w:rsid w:val="7E8A43ED"/>
    <w:rsid w:val="7EC02D53"/>
    <w:rsid w:val="7F061043"/>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3">
    <w:name w:val="Default Paragraph Font"/>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caption"/>
    <w:basedOn w:val="1"/>
    <w:next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Body Text Indent"/>
    <w:basedOn w:val="1"/>
    <w:uiPriority w:val="0"/>
    <w:pPr>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iPriority w:val="0"/>
  </w:style>
  <w:style w:type="paragraph" w:styleId="8">
    <w:name w:val="List"/>
    <w:basedOn w:val="3"/>
    <w:autoRedefine/>
    <w:qFormat/>
    <w:uiPriority w:val="0"/>
  </w:style>
  <w:style w:type="paragraph" w:styleId="9">
    <w:name w:val="toc 2"/>
    <w:basedOn w:val="1"/>
    <w:next w:val="1"/>
    <w:autoRedefine/>
    <w:qFormat/>
    <w:uiPriority w:val="0"/>
    <w:pPr>
      <w:ind w:left="420" w:leftChars="200"/>
    </w:pPr>
  </w:style>
  <w:style w:type="paragraph" w:styleId="10">
    <w:name w:val="Normal (Web)"/>
    <w:basedOn w:val="1"/>
    <w:qFormat/>
    <w:uiPriority w:val="0"/>
    <w:rPr>
      <w:sz w:val="24"/>
    </w:rPr>
  </w:style>
  <w:style w:type="paragraph" w:styleId="11">
    <w:name w:val="Body Text First Indent 2"/>
    <w:basedOn w:val="4"/>
    <w:qFormat/>
    <w:uiPriority w:val="0"/>
    <w:pPr>
      <w:ind w:firstLine="420" w:firstLineChars="200"/>
    </w:pPr>
  </w:style>
  <w:style w:type="character" w:customStyle="1" w:styleId="14">
    <w:name w:val="默认段落字体1"/>
    <w:qFormat/>
    <w:uiPriority w:val="0"/>
  </w:style>
  <w:style w:type="paragraph" w:customStyle="1" w:styleId="15">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autoRedefine/>
    <w:qFormat/>
    <w:uiPriority w:val="0"/>
    <w:pPr>
      <w:widowControl w:val="0"/>
      <w:suppressLineNumbers/>
      <w:suppressAutoHyphens/>
    </w:p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2024-04-08T07:17:32Z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