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3132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广元市昭化区元坝镇第二小学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sdt>
      <w:sdtPr>
        <w:rPr>
          <w:rFonts w:ascii="宋体" w:hAnsi="宋体" w:eastAsia="宋体" w:cs="Times New Roman"/>
          <w:color w:val="auto"/>
          <w:kern w:val="2"/>
          <w:sz w:val="21"/>
          <w:szCs w:val="24"/>
          <w:lang w:val="en-US" w:eastAsia="zh-CN" w:bidi="ar-SA"/>
        </w:rPr>
        <w:id w:val="147462742"/>
        <w15:color w:val="DBDBDB"/>
        <w:docPartObj>
          <w:docPartGallery w:val="Table of Contents"/>
          <w:docPartUnique/>
        </w:docPartObj>
      </w:sdtPr>
      <w:sdtEndPr>
        <w:rPr>
          <w:rFonts w:hint="eastAsia" w:ascii="仿宋" w:hAnsi="仿宋" w:eastAsia="仿宋" w:cs="仿宋"/>
          <w:b/>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r>
            <w:rPr>
              <w:rFonts w:hint="eastAsia" w:ascii="仿宋" w:hAnsi="仿宋" w:eastAsia="仿宋" w:cs="仿宋"/>
              <w:b/>
              <w:bCs/>
              <w:sz w:val="44"/>
              <w:szCs w:val="44"/>
            </w:rPr>
            <w:t>目录</w:t>
          </w:r>
        </w:p>
        <w:p>
          <w:pPr>
            <w:pStyle w:val="13"/>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_Toc8928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_Toc8928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_Toc7586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_Toc7586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_Toc1723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_Toc1723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_Toc23554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_Toc23554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_Toc5225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_Toc5225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_Toc17586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 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_Toc17586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_Toc24778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 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_Toc24778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_Toc6494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_Toc6494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_Toc19965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 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_Toc19965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_Toc17984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_Toc17984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_Toc18309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_Toc18309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_Toc16443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_Toc16443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_Toc28799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 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_Toc28799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_Toc8367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 “三公”经费财政拨款预算安排情况说明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_Toc8367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_Toc10474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_Toc10474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_Toc16142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_Toc16142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_Toc24967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_Toc24967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_Toc24173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 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_Toc24173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rPr>
              <w:rFonts w:hint="eastAsia" w:ascii="仿宋" w:hAnsi="仿宋" w:eastAsia="仿宋" w:cs="仿宋"/>
              <w:sz w:val="32"/>
              <w:szCs w:val="32"/>
            </w:rPr>
          </w:pPr>
          <w:r>
            <w:rPr>
              <w:rFonts w:hint="eastAsia" w:ascii="仿宋" w:hAnsi="仿宋" w:eastAsia="仿宋" w:cs="仿宋"/>
              <w:b/>
              <w:sz w:val="32"/>
              <w:szCs w:val="32"/>
            </w:rPr>
            <w:fldChar w:fldCharType="end"/>
          </w:r>
        </w:p>
      </w:sdtContent>
    </w:sdt>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pPr>
      <w:r>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8928"/>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758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1.认真实施贯彻党的教育方针，坚持社会主义办学方向，基本知识、基本技能及生产劳动相结合，对学生进行德、智、体、美、劳方面的教育。</w:t>
      </w:r>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2.运用科学的发展观指导教育教学工作。加强教育科研工作，推动校本教育的健康发展。加强教学管理，不断推进新课程改革，全面提高教学质量。</w:t>
      </w:r>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3.配合政府依法动员、组织适龄儿童、少年入学，严格控制学生辍学，依法保证适龄儿童、少年接受九年义务教育。</w:t>
      </w:r>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4.深化人事制度改革，完善学校内部管理，做好后勤保障工作。</w:t>
      </w:r>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5.科学管理、合理使用学校的设施和经费，并积极筹措资金，努力改善办学条件。</w:t>
      </w:r>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6.维护学校、师生的合法权益，有权拒绝任何组织和个人对教育教学活动进行非法干扰。</w:t>
      </w:r>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7.创建绿色校园、文明校园和平安校园。</w:t>
      </w:r>
    </w:p>
    <w:p>
      <w:pPr>
        <w:pStyle w:val="3"/>
        <w:adjustRightInd w:val="0"/>
        <w:snapToGrid w:val="0"/>
        <w:spacing w:beforeLines="0" w:line="550" w:lineRule="atLeast"/>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8.关心教职工生活，发挥教代会职能作用。</w:t>
      </w:r>
    </w:p>
    <w:p>
      <w:pPr>
        <w:snapToGrid w:val="0"/>
        <w:spacing w:line="550" w:lineRule="atLeast"/>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9.承办上级交办的其他事项。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72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numPr>
          <w:ilvl w:val="0"/>
          <w:numId w:val="0"/>
        </w:numPr>
        <w:ind w:firstLine="640" w:firstLineChars="200"/>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（一）牢抓教育教学，坚守初心使命。2024年，我们将继续坚持“教育六认真”、月检查、月研判等制度，把教育教学进一步抓牢抓实；</w:t>
      </w:r>
    </w:p>
    <w:p>
      <w:pPr>
        <w:numPr>
          <w:ilvl w:val="0"/>
          <w:numId w:val="0"/>
        </w:numPr>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（二）开展课题研究，打造学校责任意识教育特色。落实区级科研课题，结合我校实际，深入研究，总结成果，形成教育特色；</w:t>
      </w:r>
    </w:p>
    <w:p>
      <w:pPr>
        <w:numPr>
          <w:ilvl w:val="0"/>
          <w:numId w:val="0"/>
        </w:numPr>
        <w:ind w:firstLine="640" w:firstLineChars="200"/>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三）加大宣传力度，渐进式解决招生难。来年，我们将采用召开“退休不退热情”的退休教师座谈会、家长会、美文等形式，运用QQ、微信群、报刊等途径，宣传学校特色及成果，逐渐改变家长学生、家长观念，形成良好招生氛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百尺竿头宜奋起，扬鞭催马任驱驰。在新的一年中，我将带领二小全体教师进一步增强大局意识、责任意识、创新意识、弘扬团结精神、奉献精神，敢于争先领跑，善于拼搏进取，以昂扬向上的精神风貌、稳扎稳打的实际行动和优异的成绩，开创二小教育新的局面，铸造二小教育的辉煌！</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3554"/>
      <w:r>
        <w:rPr>
          <w:rFonts w:hint="eastAsia" w:ascii="黑体" w:hAnsi="黑体" w:eastAsia="黑体" w:cs="黑体"/>
          <w:sz w:val="32"/>
          <w:szCs w:val="32"/>
          <w:lang w:val="en-US" w:eastAsia="zh-CN"/>
        </w:rPr>
        <w:t>二、部门预算单位构成</w:t>
      </w:r>
      <w:bookmarkEnd w:id="4"/>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rPr>
        <w:t>为广元市昭化区教育局所属的二级预算单位，单位性质为财政补助事业单位。</w:t>
      </w:r>
      <w:r>
        <w:rPr>
          <w:rFonts w:hint="eastAsia" w:ascii="仿宋_GB2312" w:hAnsi="仿宋_GB2312" w:eastAsia="仿宋_GB2312" w:cs="仿宋_GB2312"/>
          <w:color w:val="000000"/>
          <w:sz w:val="32"/>
          <w:szCs w:val="32"/>
          <w:lang w:eastAsia="zh-CN"/>
        </w:rPr>
        <w:t>本单位无下属机构，</w:t>
      </w:r>
      <w:r>
        <w:rPr>
          <w:rFonts w:hint="eastAsia" w:ascii="仿宋_GB2312" w:hAnsi="仿宋_GB2312" w:eastAsia="仿宋_GB2312" w:cs="仿宋_GB2312"/>
          <w:color w:val="000000"/>
          <w:sz w:val="32"/>
          <w:szCs w:val="32"/>
          <w:lang w:val="en-US" w:eastAsia="zh-CN"/>
        </w:rPr>
        <w:t>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5225"/>
      <w:r>
        <w:rPr>
          <w:rFonts w:hint="eastAsia" w:ascii="黑体" w:hAnsi="黑体" w:eastAsia="黑体" w:cs="黑体"/>
          <w:sz w:val="32"/>
          <w:szCs w:val="32"/>
          <w:lang w:val="en-US" w:eastAsia="zh-CN"/>
        </w:rPr>
        <w:t>三、收支预算情况说明</w:t>
      </w:r>
      <w:bookmarkEnd w:id="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按照综合预算的原则，元坝二小所有收入和支出均纳入部门预算管理。收入包括：一般公共预算拨款收入；支出包括：教育支出、社会保障和就业支出。元坝二小2024年收支总预算371.32万元,比2023年收支预算总数减少17.62万元，主要原因是在编教师人员减少，工资福利支出减少。</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6" w:name="_Toc17586"/>
      <w:r>
        <w:rPr>
          <w:rFonts w:hint="eastAsia" w:ascii="楷体_GB2312" w:hAnsi="楷体_GB2312" w:eastAsia="楷体_GB2312" w:cs="楷体_GB2312"/>
          <w:sz w:val="32"/>
          <w:szCs w:val="32"/>
          <w:lang w:val="en-US" w:eastAsia="zh-CN"/>
        </w:rPr>
        <w:t>收入预算情况</w:t>
      </w:r>
      <w:bookmarkEnd w:id="6"/>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元坝二小2024年收入预算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371.32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万元，其中：上年结转</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%；一般公共预算拨款收入</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371.32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7" w:name="_Toc24778"/>
      <w:r>
        <w:rPr>
          <w:rFonts w:hint="eastAsia" w:ascii="楷体_GB2312" w:hAnsi="楷体_GB2312" w:eastAsia="楷体_GB2312" w:cs="楷体_GB2312"/>
          <w:sz w:val="32"/>
          <w:szCs w:val="32"/>
          <w:lang w:val="en-US" w:eastAsia="zh-CN"/>
        </w:rPr>
        <w:t>支出预算情况</w:t>
      </w:r>
      <w:bookmarkEnd w:id="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元坝二小2024年支出预算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371.32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万元，其中：基本支出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345.68</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93.09</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%；项目支出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25.64</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6.91</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rPr>
      </w:pPr>
      <w:bookmarkStart w:id="8" w:name="_Toc6494"/>
      <w:r>
        <w:rPr>
          <w:rFonts w:hint="eastAsia" w:ascii="黑体" w:hAnsi="黑体" w:eastAsia="黑体" w:cs="黑体"/>
          <w:sz w:val="32"/>
          <w:szCs w:val="32"/>
          <w:lang w:val="en-US" w:eastAsia="zh-CN"/>
        </w:rPr>
        <w:t>四、财政拨款收支预算情况说明</w:t>
      </w:r>
      <w:bookmarkEnd w:id="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元坝二小2024年财政拨款收支总预算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371.32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万元,比2023年财政拨款收支总预算减少17.62万元。主要原因是在编教师人员减少，工资福利支出减少。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收入包括：本年一般公共预算拨款收入371.32万元</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sz w:val="32"/>
          <w:szCs w:val="32"/>
          <w:lang w:val="en-US" w:eastAsia="zh-CN"/>
        </w:rPr>
        <w:t>支出包括：教育支出371.32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9" w:name="_Toc19965"/>
      <w:r>
        <w:rPr>
          <w:rFonts w:hint="eastAsia" w:ascii="黑体" w:hAnsi="黑体" w:eastAsia="黑体" w:cs="黑体"/>
          <w:sz w:val="32"/>
          <w:szCs w:val="32"/>
          <w:lang w:val="en-US" w:eastAsia="zh-CN"/>
        </w:rPr>
        <w:t>一般公共预算当年拨款情况说明</w:t>
      </w:r>
      <w:bookmarkEnd w:id="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10" w:name="_Toc17984"/>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元坝二小2024年一般公共预算当年拨款371.32万元，比2023年预算数减少17.62万元，主要原因是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在编教师人员减少，工资福利支出减少。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11" w:name="_Toc18309"/>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教育支出371.32万元，占100%。</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12" w:name="_Toc16443"/>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教育支出（类）普通教育（款）小学教育（项）2024年预算数为371.32万元，主要用于：</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小学教育发展的基本支出，包括基本工资、津贴补贴、基础绩效奖等人员经费以及办公费、印刷费、水电费、工会活动经费等日常公用经费。</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sz w:val="32"/>
          <w:szCs w:val="32"/>
          <w:lang w:val="en-US" w:eastAsia="zh-CN"/>
        </w:rPr>
      </w:pPr>
      <w:bookmarkStart w:id="13" w:name="_Toc28799"/>
      <w:r>
        <w:rPr>
          <w:rFonts w:hint="eastAsia" w:ascii="黑体" w:hAnsi="黑体" w:eastAsia="黑体" w:cs="黑体"/>
          <w:sz w:val="32"/>
          <w:szCs w:val="32"/>
          <w:lang w:val="en-US" w:eastAsia="zh-CN"/>
        </w:rPr>
        <w:t>一般公共预算基本支出情况说明</w:t>
      </w:r>
      <w:bookmarkEnd w:id="1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元坝二小2024年一般公共预算基本支出345.68万元，其中：</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人员经费345.68万元，</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主要包括：基本工资、津贴补贴、奖金、绩效奖金、社会保险缴费、住房公积金、对个人和家庭的补助等支出。</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sz w:val="32"/>
          <w:szCs w:val="32"/>
          <w:lang w:val="en-US" w:eastAsia="zh-CN"/>
        </w:rPr>
      </w:pPr>
      <w:bookmarkStart w:id="14" w:name="_Toc8367"/>
      <w:r>
        <w:rPr>
          <w:rFonts w:hint="eastAsia" w:ascii="黑体" w:hAnsi="黑体" w:eastAsia="黑体" w:cs="黑体"/>
          <w:sz w:val="32"/>
          <w:szCs w:val="32"/>
          <w:lang w:val="en-US" w:eastAsia="zh-CN"/>
        </w:rPr>
        <w:t>“三公”经费财政拨款预算安排情况说明</w:t>
      </w:r>
      <w:bookmarkEnd w:id="1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元坝二小2024年“三公”经费财政拨款预算数0万元，其中：公务接待费0万元，公务用车购置及运行维护费0万元，因公出国（境）经费0万元。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3705"/>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公务接待费与2023年预算相比</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下降100%</w:t>
      </w:r>
      <w:r>
        <w:rPr>
          <w:rFonts w:hint="eastAsia" w:ascii="仿宋_GB2312" w:hAnsi="仿宋_GB2312" w:eastAsia="仿宋_GB2312" w:cs="仿宋_GB2312"/>
          <w:sz w:val="32"/>
          <w:szCs w:val="32"/>
          <w:lang w:val="en-US" w:eastAsia="zh-CN"/>
        </w:rPr>
        <w:t>，主要原因是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坚持厉行节约反对浪费的要求，严格执行三公经费压减政策。</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1793"/>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元坝二小现有公务用车0辆。</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2909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0474"/>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元坝二小2024年无政府性基金预算拨款安排的支出。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6142"/>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元坝二小2024年无国有资本经营预算拨款安排的支出。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4967"/>
      <w:r>
        <w:rPr>
          <w:rFonts w:hint="eastAsia" w:ascii="黑体" w:hAnsi="黑体" w:eastAsia="黑体" w:cs="黑体"/>
          <w:sz w:val="32"/>
          <w:szCs w:val="32"/>
          <w:lang w:val="en-US" w:eastAsia="zh-CN"/>
        </w:rPr>
        <w:t>十、其他重要事项的情况说明</w:t>
      </w:r>
      <w:bookmarkEnd w:id="2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21" w:name="_Toc16735"/>
      <w:r>
        <w:rPr>
          <w:rFonts w:hint="eastAsia" w:ascii="楷体_GB2312" w:hAnsi="楷体_GB2312" w:eastAsia="楷体_GB2312" w:cs="楷体_GB2312"/>
          <w:sz w:val="32"/>
          <w:szCs w:val="32"/>
          <w:lang w:val="en-US" w:eastAsia="zh-CN"/>
        </w:rPr>
        <w:t>（一）机关运行经费</w:t>
      </w:r>
      <w:bookmarkEnd w:id="2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960" w:firstLineChars="3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2024年，无坝二小属于公益一类事业单位无机关运行经费。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960" w:firstLineChars="300"/>
        <w:jc w:val="both"/>
        <w:outlineLvl w:val="1"/>
        <w:rPr>
          <w:rFonts w:hint="eastAsia" w:ascii="楷体_GB2312" w:hAnsi="楷体_GB2312" w:eastAsia="楷体_GB2312" w:cs="楷体_GB2312"/>
          <w:sz w:val="32"/>
          <w:szCs w:val="32"/>
          <w:lang w:val="en-US" w:eastAsia="zh-CN"/>
        </w:rPr>
      </w:pPr>
      <w:bookmarkStart w:id="22" w:name="_Toc10816"/>
      <w:r>
        <w:rPr>
          <w:rFonts w:hint="eastAsia" w:ascii="楷体_GB2312" w:hAnsi="楷体_GB2312" w:eastAsia="楷体_GB2312" w:cs="楷体_GB2312"/>
          <w:sz w:val="32"/>
          <w:szCs w:val="32"/>
          <w:lang w:val="en-US" w:eastAsia="zh-CN"/>
        </w:rPr>
        <w:t>（二）政府采购情况</w:t>
      </w:r>
      <w:bookmarkEnd w:id="2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2024年，元坝二小未安排政府采购预算。</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960" w:firstLineChars="300"/>
        <w:jc w:val="both"/>
        <w:outlineLvl w:val="1"/>
        <w:rPr>
          <w:rFonts w:hint="eastAsia" w:ascii="楷体_GB2312" w:hAnsi="楷体_GB2312" w:eastAsia="楷体_GB2312" w:cs="楷体_GB2312"/>
          <w:sz w:val="32"/>
          <w:szCs w:val="32"/>
          <w:lang w:val="en-US" w:eastAsia="zh-CN"/>
        </w:rPr>
      </w:pPr>
      <w:bookmarkStart w:id="23" w:name="_Toc31693"/>
      <w:r>
        <w:rPr>
          <w:rFonts w:hint="eastAsia" w:ascii="楷体_GB2312" w:hAnsi="楷体_GB2312" w:eastAsia="楷体_GB2312" w:cs="楷体_GB2312"/>
          <w:sz w:val="32"/>
          <w:szCs w:val="32"/>
          <w:lang w:val="en-US" w:eastAsia="zh-CN"/>
        </w:rPr>
        <w:t>（三）国有资产占有使用情况</w:t>
      </w:r>
      <w:bookmarkEnd w:id="2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截至2023年底，元坝二小共有车辆0辆。本单位无价值200万元以上大型设备。</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2024年未安排购置车辆及单位价值200万元以上大型设备。</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24" w:name="_Toc12870"/>
      <w:r>
        <w:rPr>
          <w:rFonts w:hint="eastAsia" w:ascii="楷体_GB2312" w:hAnsi="楷体_GB2312" w:eastAsia="楷体_GB2312" w:cs="楷体_GB2312"/>
          <w:sz w:val="32"/>
          <w:szCs w:val="32"/>
          <w:lang w:val="en-US" w:eastAsia="zh-CN"/>
        </w:rPr>
        <w:t>（四）绩效目标设置情况</w:t>
      </w:r>
      <w:bookmarkEnd w:id="2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元坝二小开展绩效目标管理的项目4个，涉及预算25.64万元。其中：人员类项目0个，涉及预算0万元；运转类项目4个，涉及预算25.64万元；特定目标类项目0个，涉及预算0万元。因部分项目内容涉密，不予公开。</w:t>
      </w:r>
    </w:p>
    <w:p>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25" w:name="_Toc24173"/>
      <w:r>
        <w:rPr>
          <w:rFonts w:hint="eastAsia" w:ascii="黑体" w:hAnsi="黑体" w:eastAsia="黑体" w:cs="黑体"/>
          <w:sz w:val="32"/>
          <w:szCs w:val="32"/>
          <w:lang w:val="en-US" w:eastAsia="zh-CN"/>
        </w:rPr>
        <w:t>名词解释</w:t>
      </w:r>
      <w:bookmarkEnd w:id="2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(一)财政拨款收入</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w:t>
      </w:r>
      <w:bookmarkStart w:id="27" w:name="_GoBack"/>
      <w:bookmarkEnd w:id="27"/>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财政当年安排的财政预算收入。按现行管理制度</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部门预算中反映的财政拨款包括一般公共预算拨款和政府性基金预算拨款。</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（二）事业收入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：指事业单位开展专业业务活动及辅助活动所取得的收入。主要为学校根据国家有关部门批准的项目和标准收取的学费、住宿费等（或医院收取的医疗收入）。</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（三）其他收入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：指除上述“一般公共预算拨款收入” “事业收入”等以外的收入。如银行存款利息收入、课时收入等。</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（四）教育支出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（类）普通教育（款）小学教育（项）：指全区小学教育发展的基本支出，包括基本工资、津贴补贴等人员经费以及办公费、印刷费、水电费等日常公用经费。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（五）基本支出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：指为保证机构正常运转，完成日常工作任务而发生的人员支出和公用支出。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（七）项目支出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：指在基本支出之外为完成特定行政任务和事业发展目标所发生的支出。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xml:space="preserve">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（八）“三公”经费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：纳入财政预算管理的“三公”经费，是指部门用财政拨款安排的因公出国（境）费、公务用车购置及运行费和公务接待费。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附件：1.预算公开报表</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14451"/>
      <w:r>
        <w:rPr>
          <w:rFonts w:hint="eastAsia" w:ascii="仿宋_GB2312" w:hAnsi="仿宋_GB2312" w:eastAsia="仿宋_GB2312" w:cs="仿宋_GB2312"/>
          <w:sz w:val="32"/>
          <w:szCs w:val="32"/>
          <w:lang w:val="en-US" w:eastAsia="zh-CN"/>
        </w:rPr>
        <w:t>项目支出绩效目标表</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801B72"/>
    <w:multiLevelType w:val="singleLevel"/>
    <w:tmpl w:val="AB801B72"/>
    <w:lvl w:ilvl="0" w:tentative="0">
      <w:start w:val="11"/>
      <w:numFmt w:val="chineseCounting"/>
      <w:suff w:val="nothing"/>
      <w:lvlText w:val="%1、"/>
      <w:lvlJc w:val="left"/>
      <w:rPr>
        <w:rFonts w:hint="eastAsia"/>
      </w:rPr>
    </w:lvl>
  </w:abstractNum>
  <w:abstractNum w:abstractNumId="1">
    <w:nsid w:val="299B4129"/>
    <w:multiLevelType w:val="singleLevel"/>
    <w:tmpl w:val="299B4129"/>
    <w:lvl w:ilvl="0" w:tentative="0">
      <w:start w:val="5"/>
      <w:numFmt w:val="chineseCounting"/>
      <w:suff w:val="nothing"/>
      <w:lvlText w:val="%1、"/>
      <w:lvlJc w:val="left"/>
      <w:rPr>
        <w:rFonts w:hint="eastAsia"/>
      </w:rPr>
    </w:lvl>
  </w:abstractNum>
  <w:abstractNum w:abstractNumId="2">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3">
    <w:nsid w:val="5BFCE1D6"/>
    <w:multiLevelType w:val="singleLevel"/>
    <w:tmpl w:val="5BFCE1D6"/>
    <w:lvl w:ilvl="0" w:tentative="0">
      <w:start w:val="2"/>
      <w:numFmt w:val="chineseCounting"/>
      <w:suff w:val="nothing"/>
      <w:lvlText w:val="（%1）"/>
      <w:lvlJc w:val="left"/>
      <w:rPr>
        <w:rFonts w:hint="eastAsia"/>
      </w:rPr>
    </w:lvl>
  </w:abstractNum>
  <w:abstractNum w:abstractNumId="4">
    <w:nsid w:val="661CCD63"/>
    <w:multiLevelType w:val="singleLevel"/>
    <w:tmpl w:val="661CCD63"/>
    <w:lvl w:ilvl="0" w:tentative="0">
      <w:start w:val="1"/>
      <w:numFmt w:val="chineseCounting"/>
      <w:suff w:val="nothing"/>
      <w:lvlText w:val="（%1）"/>
      <w:lvlJc w:val="left"/>
      <w:rPr>
        <w:rFonts w:hint="eastAsia"/>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167739E2"/>
    <w:rsid w:val="1C8539FB"/>
    <w:rsid w:val="1F7BF06F"/>
    <w:rsid w:val="1FEE4B73"/>
    <w:rsid w:val="23CE9849"/>
    <w:rsid w:val="242001D4"/>
    <w:rsid w:val="2E115072"/>
    <w:rsid w:val="39F304DD"/>
    <w:rsid w:val="3DDA7638"/>
    <w:rsid w:val="47A92DF8"/>
    <w:rsid w:val="47AB2EB9"/>
    <w:rsid w:val="482B3DC4"/>
    <w:rsid w:val="4E0F1E1D"/>
    <w:rsid w:val="54140548"/>
    <w:rsid w:val="54244390"/>
    <w:rsid w:val="54662A63"/>
    <w:rsid w:val="58064E12"/>
    <w:rsid w:val="5BFEE015"/>
    <w:rsid w:val="5D434204"/>
    <w:rsid w:val="63EDCF55"/>
    <w:rsid w:val="63FBFBCF"/>
    <w:rsid w:val="669360FD"/>
    <w:rsid w:val="68FF6A83"/>
    <w:rsid w:val="6929765A"/>
    <w:rsid w:val="6CAA01E0"/>
    <w:rsid w:val="6FBBC9CF"/>
    <w:rsid w:val="72BDE561"/>
    <w:rsid w:val="78462278"/>
    <w:rsid w:val="7997EA6C"/>
    <w:rsid w:val="7AEAE675"/>
    <w:rsid w:val="7BAFCE5D"/>
    <w:rsid w:val="7C523723"/>
    <w:rsid w:val="7D46598C"/>
    <w:rsid w:val="7DFB240B"/>
    <w:rsid w:val="7E0935ED"/>
    <w:rsid w:val="7F5E038B"/>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