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9077"/>
      <w:bookmarkStart w:id="1" w:name="_Toc967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广元市昭化区元坝镇第一小学</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sdt>
      <w:sdtPr>
        <w:rPr>
          <w:rFonts w:ascii="宋体" w:hAnsi="宋体" w:eastAsia="宋体" w:cs="Times New Roman"/>
          <w:color w:val="auto"/>
          <w:kern w:val="2"/>
          <w:sz w:val="21"/>
          <w:szCs w:val="24"/>
          <w:lang w:val="en-US" w:eastAsia="zh-CN" w:bidi="ar-SA"/>
        </w:rPr>
        <w:id w:val="147482954"/>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sz w:val="32"/>
              <w:szCs w:val="32"/>
            </w:rPr>
          </w:pPr>
          <w:r>
            <w:rPr>
              <w:rFonts w:hint="eastAsia" w:ascii="仿宋" w:hAnsi="仿宋" w:eastAsia="仿宋" w:cs="仿宋"/>
              <w:b/>
              <w:bCs/>
              <w:sz w:val="36"/>
              <w:szCs w:val="36"/>
            </w:rPr>
            <w:t>目录</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_Toc30120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lang w:val="en-US" w:eastAsia="zh-CN"/>
            </w:rPr>
            <w:t>3</w:t>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_Toc16998 </w:instrText>
          </w:r>
          <w:r>
            <w:rPr>
              <w:rFonts w:hint="eastAsia" w:ascii="仿宋" w:hAnsi="仿宋" w:eastAsia="仿宋" w:cs="仿宋"/>
              <w:sz w:val="32"/>
              <w:szCs w:val="32"/>
            </w:rPr>
            <w:fldChar w:fldCharType="separate"/>
          </w:r>
          <w:r>
            <w:rPr>
              <w:rFonts w:hint="eastAsia" w:ascii="仿宋" w:hAnsi="仿宋" w:eastAsia="仿宋" w:cs="仿宋"/>
              <w:sz w:val="32"/>
              <w:szCs w:val="32"/>
            </w:rPr>
            <w:t>（一）职能简介</w:t>
          </w:r>
          <w:r>
            <w:rPr>
              <w:rFonts w:hint="eastAsia" w:ascii="仿宋" w:hAnsi="仿宋" w:eastAsia="仿宋" w:cs="仿宋"/>
              <w:sz w:val="32"/>
              <w:szCs w:val="32"/>
            </w:rPr>
            <w:tab/>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_Toc7691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_Toc16423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lang w:val="en-US" w:eastAsia="zh-CN"/>
            </w:rPr>
            <w:t>9</w:t>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_Toc29253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lang w:val="en-US" w:eastAsia="zh-CN"/>
            </w:rPr>
            <w:t>9</w:t>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_Toc22080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_Toc19645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_Toc3498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_Toc3498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lang w:val="en-US" w:eastAsia="zh-CN"/>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_Toc31402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lang w:val="en-US" w:eastAsia="zh-CN"/>
            </w:rPr>
            <w:t>1</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t>0</w:t>
          </w:r>
        </w:p>
        <w:p>
          <w:pPr>
            <w:pStyle w:val="17"/>
            <w:tabs>
              <w:tab w:val="right" w:leader="dot" w:pos="8845"/>
            </w:tabs>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_Toc3455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0</w:t>
          </w:r>
        </w:p>
        <w:p>
          <w:pPr>
            <w:pStyle w:val="17"/>
            <w:tabs>
              <w:tab w:val="right" w:leader="dot" w:pos="8845"/>
            </w:tabs>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_Toc19437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0</w:t>
          </w:r>
        </w:p>
        <w:p>
          <w:pPr>
            <w:pStyle w:val="17"/>
            <w:tabs>
              <w:tab w:val="right" w:leader="dot" w:pos="8845"/>
            </w:tabs>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_Toc24206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0</w:t>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_Toc25824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_Toc25824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_Toc24443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_Toc24443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lang w:val="en-US" w:eastAsia="zh-CN"/>
            </w:rPr>
            <w:t>1</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_Toc11873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_Toc11873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_Toc3900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_Toc3900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_Toc9975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_Toc9975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_Toc2067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_Toc2067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lang w:val="en-US" w:eastAsia="zh-CN"/>
            </w:rPr>
            <w:t>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_Toc9803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_Toc9803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lang w:val="en-US" w:eastAsia="zh-CN"/>
            </w:rPr>
            <w:t>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_Toc6062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_Toc6062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lang w:val="en-US" w:eastAsia="zh-CN"/>
            </w:rPr>
            <w:t>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_Toc31060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_Toc31060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rPr>
              <w:rFonts w:hint="eastAsia" w:ascii="仿宋" w:hAnsi="仿宋" w:eastAsia="仿宋" w:cs="仿宋"/>
              <w:sz w:val="32"/>
              <w:szCs w:val="32"/>
            </w:rPr>
          </w:pPr>
          <w:r>
            <w:rPr>
              <w:rFonts w:hint="eastAsia" w:ascii="仿宋" w:hAnsi="仿宋" w:eastAsia="仿宋" w:cs="仿宋"/>
              <w:b/>
              <w:sz w:val="32"/>
              <w:szCs w:val="32"/>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 w:name="_Toc30399"/>
      <w:bookmarkStart w:id="3" w:name="_Toc30120"/>
    </w:p>
    <w:p>
      <w:pPr>
        <w:pStyle w:val="2"/>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p>
    <w:p>
      <w:pPr>
        <w:pStyle w:val="2"/>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p>
    <w:p>
      <w:pPr>
        <w:pStyle w:val="2"/>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p>
    <w:p>
      <w:pPr>
        <w:pStyle w:val="2"/>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p>
    <w:p>
      <w:pPr>
        <w:pStyle w:val="2"/>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p>
    <w:p>
      <w:pPr>
        <w:pStyle w:val="2"/>
        <w:rPr>
          <w:rFonts w:hint="eastAsia" w:ascii="黑体" w:hAnsi="黑体" w:eastAsia="黑体" w:cs="黑体"/>
          <w:sz w:val="32"/>
          <w:szCs w:val="32"/>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2"/>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6998"/>
      <w:r>
        <w:rPr>
          <w:rFonts w:hint="eastAsia" w:ascii="楷体_GB2312" w:hAnsi="楷体_GB2312" w:eastAsia="楷体_GB2312" w:cs="楷体_GB2312"/>
          <w:sz w:val="32"/>
          <w:szCs w:val="32"/>
        </w:rPr>
        <w:t>（一）职能简介</w:t>
      </w:r>
      <w:bookmarkEnd w:id="4"/>
    </w:p>
    <w:p>
      <w:pPr>
        <w:pStyle w:val="6"/>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1.认真实施贯彻党的教育方针，坚持社会主义办学方向，基本知识、基本技能及生产劳动相结合，对学生进行德、智、体、美、劳方面的教育。</w:t>
      </w:r>
    </w:p>
    <w:p>
      <w:pPr>
        <w:pStyle w:val="6"/>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2.运用科学的发展观指导教育教学工作。加强教育科研工作，推动校本教育的健康发展。加强教学管理，不断推进新课程改革，全面提高教学质量。</w:t>
      </w:r>
    </w:p>
    <w:p>
      <w:pPr>
        <w:pStyle w:val="6"/>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3.配合政府依法动员、组织适龄儿童、少年入学，严格控制学生辍学，依法保证适龄儿童、少年接受九年义务教育。</w:t>
      </w:r>
    </w:p>
    <w:p>
      <w:pPr>
        <w:pStyle w:val="6"/>
        <w:adjustRightInd w:val="0"/>
        <w:snapToGrid w:val="0"/>
        <w:spacing w:beforeLines="0" w:line="550" w:lineRule="atLeas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5" w:name="_Toc15775"/>
      <w:bookmarkStart w:id="6" w:name="_Toc27963"/>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4.深化人事制度改革，完善学校内部管理，做好后勤保障工作。</w:t>
      </w:r>
      <w:bookmarkEnd w:id="5"/>
      <w:bookmarkEnd w:id="6"/>
    </w:p>
    <w:p>
      <w:pPr>
        <w:pStyle w:val="6"/>
        <w:adjustRightInd w:val="0"/>
        <w:snapToGrid w:val="0"/>
        <w:spacing w:beforeLines="0" w:line="550" w:lineRule="atLeas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7" w:name="_Toc9668"/>
      <w:bookmarkStart w:id="8" w:name="_Toc30082"/>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5.科学管理、合理使用学校的设施和经费，并积极筹措资金，努力改善办学条件。</w:t>
      </w:r>
      <w:bookmarkEnd w:id="7"/>
      <w:bookmarkEnd w:id="8"/>
    </w:p>
    <w:p>
      <w:pPr>
        <w:pStyle w:val="6"/>
        <w:adjustRightInd w:val="0"/>
        <w:snapToGrid w:val="0"/>
        <w:spacing w:beforeLines="0" w:line="550" w:lineRule="atLeas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9" w:name="_Toc32450"/>
      <w:bookmarkStart w:id="10" w:name="_Toc19584"/>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6.维护学校、师生的合法权益，有权拒绝任何组织和个人对教育教学活动进行非法干扰。</w:t>
      </w:r>
      <w:bookmarkEnd w:id="9"/>
      <w:bookmarkEnd w:id="10"/>
    </w:p>
    <w:p>
      <w:pPr>
        <w:pStyle w:val="6"/>
        <w:adjustRightInd w:val="0"/>
        <w:snapToGrid w:val="0"/>
        <w:spacing w:beforeLines="0" w:line="550" w:lineRule="atLeas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1" w:name="_Toc3323"/>
      <w:bookmarkStart w:id="12" w:name="_Toc13555"/>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7.创建绿色校园、文明校园和平安校园。</w:t>
      </w:r>
      <w:bookmarkEnd w:id="11"/>
      <w:bookmarkEnd w:id="12"/>
    </w:p>
    <w:p>
      <w:pPr>
        <w:pStyle w:val="6"/>
        <w:adjustRightInd w:val="0"/>
        <w:snapToGrid w:val="0"/>
        <w:spacing w:beforeLines="0" w:line="550" w:lineRule="atLeas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3" w:name="_Toc28244"/>
      <w:bookmarkStart w:id="14" w:name="_Toc15504"/>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8.关心教职工生活，发挥教代会职能作用。</w:t>
      </w:r>
      <w:bookmarkEnd w:id="13"/>
      <w:bookmarkEnd w:id="14"/>
    </w:p>
    <w:p>
      <w:pPr>
        <w:snapToGrid w:val="0"/>
        <w:spacing w:line="550" w:lineRule="atLeas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1"/>
        <w:rPr>
          <w:rFonts w:hint="eastAsia" w:ascii="楷体_GB2312" w:hAnsi="楷体_GB2312" w:eastAsia="楷体_GB2312" w:cs="楷体_GB2312"/>
          <w:sz w:val="32"/>
          <w:szCs w:val="32"/>
        </w:rPr>
      </w:pPr>
      <w:bookmarkStart w:id="15" w:name="_Toc18545"/>
      <w:bookmarkStart w:id="16" w:name="_Toc7691"/>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15"/>
      <w:bookmarkEnd w:id="16"/>
    </w:p>
    <w:p>
      <w:pPr>
        <w:pStyle w:val="5"/>
        <w:numPr>
          <w:ilvl w:val="0"/>
          <w:numId w:val="0"/>
        </w:numPr>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夯实党建工作</w:t>
      </w:r>
    </w:p>
    <w:p>
      <w:pPr>
        <w:keepNext w:val="0"/>
        <w:keepLines w:val="0"/>
        <w:widowControl/>
        <w:suppressLineNumbers w:val="0"/>
        <w:ind w:firstLine="640" w:firstLineChars="200"/>
        <w:jc w:val="left"/>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抓好政治学习。深入学习贯彻习近平新时代中国特色社会主义思想和党的二十大、省第十二次党代会精神，加强党员干部思想政治教育，以党的创新理论成果武装头脑、指导实践、推动工作。二是抓好党建工作。丰富“四好”支部内容，落实“三会一课”制度，开展好主题党日活动。三是抓好党风廉政建设。做好全市清廉校园建设示范点工作，常态化开展警示教育，全面从严治党，抓好重点领域监管，落实“三重一大”制度。四是抓好意识形态工作。管好用好新媒体，做好微信群、QQ群、电子屏的监管，用好“学习强国”平台，培养入党积极分子，开展“七一”党建庆祝活动，完成本年度党费收缴和组工信息宣传工作。五是做好巡察整改工作。针对问题，建立台账，落实责任，限定时间，按照要求逐一整改到位。</w:t>
      </w:r>
    </w:p>
    <w:p>
      <w:pPr>
        <w:pStyle w:val="5"/>
        <w:numPr>
          <w:ilvl w:val="0"/>
          <w:numId w:val="0"/>
        </w:numPr>
        <w:tabs>
          <w:tab w:val="center" w:pos="4422"/>
        </w:tabs>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抓好队伍建设</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ab/>
      </w:r>
    </w:p>
    <w:p>
      <w:pPr>
        <w:pStyle w:val="5"/>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抓好领导班子能力建设。加强班子成员政治思想学习和学校管理培训，提高思想道德素养和学校治理水平，增强奉献精神，发挥示范带头作用。用好“管理清单”，推行目标承诺制度，明确任务，压实责任，督办过程，问效结果，让学校治理落实落地。加强年轻干部培养，充实管理队伍。二是抓好新时代教师队伍建设。建立健全教师成长激励机制，做好教师及干部培训工作。加强师德师风建设，坚持思想铸魂，严格执行师德考核负面清单制度，持续开展各类优秀教师选树宣传工作，完善师德建设长效机制。树立“校兴我荣，校衰我耻”的大局意识和集体荣誉感，内强素质，外树形象。推进“三名工程”（名班主任、名教师、名师工作室），选树身边典型，全面提升教师教学素养。加强青年教师培养，做好青蓝工程，帮助青年教师找好导师，实行结对帮扶；开办“阳光讲堂”，培育学校名师及学科带头人。通过青年教师见面课、汇报课、合格课，鼓励教师参加教学设计大赛、青年教师成长培训会等，加速青年教师成长。</w:t>
      </w:r>
    </w:p>
    <w:p>
      <w:pPr>
        <w:pStyle w:val="5"/>
        <w:numPr>
          <w:ilvl w:val="0"/>
          <w:numId w:val="0"/>
        </w:numPr>
        <w:spacing w:line="560" w:lineRule="exact"/>
        <w:ind w:firstLine="640" w:firstLineChars="200"/>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抓实教学常规</w:t>
      </w:r>
    </w:p>
    <w:p>
      <w:pPr>
        <w:pStyle w:val="5"/>
        <w:numPr>
          <w:ilvl w:val="0"/>
          <w:numId w:val="0"/>
        </w:numPr>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深化教育教学管理，规范办学行为。一是严格按照国家部颁计划，开齐课程，开足课时。二是坚持“33321”一日教育常规，严格执行《“双减”和“五项管理”实施办法》，提高作业设计、课堂教学水平。三是健全课后服务管理机制，积极引入校外教育资源丰富课后服务内容，更好地满足学生差异化、多样化学习兴趣特长需求。四是加强课间管理，做好“三操”，确保学生每天</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小时体育锻炼，积极参加市区球类运动会，举办学校球类运动会和艺术节暨六一儿童节庆祝活动，丰富校园生活，推动足球校园体育特色品牌创塑，开展劳动教育、研学实践活动。五是重视师生心理健康教育，关爱残疾儿童和困难学生。建立困难学生帮扶台账，残疾儿童实行“一人一案”，精准帮扶。六是推进生态环境治理，扎实开展节能减排、</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光盘行动</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一木环保</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和垃圾分类工作，建设生态文明校园。</w:t>
      </w:r>
    </w:p>
    <w:p>
      <w:pPr>
        <w:pStyle w:val="5"/>
        <w:numPr>
          <w:ilvl w:val="0"/>
          <w:numId w:val="0"/>
        </w:numPr>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探索高效教学模式，提高教学质量。一是运用信息技术应用能力提升成果，立足学情，优化课堂教学设计，重视课堂教学，关注每一位学生，注重每一个知识点的过关检测和及时补救，向40分钟要效益。二是创新作业设计，关注不同层次学生的学习情况，提高作业的针对性和实效性，作业全批全改，减轻学生过重的作业负担。三是加强培优辅差，提高全科A率学生比例，加强学困生的学业辅导和心理关怀，多与家长沟通，协商制定转化办法，有效提升学困生学习成绩。四是积极参加全区小学学科“赛课”活动，学习借鉴名优教师教学经验，改进教学方法，提高教学水平。五是坚持教学六认真月查制度，推行集体备课，分类制定各年龄段教师教案要求。加强实验教学管理、学校功能室管理。做好</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课堂教学大比武</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及</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基础教育精品课</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遴选工作。六是开展好课题研究，坚持把研究新课标、新教材和微课题作为校本教研重点，积极探索主题教研。落实学校每周</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次教学研讨、每月</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次主题研讨活动，及时研判学科教学短板，积极参加省、市级论文、优质课、优秀教研成果评选活动。</w:t>
      </w:r>
    </w:p>
    <w:p>
      <w:pPr>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抓好控辍保学及招生送生工作。召开家长会，开展千名教师访万家活动和困难学生关爱活动，确保我校辖区适龄儿童应读尽读，一个不少。在巩固现有生源的同时，加大一年级新生招生宣传和区外生源回流宣传招生工作。确保2024年春季开学在校学生达到930人，2024年秋季开学在校学生达到950人，其中一年级新生达到160人。做好六年级毕业学生就近入学宣传，确保留昭率。</w:t>
      </w:r>
    </w:p>
    <w:p>
      <w:pPr>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抓细德育工作</w:t>
      </w:r>
    </w:p>
    <w:p>
      <w:pPr>
        <w:keepNext w:val="0"/>
        <w:keepLines w:val="0"/>
        <w:widowControl/>
        <w:suppressLineNumbers w:val="0"/>
        <w:ind w:firstLine="640" w:firstLineChars="200"/>
        <w:jc w:val="left"/>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围绕“四自”教育，以班级建设为抓手，开展德育系列活动，养成良好行为习惯。巩固第七届阳光少年评选成果，实行每周阳光班级、阳光寝室的评选制度，培养学生的生活自理能力和集体荣誉感。二是开展激情德育活动，丰富德育内容，提振学生士气，展示青春活力，激发学生学习兴趣。三是开展“学雷锋”进社区、“世界读书日”主题教育、防震减灾演练、心理健康教育、禁毒教育、六一庆祝、毕业典礼等活动，丰富“四自”内容。四是积极做好创文创卫和其他创建工作。</w:t>
      </w:r>
    </w:p>
    <w:p>
      <w:pPr>
        <w:pStyle w:val="5"/>
        <w:numPr>
          <w:ilvl w:val="0"/>
          <w:numId w:val="0"/>
        </w:numPr>
        <w:spacing w:line="560" w:lineRule="exact"/>
        <w:ind w:firstLine="640" w:firstLineChars="200"/>
        <w:outlineLvl w:val="0"/>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bookmarkStart w:id="17" w:name="_Toc7960"/>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抓牢安全稳定</w:t>
      </w:r>
      <w:bookmarkEnd w:id="17"/>
    </w:p>
    <w:p>
      <w:pPr>
        <w:keepNext w:val="0"/>
        <w:keepLines w:val="0"/>
        <w:widowControl/>
        <w:suppressLineNumbers w:val="0"/>
        <w:ind w:firstLine="640" w:firstLineChars="200"/>
        <w:jc w:val="left"/>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牢固树立安全意识，深入推进平安校园建设。完善学校网格化管理，升级安防建设，落实隐患排查、整治销号制度。二是加强安全教育，创新宣教形式，通过集会、班会、宣传栏、LED普及传染病防控、交通安全、活动安全、防火防电防溺水防校园欺凌等基本知识和技能，全面落实中小学生安全教育日、防灾减灾日、消防宣传日等主题教育。三是常态化开展校园周边环境综合治理、校舍安全、活动设施设备等重点领域安全检查工作。四是强化依法治教，推进依法治校。推动法治教育进学校进课堂，加强法治宣传教育实践，提升青少年法治宣传教育实效，巩固省级法制示范校成果。五是做好安全稳定工作。实行学校“三重一大”会议研究决策制度，及时解决教职工的合理诉求和建议，化解工作中的各类矛盾，及时修订教师评职晋级、评优选先制度，逐步完善教育教学管理、教师绩效考核等制度。开展有益身心的工会活动，如三八妇女节活动和职工运动会等。看望慰问困难教职工，按国家政策保障教职工工会福利，努力争取两年一次的教师体检。</w:t>
      </w:r>
    </w:p>
    <w:p>
      <w:pPr>
        <w:pStyle w:val="5"/>
        <w:numPr>
          <w:ilvl w:val="0"/>
          <w:numId w:val="0"/>
        </w:numPr>
        <w:spacing w:line="560" w:lineRule="exact"/>
        <w:ind w:left="630" w:leftChars="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做好后勤工作</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做好教育资助工作。做好国家教育资助政策宣传，精准摸排家庭困难学生，及时做好学生教育资助救助工作，确保“应助尽助”。二是做好后勤保障。按照财务管理办法做好学校财务管理和食堂账务管理，完善大宗物品采购制度，确保合规合法。持续改进办学条件，完善办学设施，快速推进学生食堂和宿舍建设项目前期工作。三是规范教师周转房管理。教师周转住房由学校统一调配管理，用电实行基本用量（每期每人100度）保底，超量部分按实际电价支付。</w:t>
      </w:r>
    </w:p>
    <w:p>
      <w:pPr>
        <w:pStyle w:val="5"/>
        <w:numPr>
          <w:ilvl w:val="0"/>
          <w:numId w:val="0"/>
        </w:numPr>
        <w:spacing w:line="560" w:lineRule="exact"/>
        <w:ind w:left="630" w:leftChars="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做好教育宣传</w:t>
      </w:r>
    </w:p>
    <w:p>
      <w:pPr>
        <w:pStyle w:val="5"/>
        <w:numPr>
          <w:ilvl w:val="0"/>
          <w:numId w:val="0"/>
        </w:numPr>
        <w:spacing w:line="56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是加强信息宣传报道。通过昭化教育微信公众号、昭化电视台、广元日报、广元教育网、教育导报、四川新闻频道、“学习强国”等媒体宣传学校教育教学、教育科研、名优教师事迹、德育系列活动、特色创建等。二是加强教育信息宣传队伍建设，注重宣传形式的多样性，关注新媒体，特别是市教育电视台的抖音宣传素材选送。</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6423"/>
      <w:r>
        <w:rPr>
          <w:rFonts w:hint="eastAsia" w:ascii="黑体" w:hAnsi="黑体" w:eastAsia="黑体" w:cs="黑体"/>
          <w:sz w:val="32"/>
          <w:szCs w:val="32"/>
          <w:lang w:val="en-US" w:eastAsia="zh-CN"/>
        </w:rPr>
        <w:t>二、部门预算单位构成</w:t>
      </w:r>
      <w:bookmarkEnd w:id="1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val="0"/>
          <w:sz w:val="32"/>
          <w:szCs w:val="32"/>
          <w:lang w:val="en-US" w:eastAsia="zh-CN"/>
        </w:rPr>
        <w:t>元坝一小</w:t>
      </w:r>
      <w:r>
        <w:rPr>
          <w:rFonts w:hint="eastAsia" w:ascii="仿宋_GB2312" w:hAnsi="仿宋_GB2312" w:eastAsia="仿宋_GB2312" w:cs="仿宋_GB2312"/>
          <w:sz w:val="32"/>
          <w:szCs w:val="32"/>
          <w:lang w:val="en-US" w:eastAsia="zh-CN"/>
        </w:rPr>
        <w:t>为广元市昭化区教育局所属二级预算单位，</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单位性质为财政补助事业单位。本单位无下属机构，属于公益一类事业单位。2024年初在职教职工54人（其中专业技术人员52人，工勤人员1人，行政管理1人）。2024年初共有小学生916人。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9" w:name="_Toc29253"/>
      <w:r>
        <w:rPr>
          <w:rFonts w:hint="eastAsia" w:ascii="黑体" w:hAnsi="黑体" w:eastAsia="黑体" w:cs="黑体"/>
          <w:sz w:val="32"/>
          <w:szCs w:val="32"/>
          <w:lang w:val="en-US" w:eastAsia="zh-CN"/>
        </w:rPr>
        <w:t>三、收支预算情况说明</w:t>
      </w:r>
      <w:bookmarkEnd w:id="1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元坝一小所有收入和支出均纳入部门预算管理。收入包括：一般公共预算拨款收入；支出包括：教育支出、社会保障和就业支出。元坝一小2024年收支预算总数951.95万元,比2023年收支预算总数减少2.61万元，主要原因是基本支出减少。</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20" w:name="_Toc6418"/>
      <w:bookmarkStart w:id="21" w:name="_Toc22080"/>
      <w:r>
        <w:rPr>
          <w:rFonts w:hint="eastAsia" w:ascii="楷体_GB2312" w:hAnsi="楷体_GB2312" w:eastAsia="楷体_GB2312" w:cs="楷体_GB2312"/>
          <w:sz w:val="32"/>
          <w:szCs w:val="32"/>
          <w:lang w:val="en-US" w:eastAsia="zh-CN"/>
        </w:rPr>
        <w:t>收入预算情况</w:t>
      </w:r>
      <w:bookmarkEnd w:id="20"/>
      <w:bookmarkEnd w:id="2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元坝一小2024年收入预算951.95万元，其中：一般公共预算拨款收入951.95万元，占100%。</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22" w:name="_Toc15858"/>
      <w:bookmarkStart w:id="23" w:name="_Toc19645"/>
      <w:r>
        <w:rPr>
          <w:rFonts w:hint="eastAsia" w:ascii="楷体_GB2312" w:hAnsi="楷体_GB2312" w:eastAsia="楷体_GB2312" w:cs="楷体_GB2312"/>
          <w:sz w:val="32"/>
          <w:szCs w:val="32"/>
          <w:lang w:val="en-US" w:eastAsia="zh-CN"/>
        </w:rPr>
        <w:t>支出预算情况</w:t>
      </w:r>
      <w:bookmarkEnd w:id="22"/>
      <w:bookmarkEnd w:id="2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元坝一小2024年支出预算951.95万元，其中：基本支出887.65万元，占93.25%；项目支出64.3万元，占6.75%</w:t>
      </w:r>
      <w:r>
        <w:rPr>
          <w:rFonts w:hint="eastAsia" w:ascii="仿宋_GB2312" w:hAnsi="仿宋_GB2312" w:eastAsia="仿宋_GB2312" w:cs="仿宋_GB2312"/>
          <w:b w:val="0"/>
          <w:bCs w:val="0"/>
          <w:sz w:val="32"/>
          <w:szCs w:val="32"/>
          <w:lang w:val="en-US" w:eastAsia="zh-CN"/>
        </w:rPr>
        <w:t>。</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24" w:name="_Toc3498"/>
      <w:r>
        <w:rPr>
          <w:rFonts w:hint="eastAsia" w:ascii="黑体" w:hAnsi="黑体" w:eastAsia="黑体" w:cs="黑体"/>
          <w:sz w:val="32"/>
          <w:szCs w:val="32"/>
          <w:lang w:val="en-US" w:eastAsia="zh-CN"/>
        </w:rPr>
        <w:t>财政拨款收支预算情况说明</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元坝一小2024年财政拨款收支预算总数951.95万元,比2023年财政拨款收支预算总数减少2.61万元，主要原因是基本支出减少。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收入包括：本年一般公共预算拨款收入951.95万元；支出包括：教育支出851.95万元、社会保障和就业支出100万元。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5" w:name="_Toc31402"/>
      <w:r>
        <w:rPr>
          <w:rFonts w:hint="eastAsia" w:ascii="黑体" w:hAnsi="黑体" w:eastAsia="黑体" w:cs="黑体"/>
          <w:sz w:val="32"/>
          <w:szCs w:val="32"/>
          <w:lang w:val="en-US" w:eastAsia="zh-CN"/>
        </w:rPr>
        <w:t>五、一般公共预算当年拨款情况说明</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2277"/>
      <w:bookmarkStart w:id="27" w:name="_Toc3455"/>
      <w:r>
        <w:rPr>
          <w:rFonts w:hint="eastAsia" w:ascii="楷体_GB2312" w:hAnsi="楷体_GB2312" w:eastAsia="楷体_GB2312" w:cs="楷体_GB2312"/>
          <w:sz w:val="32"/>
          <w:szCs w:val="32"/>
          <w:lang w:val="en-US" w:eastAsia="zh-CN"/>
        </w:rPr>
        <w:t>（一）一般公共预算当年拨款规模变化情况</w:t>
      </w:r>
      <w:bookmarkEnd w:id="26"/>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元坝一小2024年一般公共预算当年拨款951.95万元，比2023年预算数减少2.61万元，主要原因是基本支出减少。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2356"/>
      <w:bookmarkStart w:id="29" w:name="_Toc19437"/>
      <w:r>
        <w:rPr>
          <w:rFonts w:hint="eastAsia" w:ascii="楷体_GB2312" w:hAnsi="楷体_GB2312" w:eastAsia="楷体_GB2312" w:cs="楷体_GB2312"/>
          <w:sz w:val="32"/>
          <w:szCs w:val="32"/>
          <w:lang w:val="en-US" w:eastAsia="zh-CN"/>
        </w:rPr>
        <w:t>（二）一般公共预算当年拨款结构情况</w:t>
      </w:r>
      <w:bookmarkEnd w:id="28"/>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教育支出851.95万元，占89.50%；社会保障和就业支出100万元，占10.50%。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5374"/>
      <w:bookmarkStart w:id="31" w:name="_Toc24206"/>
      <w:r>
        <w:rPr>
          <w:rFonts w:hint="eastAsia" w:ascii="楷体_GB2312" w:hAnsi="楷体_GB2312" w:eastAsia="楷体_GB2312" w:cs="楷体_GB2312"/>
          <w:sz w:val="32"/>
          <w:szCs w:val="32"/>
          <w:lang w:val="en-US" w:eastAsia="zh-CN"/>
        </w:rPr>
        <w:t>（三）一般公共预算当年拨款具体使用情况</w:t>
      </w:r>
      <w:bookmarkEnd w:id="30"/>
      <w:bookmarkEnd w:id="3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教育支出（类）普通教育（款）小学教育（项）</w:t>
      </w:r>
      <w:r>
        <w:rPr>
          <w:rFonts w:hint="eastAsia" w:ascii="仿宋_GB2312" w:hAnsi="仿宋_GB2312" w:eastAsia="仿宋_GB2312" w:cs="仿宋_GB2312"/>
          <w:sz w:val="32"/>
          <w:szCs w:val="32"/>
          <w:lang w:val="en-US" w:eastAsia="zh-CN"/>
        </w:rPr>
        <w:t>2024年预算数为851.95万元，主要用于：</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本单位基本支出，包括基本工资、津贴补贴、基础绩效奖等人员经费以及办公费、维修（护）费、印刷费、水电费、工会经费等日常公用经费。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w:t>
      </w:r>
      <w:r>
        <w:rPr>
          <w:rFonts w:hint="eastAsia" w:ascii="仿宋_GB2312" w:hAnsi="仿宋_GB2312" w:eastAsia="仿宋_GB2312" w:cs="仿宋_GB2312"/>
          <w:b/>
          <w:bCs/>
          <w:sz w:val="32"/>
          <w:szCs w:val="32"/>
          <w:lang w:val="en-US" w:eastAsia="zh-CN"/>
        </w:rPr>
        <w:t>2.社会保障和就业（类）行政事业单位养老支出（款）事业单位离退休（项）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2024年预算数为100万元，主要用于：本单位离退休人员经费支出。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32" w:name="_Toc25824"/>
      <w:r>
        <w:rPr>
          <w:rFonts w:hint="eastAsia" w:ascii="黑体" w:hAnsi="黑体" w:eastAsia="黑体" w:cs="黑体"/>
          <w:sz w:val="32"/>
          <w:szCs w:val="32"/>
          <w:lang w:val="en-US" w:eastAsia="zh-CN"/>
        </w:rPr>
        <w:t>六、一般公共预算基本支出情况说明</w:t>
      </w:r>
      <w:bookmarkEnd w:id="3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元坝一小2024年一般公共预算基本支出887.65万元，其中：</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人员经费887.65万元，主要包括：</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基本工资、津贴补贴、奖金、绩效奖金、社会保险缴费、住房公积金、对个人和家庭的补助等支出。</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33" w:name="_Toc24443"/>
      <w:r>
        <w:rPr>
          <w:rFonts w:hint="eastAsia" w:ascii="黑体" w:hAnsi="黑体" w:eastAsia="黑体" w:cs="黑体"/>
          <w:sz w:val="32"/>
          <w:szCs w:val="32"/>
          <w:lang w:val="en-US" w:eastAsia="zh-CN"/>
        </w:rPr>
        <w:t>“三公”经费财政拨款预算安排情况说明</w:t>
      </w:r>
      <w:bookmarkEnd w:id="3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元坝一小2024年“三公”经费财政拨款预算数0.27万元，其中：公务接待费0.27万元，公务用车购置及运行维护费0万元，因公出国（境）经费0万元。</w:t>
      </w:r>
      <w:bookmarkStart w:id="34" w:name="_Toc17004"/>
      <w:bookmarkStart w:id="35" w:name="_Toc1187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bookmarkEnd w:id="34"/>
      <w:bookmarkEnd w:id="3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公务接待费与2023年预算相比下降12.9%，主要原因是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坚持厉行节约，反对浪费的要求，严格执行三公经费压减政策。</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36" w:name="_Toc3900"/>
      <w:bookmarkStart w:id="37" w:name="_Toc641"/>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公务用车购置及运行维护费</w:t>
      </w:r>
      <w:bookmarkEnd w:id="36"/>
      <w:bookmarkEnd w:id="3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元坝一小现有公务用车0辆。</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default" w:ascii="仿宋_GB2312" w:hAnsi="仿宋_GB2312" w:eastAsia="仿宋_GB2312" w:cs="仿宋_GB2312"/>
          <w:sz w:val="32"/>
          <w:szCs w:val="32"/>
          <w:lang w:val="en-US" w:eastAsia="zh-CN"/>
        </w:rPr>
      </w:pPr>
      <w:bookmarkStart w:id="38" w:name="_Toc30949"/>
      <w:bookmarkStart w:id="39" w:name="_Toc997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8"/>
      <w:bookmarkEnd w:id="3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0" w:name="_Toc2067"/>
      <w:r>
        <w:rPr>
          <w:rFonts w:hint="eastAsia" w:ascii="黑体" w:hAnsi="黑体" w:eastAsia="黑体" w:cs="黑体"/>
          <w:sz w:val="32"/>
          <w:szCs w:val="32"/>
          <w:lang w:val="en-US" w:eastAsia="zh-CN"/>
        </w:rPr>
        <w:t>八、政府性基金预算支出情况说明</w:t>
      </w:r>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元坝一小2024年政府性基金预算拨款安排的支出0万元。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1" w:name="_Toc9803"/>
      <w:r>
        <w:rPr>
          <w:rFonts w:hint="eastAsia" w:ascii="黑体" w:hAnsi="黑体" w:eastAsia="黑体" w:cs="黑体"/>
          <w:sz w:val="32"/>
          <w:szCs w:val="32"/>
          <w:lang w:val="en-US" w:eastAsia="zh-CN"/>
        </w:rPr>
        <w:t>九、国有资本经营预算支出情况说明</w:t>
      </w:r>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元坝一小2024年无国有资本经营预算拨款安排的支出。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2" w:name="_Toc6062"/>
      <w:r>
        <w:rPr>
          <w:rFonts w:hint="eastAsia" w:ascii="黑体" w:hAnsi="黑体" w:eastAsia="黑体" w:cs="黑体"/>
          <w:sz w:val="32"/>
          <w:szCs w:val="32"/>
          <w:lang w:val="en-US" w:eastAsia="zh-CN"/>
        </w:rPr>
        <w:t>十、其他重要事项的情况说明</w:t>
      </w:r>
      <w:bookmarkEnd w:id="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3" w:name="_Toc27987"/>
      <w:bookmarkStart w:id="44" w:name="_Toc8507"/>
      <w:r>
        <w:rPr>
          <w:rFonts w:hint="eastAsia" w:ascii="楷体_GB2312" w:hAnsi="楷体_GB2312" w:eastAsia="楷体_GB2312" w:cs="楷体_GB2312"/>
          <w:sz w:val="32"/>
          <w:szCs w:val="32"/>
          <w:lang w:val="en-US" w:eastAsia="zh-CN"/>
        </w:rPr>
        <w:t>（一）机关运行经费</w:t>
      </w:r>
      <w:bookmarkEnd w:id="43"/>
      <w:bookmarkEnd w:id="4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2024年，元坝一小属于公益一类事业单位，</w:t>
      </w:r>
      <w:bookmarkStart w:id="56" w:name="_GoBack"/>
      <w:bookmarkEnd w:id="56"/>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无机关运行经费。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45" w:name="_Toc14184"/>
      <w:bookmarkStart w:id="46" w:name="_Toc1318"/>
      <w:r>
        <w:rPr>
          <w:rFonts w:hint="eastAsia" w:ascii="楷体_GB2312" w:hAnsi="楷体_GB2312" w:eastAsia="楷体_GB2312" w:cs="楷体_GB2312"/>
          <w:sz w:val="32"/>
          <w:szCs w:val="32"/>
          <w:lang w:val="en-US" w:eastAsia="zh-CN"/>
        </w:rPr>
        <w:t>（二）政府采购情况</w:t>
      </w:r>
      <w:bookmarkEnd w:id="45"/>
      <w:bookmarkEnd w:id="4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2024年，元坝一小安排政府采购预算0万元，其中：政府采购货物预算0万元、政府采购工程预算0万元、政府采购服务预算0万元。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47" w:name="_Toc29255"/>
      <w:bookmarkStart w:id="48" w:name="_Toc28892"/>
      <w:r>
        <w:rPr>
          <w:rFonts w:hint="eastAsia" w:ascii="楷体_GB2312" w:hAnsi="楷体_GB2312" w:eastAsia="楷体_GB2312" w:cs="楷体_GB2312"/>
          <w:sz w:val="32"/>
          <w:szCs w:val="32"/>
          <w:lang w:val="en-US" w:eastAsia="zh-CN"/>
        </w:rPr>
        <w:t>（三）国有资产占有使用情况</w:t>
      </w:r>
      <w:bookmarkEnd w:id="47"/>
      <w:bookmarkEnd w:id="4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截至2023年底，元坝一小共有车辆0辆。本单位无价值200万元以上大型设备。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2024年未安排购置车辆及单位价值200万元以上大型设备。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49" w:name="_Toc2217"/>
      <w:bookmarkStart w:id="50" w:name="_Toc23519"/>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绩效目标设置情况</w:t>
      </w:r>
      <w:bookmarkEnd w:id="49"/>
      <w:bookmarkEnd w:id="5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2024年元坝一小开展绩效目标管理的项目2个，涉及预算64.3万元。其中：人员类项目0个，涉及预算0万元；运转类项目2个，涉及预算64.3万元；特定目标类项目0个，涉及预算0万元。因部分项目内容涉密，不予公开。</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rPr>
      </w:pPr>
      <w:bookmarkStart w:id="51" w:name="_Toc31060"/>
      <w:r>
        <w:rPr>
          <w:rFonts w:hint="eastAsia" w:ascii="黑体" w:hAnsi="黑体" w:eastAsia="黑体" w:cs="黑体"/>
          <w:sz w:val="32"/>
          <w:szCs w:val="32"/>
          <w:lang w:val="en-US" w:eastAsia="zh-CN"/>
        </w:rPr>
        <w:t>十一、名词解释</w:t>
      </w:r>
      <w:bookmarkEnd w:id="5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(一)财政拨款收入</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指财政当年安排的财政预算收入。按现行管理制度</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部门预算中反映的财政拨款包括一般公共预算拨款和政府性基金预算拨款。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（二）事业收入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：指事业单位开展专业业务活动及辅助活动所取得的收入。主要为学校根据国家有关部门批准的项目和标准收取的学费、住宿费等（或医院收取的医疗收入）。</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（三）其他收入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：指除上述“一般公共预算拨款收入”“事业收入”等以外的收入。如银行存款利息收入、课时收入等。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（四）教育支出（类）普通教育（款）小学教育（项）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：指全区小学教育发展的基本支出，包括基本工资、津贴补贴等人员经费以及办公费、印刷费、水电费等日常公用经费。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（五）社会保障和就业（类）行政事业单位养老支出（款）事业单位离退休（项）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：指事业单位离退休人员的支出。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（六）基本支出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（七）项目支出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：指在基本支出之外为完成特定行政任务和事业发展目标所发生的支出。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（八）“三公”经费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：纳入财政预算管理的“三公”经费，是指部门用财政拨款安排的因公出国（境）费、公务用车购置及运行费和公务接待费。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52" w:name="_Toc9968_WPSOffice_Level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附件：1.预算公开报表</w:t>
      </w:r>
      <w:bookmarkEnd w:id="5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1600" w:firstLineChars="500"/>
        <w:jc w:val="both"/>
        <w:outlineLvl w:val="1"/>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53" w:name="_Toc27099_WPSOffice_Level1"/>
      <w:bookmarkStart w:id="54" w:name="_Toc29433"/>
      <w:bookmarkStart w:id="55" w:name="_Toc2727"/>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2.项目支出绩效目标表</w:t>
      </w:r>
      <w:bookmarkEnd w:id="53"/>
      <w:bookmarkEnd w:id="54"/>
      <w:bookmarkEnd w:id="55"/>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BE3DF"/>
    <w:multiLevelType w:val="singleLevel"/>
    <w:tmpl w:val="837BE3DF"/>
    <w:lvl w:ilvl="0" w:tentative="0">
      <w:start w:val="1"/>
      <w:numFmt w:val="chineseCounting"/>
      <w:suff w:val="nothing"/>
      <w:lvlText w:val="（%1）"/>
      <w:lvlJc w:val="left"/>
      <w:rPr>
        <w:rFonts w:hint="eastAsia"/>
      </w:rPr>
    </w:lvl>
  </w:abstractNum>
  <w:abstractNum w:abstractNumId="1">
    <w:nsid w:val="C5AEB522"/>
    <w:multiLevelType w:val="singleLevel"/>
    <w:tmpl w:val="C5AEB522"/>
    <w:lvl w:ilvl="0" w:tentative="0">
      <w:start w:val="7"/>
      <w:numFmt w:val="chineseCounting"/>
      <w:suff w:val="nothing"/>
      <w:lvlText w:val="%1、"/>
      <w:lvlJc w:val="left"/>
      <w:rPr>
        <w:rFonts w:hint="eastAsia"/>
      </w:rPr>
    </w:lvl>
  </w:abstractNum>
  <w:abstractNum w:abstractNumId="2">
    <w:nsid w:val="1A1D1658"/>
    <w:multiLevelType w:val="singleLevel"/>
    <w:tmpl w:val="1A1D1658"/>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5E01DB"/>
    <w:rsid w:val="069335D5"/>
    <w:rsid w:val="1DA9344B"/>
    <w:rsid w:val="1F7BF06F"/>
    <w:rsid w:val="1FEE4B73"/>
    <w:rsid w:val="20DA696B"/>
    <w:rsid w:val="23CE9849"/>
    <w:rsid w:val="24C85992"/>
    <w:rsid w:val="366C0AAF"/>
    <w:rsid w:val="3967205D"/>
    <w:rsid w:val="39F304DD"/>
    <w:rsid w:val="40890E7F"/>
    <w:rsid w:val="46147FBB"/>
    <w:rsid w:val="496703CA"/>
    <w:rsid w:val="4E217F3F"/>
    <w:rsid w:val="4FFD0C7F"/>
    <w:rsid w:val="54244390"/>
    <w:rsid w:val="54662A63"/>
    <w:rsid w:val="58064E12"/>
    <w:rsid w:val="5BFEE015"/>
    <w:rsid w:val="6379740E"/>
    <w:rsid w:val="63EDCF55"/>
    <w:rsid w:val="63FBFBCF"/>
    <w:rsid w:val="669360FD"/>
    <w:rsid w:val="68FF6A83"/>
    <w:rsid w:val="6ADE1F81"/>
    <w:rsid w:val="6FBBC9CF"/>
    <w:rsid w:val="72436424"/>
    <w:rsid w:val="72BDE561"/>
    <w:rsid w:val="73CE2914"/>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autoRedefine/>
    <w:unhideWhenUsed/>
    <w:qFormat/>
    <w:uiPriority w:val="99"/>
    <w:pPr>
      <w:spacing w:after="120"/>
      <w:ind w:left="420" w:leftChars="200"/>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Salutation"/>
    <w:basedOn w:val="1"/>
    <w:next w:val="1"/>
    <w:qFormat/>
    <w:uiPriority w:val="0"/>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autoRedefine/>
    <w:qFormat/>
    <w:uiPriority w:val="0"/>
    <w:rPr>
      <w:sz w:val="24"/>
    </w:rPr>
  </w:style>
  <w:style w:type="character" w:customStyle="1" w:styleId="13">
    <w:name w:val="默认段落字体1"/>
    <w:qFormat/>
    <w:uiPriority w:val="0"/>
  </w:style>
  <w:style w:type="paragraph" w:customStyle="1" w:styleId="14">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2024-04-09T07:54:10Z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21C5A5C72CC64997AFFD2E7FA4D0A34C_13</vt:lpwstr>
  </property>
</Properties>
</file>