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32518"/>
      <w:bookmarkStart w:id="1" w:name="_Toc2224"/>
      <w:bookmarkStart w:id="2" w:name="_Toc6905"/>
      <w:bookmarkStart w:id="3" w:name="_Toc2430"/>
      <w:bookmarkStart w:id="4" w:name="_Toc1989"/>
      <w:bookmarkStart w:id="5" w:name="_Toc22589"/>
      <w:bookmarkStart w:id="6" w:name="_Toc19082"/>
      <w:bookmarkStart w:id="7" w:name="_Toc8122"/>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广元市昭化区昭化初级中学</w:t>
      </w:r>
      <w:bookmarkEnd w:id="0"/>
      <w:bookmarkEnd w:id="1"/>
      <w:bookmarkEnd w:id="2"/>
      <w:bookmarkEnd w:id="3"/>
      <w:bookmarkEnd w:id="4"/>
      <w:bookmarkEnd w:id="5"/>
      <w:bookmarkEnd w:id="6"/>
      <w:bookmarkEnd w:id="7"/>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outlineLvl w:val="1"/>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spacing w:before="0" w:beforeLines="0" w:after="0" w:afterLines="0" w:line="240" w:lineRule="auto"/>
        <w:ind w:left="0" w:leftChars="0" w:right="0" w:rightChars="0" w:firstLine="0" w:firstLineChars="0"/>
        <w:jc w:val="center"/>
      </w:pPr>
    </w:p>
    <w:sdt>
      <w:sdtPr>
        <w:rPr>
          <w:rFonts w:ascii="宋体" w:hAnsi="宋体" w:eastAsia="宋体" w:cs="Times New Roman"/>
          <w:color w:val="auto"/>
          <w:kern w:val="2"/>
          <w:sz w:val="21"/>
          <w:szCs w:val="24"/>
          <w:lang w:val="en-US" w:eastAsia="zh-CN" w:bidi="ar-SA"/>
        </w:rPr>
        <w:id w:val="147460472"/>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TOC \o "1-2" \h \u </w:instrText>
          </w:r>
          <w:r>
            <w:rPr>
              <w:rFonts w:hint="eastAsia" w:ascii="方正仿宋_GB2312" w:hAnsi="方正仿宋_GB2312" w:eastAsia="方正仿宋_GB2312" w:cs="方正仿宋_GB2312"/>
              <w:sz w:val="32"/>
              <w:szCs w:val="32"/>
            </w:rPr>
            <w:fldChar w:fldCharType="separate"/>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_Toc23291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一、基本职能及主要工作</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_Toc23291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_Toc3178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（一）</w:t>
          </w:r>
          <w:r>
            <w:rPr>
              <w:rFonts w:hint="eastAsia" w:ascii="方正仿宋_GB2312" w:hAnsi="方正仿宋_GB2312" w:eastAsia="方正仿宋_GB2312" w:cs="方正仿宋_GB2312"/>
              <w:bCs/>
              <w:sz w:val="32"/>
              <w:szCs w:val="32"/>
            </w:rPr>
            <w:t>单位职能简介</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_Toc3178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_Toc394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二）</w:t>
          </w:r>
          <w:r>
            <w:rPr>
              <w:rFonts w:hint="eastAsia" w:ascii="方正仿宋_GB2312" w:hAnsi="方正仿宋_GB2312" w:eastAsia="方正仿宋_GB2312" w:cs="方正仿宋_GB2312"/>
              <w:bCs/>
              <w:sz w:val="32"/>
              <w:szCs w:val="32"/>
            </w:rPr>
            <w:t>单位202</w:t>
          </w:r>
          <w:r>
            <w:rPr>
              <w:rFonts w:hint="eastAsia" w:ascii="方正仿宋_GB2312" w:hAnsi="方正仿宋_GB2312" w:eastAsia="方正仿宋_GB2312" w:cs="方正仿宋_GB2312"/>
              <w:bCs/>
              <w:sz w:val="32"/>
              <w:szCs w:val="32"/>
              <w:lang w:val="en-US" w:eastAsia="zh-CN"/>
            </w:rPr>
            <w:t>4</w:t>
          </w:r>
          <w:r>
            <w:rPr>
              <w:rFonts w:hint="eastAsia" w:ascii="方正仿宋_GB2312" w:hAnsi="方正仿宋_GB2312" w:eastAsia="方正仿宋_GB2312" w:cs="方正仿宋_GB2312"/>
              <w:bCs/>
              <w:sz w:val="32"/>
              <w:szCs w:val="32"/>
            </w:rPr>
            <w:t>年重点工作</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_Toc394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4</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_Toc21654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二、预算单位构成</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_Toc21654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_Toc30891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三、收支预算情况说明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_Toc30891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_Toc2368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（一）收入预算情况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_Toc2368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_Toc27955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（二）支出预算情况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_Toc27955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_Toc7095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四、财政拨款收支预算情况说明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_Toc7095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_Toc28348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五、一般公共预算当年拨款情况说明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_Toc28348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_Toc20715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（一）一般公共预算当年拨款规模变化情况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_Toc20715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_Toc29655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（二）一般公共预算当年拨款结构情况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_Toc29655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_Toc23832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（三）一般公共预算当年拨款具体使用情况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_Toc23832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8</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_Toc24564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六、一般公共预算基本支出情况说明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_Toc24564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8</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_Toc15730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七、“三公”经费财政拨款预算安排情况说明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_Toc15730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8</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_Toc19703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（一）公务接待费</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_Toc19703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8</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_Toc22493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 公务用车购置及运行维护费</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_Toc22493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8</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9"/>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_Toc13942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（三）因公出国（境）经费</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_Toc13942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9</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_Toc22973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八、政府性基金预算支出情况说明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_Toc22973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9</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_Toc15335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九、国有资本经营预算支出情况说明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_Toc15335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9</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_Toc21982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十、其他重要事项的情况说明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_Toc21982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9</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7"/>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_Toc10321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十一、名词解释</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_Toc10321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10</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r>
            <w:rPr>
              <w:rFonts w:hint="eastAsia" w:ascii="方正仿宋_GB2312" w:hAnsi="方正仿宋_GB2312" w:eastAsia="方正仿宋_GB2312" w:cs="方正仿宋_GB2312"/>
              <w:sz w:val="32"/>
              <w:szCs w:val="32"/>
            </w:rPr>
            <w:fldChar w:fldCharType="end"/>
          </w:r>
        </w:p>
        <w:p>
          <w:pPr>
            <w:rPr>
              <w:lang w:val="en-US" w:eastAsia="zh-CN"/>
            </w:rPr>
          </w:pPr>
          <w:bookmarkStart w:id="8" w:name="_Toc12232"/>
          <w:bookmarkStart w:id="9" w:name="_Toc23291"/>
          <w:bookmarkStart w:id="10" w:name="_Toc4396"/>
          <w:bookmarkStart w:id="11" w:name="_Toc9307"/>
          <w:bookmarkStart w:id="12" w:name="_Toc17057"/>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8"/>
      <w:bookmarkEnd w:id="9"/>
      <w:bookmarkEnd w:id="10"/>
      <w:bookmarkEnd w:id="11"/>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华文楷体" w:hAnsi="华文楷体" w:eastAsia="华文楷体" w:cs="华文楷体"/>
          <w:b/>
          <w:bCs/>
          <w:sz w:val="32"/>
          <w:szCs w:val="32"/>
        </w:rPr>
      </w:pPr>
      <w:bookmarkStart w:id="13" w:name="_Toc22601"/>
      <w:bookmarkStart w:id="14" w:name="_Toc30615"/>
      <w:bookmarkStart w:id="15" w:name="_Toc3178"/>
      <w:bookmarkStart w:id="16" w:name="_Toc3312"/>
      <w:r>
        <w:rPr>
          <w:rFonts w:hint="eastAsia" w:ascii="楷体_GB2312" w:hAnsi="楷体_GB2312" w:eastAsia="楷体_GB2312" w:cs="楷体_GB2312"/>
          <w:sz w:val="32"/>
          <w:szCs w:val="32"/>
        </w:rPr>
        <w:t>（一）</w:t>
      </w:r>
      <w:r>
        <w:rPr>
          <w:rFonts w:hint="eastAsia" w:ascii="华文楷体" w:hAnsi="华文楷体" w:eastAsia="华文楷体" w:cs="华文楷体"/>
          <w:b/>
          <w:bCs/>
          <w:sz w:val="32"/>
          <w:szCs w:val="32"/>
        </w:rPr>
        <w:t>单位职能简介</w:t>
      </w:r>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1.贯彻党的教育方针，坚持社会主义办学方向，实行教育与生产劳动相结合，对学生进行德育、智育、体育、美育和劳动等方面的教育。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2.用科学的发展观指导教育教学工作。加强教育科研工作，推动校本教育的健康发展。加强教学管理，不断推进新课程改革，全面提高教学质量。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3.负责配合各级人民政府依法动员、组织适龄儿童、少年入学，严格控制学生辍学，依法保证适龄儿童、少年接受九年义务教育。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4.继续深化人事制度改革，完善学校内部管理，做好后勤保障工作。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5.负责科学管理、合理使用学校的设施和经费，并积极筹措资金，改善办学条件。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6.负责维护学校、师生的合法权益，有权拒绝任何组织和个人对教育教学活动进行非法干扰。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7.负责创建绿色校园、文明校园和平安校园。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8.负责关心教职工生活，发挥教代会职能作用。依法制定本校教师及其他职工出任办法并对教师及其他员工实施包括奖励、处分在内的具体管理活动。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9.承办上级交办的其他事项。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sz w:val="32"/>
          <w:szCs w:val="32"/>
        </w:rPr>
      </w:pPr>
      <w:bookmarkStart w:id="17" w:name="_Toc1164"/>
      <w:bookmarkStart w:id="18" w:name="_Toc6475"/>
      <w:bookmarkStart w:id="19" w:name="_Toc2712"/>
      <w:bookmarkStart w:id="20" w:name="_Toc394"/>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二）</w:t>
      </w:r>
      <w:r>
        <w:rPr>
          <w:rFonts w:hint="eastAsia" w:ascii="华文楷体" w:hAnsi="华文楷体" w:eastAsia="华文楷体" w:cs="华文楷体"/>
          <w:b/>
          <w:bCs/>
          <w:sz w:val="32"/>
          <w:szCs w:val="32"/>
        </w:rPr>
        <w:t>单位202</w:t>
      </w:r>
      <w:r>
        <w:rPr>
          <w:rFonts w:hint="eastAsia" w:ascii="华文楷体" w:hAnsi="华文楷体" w:eastAsia="华文楷体" w:cs="华文楷体"/>
          <w:b/>
          <w:bCs/>
          <w:sz w:val="32"/>
          <w:szCs w:val="32"/>
          <w:lang w:val="en-US" w:eastAsia="zh-CN"/>
        </w:rPr>
        <w:t>4</w:t>
      </w:r>
      <w:r>
        <w:rPr>
          <w:rFonts w:hint="eastAsia" w:ascii="华文楷体" w:hAnsi="华文楷体" w:eastAsia="华文楷体" w:cs="华文楷体"/>
          <w:b/>
          <w:bCs/>
          <w:sz w:val="32"/>
          <w:szCs w:val="32"/>
        </w:rPr>
        <w:t>年重点工作</w:t>
      </w:r>
      <w:bookmarkEnd w:id="17"/>
      <w:bookmarkEnd w:id="18"/>
      <w:bookmarkEnd w:id="19"/>
      <w:bookmarkEnd w:id="20"/>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outlineLvl w:val="0"/>
        <w:rPr>
          <w:rFonts w:ascii="仿宋_GB2312" w:eastAsia="仿宋_GB2312"/>
          <w:sz w:val="32"/>
          <w:szCs w:val="32"/>
        </w:rPr>
      </w:pPr>
      <w:bookmarkStart w:id="21" w:name="_Toc19200"/>
      <w:bookmarkStart w:id="22" w:name="_Toc21606"/>
      <w:bookmarkStart w:id="23" w:name="_Toc26304"/>
      <w:bookmarkStart w:id="24" w:name="_Toc24600"/>
      <w:bookmarkStart w:id="25" w:name="_Toc23349"/>
      <w:bookmarkStart w:id="26" w:name="_Toc12495"/>
      <w:r>
        <w:rPr>
          <w:rFonts w:hint="eastAsia" w:ascii="黑体" w:hAnsi="黑体" w:eastAsia="黑体"/>
          <w:sz w:val="32"/>
          <w:szCs w:val="32"/>
          <w:lang w:val="en-US" w:eastAsia="zh-CN"/>
        </w:rPr>
        <w:t>1</w:t>
      </w:r>
      <w:r>
        <w:rPr>
          <w:rFonts w:hint="eastAsia" w:ascii="黑体" w:hAnsi="黑体" w:eastAsia="黑体"/>
          <w:sz w:val="32"/>
          <w:szCs w:val="32"/>
        </w:rPr>
        <w:t>、指导思想</w:t>
      </w:r>
      <w:r>
        <w:rPr>
          <w:rFonts w:hint="eastAsia" w:ascii="仿宋_GB2312" w:eastAsia="仿宋_GB2312"/>
          <w:sz w:val="32"/>
          <w:szCs w:val="32"/>
        </w:rPr>
        <w:t>：</w:t>
      </w:r>
      <w:bookmarkEnd w:id="21"/>
      <w:bookmarkEnd w:id="22"/>
      <w:bookmarkEnd w:id="23"/>
      <w:bookmarkEnd w:id="24"/>
      <w:bookmarkEnd w:id="25"/>
      <w:bookmarkEnd w:id="26"/>
    </w:p>
    <w:p>
      <w:pPr>
        <w:keepNext w:val="0"/>
        <w:keepLines w:val="0"/>
        <w:pageBreakBefore w:val="0"/>
        <w:kinsoku/>
        <w:wordWrap/>
        <w:overflowPunct/>
        <w:topLinePunct w:val="0"/>
        <w:autoSpaceDE/>
        <w:autoSpaceDN/>
        <w:bidi w:val="0"/>
        <w:adjustRightInd/>
        <w:snapToGrid/>
        <w:spacing w:line="500" w:lineRule="exact"/>
        <w:textAlignment w:val="auto"/>
        <w:rPr>
          <w:rFonts w:ascii="仿宋_GB2312" w:eastAsia="仿宋_GB2312"/>
          <w:sz w:val="32"/>
          <w:szCs w:val="32"/>
        </w:rPr>
      </w:pPr>
      <w:r>
        <w:rPr>
          <w:rFonts w:hint="eastAsia" w:ascii="仿宋_GB2312" w:eastAsia="仿宋_GB2312"/>
          <w:sz w:val="32"/>
          <w:szCs w:val="32"/>
        </w:rPr>
        <w:t xml:space="preserve">    本</w:t>
      </w:r>
      <w:r>
        <w:rPr>
          <w:rFonts w:hint="eastAsia" w:ascii="仿宋_GB2312" w:eastAsia="仿宋_GB2312"/>
          <w:sz w:val="32"/>
          <w:szCs w:val="32"/>
          <w:lang w:eastAsia="zh-CN"/>
        </w:rPr>
        <w:t>年度</w:t>
      </w:r>
      <w:r>
        <w:rPr>
          <w:rFonts w:hint="eastAsia" w:ascii="仿宋_GB2312" w:eastAsia="仿宋_GB2312"/>
          <w:sz w:val="32"/>
          <w:szCs w:val="32"/>
        </w:rPr>
        <w:t>我校以“提高教学质量”为中心，以“安全”、“德育”为两翼，以“和谐”、“规范”、“创新”、“有效”、“发展”为着力点</w:t>
      </w:r>
      <w:r>
        <w:rPr>
          <w:rFonts w:hint="eastAsia" w:ascii="仿宋_GB2312" w:eastAsia="仿宋_GB2312"/>
          <w:sz w:val="32"/>
          <w:szCs w:val="32"/>
          <w:lang w:eastAsia="zh-CN"/>
        </w:rPr>
        <w:t>；</w:t>
      </w:r>
      <w:r>
        <w:rPr>
          <w:rFonts w:hint="eastAsia" w:ascii="仿宋_GB2312" w:eastAsia="仿宋_GB2312"/>
          <w:sz w:val="32"/>
          <w:szCs w:val="32"/>
        </w:rPr>
        <w:t>不断提升学校教育整体实力，确保学校可持续发展。</w:t>
      </w:r>
    </w:p>
    <w:p>
      <w:pPr>
        <w:keepNext w:val="0"/>
        <w:keepLines w:val="0"/>
        <w:pageBreakBefore w:val="0"/>
        <w:numPr>
          <w:ilvl w:val="0"/>
          <w:numId w:val="0"/>
        </w:numPr>
        <w:kinsoku/>
        <w:wordWrap/>
        <w:overflowPunct/>
        <w:topLinePunct w:val="0"/>
        <w:autoSpaceDE/>
        <w:autoSpaceDN/>
        <w:bidi w:val="0"/>
        <w:adjustRightInd/>
        <w:snapToGrid/>
        <w:spacing w:line="500" w:lineRule="exact"/>
        <w:ind w:left="420" w:leftChars="200" w:firstLine="217" w:firstLineChars="68"/>
        <w:textAlignment w:val="auto"/>
        <w:outlineLvl w:val="0"/>
        <w:rPr>
          <w:rFonts w:hint="eastAsia" w:ascii="仿宋_GB2312" w:eastAsia="仿宋_GB2312"/>
          <w:sz w:val="32"/>
          <w:szCs w:val="32"/>
        </w:rPr>
      </w:pPr>
      <w:bookmarkStart w:id="27" w:name="_Toc23048"/>
      <w:bookmarkStart w:id="28" w:name="_Toc13245"/>
      <w:bookmarkStart w:id="29" w:name="_Toc27891"/>
      <w:bookmarkStart w:id="30" w:name="_Toc10551"/>
      <w:bookmarkStart w:id="31" w:name="_Toc13887"/>
      <w:bookmarkStart w:id="32" w:name="_Toc24965"/>
      <w:bookmarkStart w:id="33" w:name="_Toc16159"/>
      <w:r>
        <w:rPr>
          <w:rFonts w:hint="eastAsia" w:ascii="黑体" w:hAnsi="黑体" w:eastAsia="黑体"/>
          <w:sz w:val="32"/>
          <w:szCs w:val="32"/>
          <w:lang w:val="en-US" w:eastAsia="zh-CN"/>
        </w:rPr>
        <w:t>2、</w:t>
      </w:r>
      <w:r>
        <w:rPr>
          <w:rFonts w:hint="eastAsia" w:ascii="黑体" w:hAnsi="黑体" w:eastAsia="黑体"/>
          <w:sz w:val="32"/>
          <w:szCs w:val="32"/>
        </w:rPr>
        <w:t>主要目标</w:t>
      </w:r>
      <w:r>
        <w:rPr>
          <w:rFonts w:hint="eastAsia" w:ascii="仿宋_GB2312" w:eastAsia="仿宋_GB2312"/>
          <w:sz w:val="32"/>
          <w:szCs w:val="32"/>
        </w:rPr>
        <w:t>：</w:t>
      </w:r>
      <w:bookmarkEnd w:id="27"/>
      <w:bookmarkEnd w:id="28"/>
      <w:bookmarkEnd w:id="29"/>
      <w:bookmarkEnd w:id="30"/>
      <w:bookmarkEnd w:id="31"/>
      <w:bookmarkEnd w:id="32"/>
      <w:bookmarkEnd w:id="33"/>
    </w:p>
    <w:p>
      <w:pPr>
        <w:keepNext w:val="0"/>
        <w:keepLines w:val="0"/>
        <w:pageBreakBefore w:val="0"/>
        <w:numPr>
          <w:ilvl w:val="0"/>
          <w:numId w:val="0"/>
        </w:numPr>
        <w:kinsoku/>
        <w:wordWrap/>
        <w:overflowPunct/>
        <w:topLinePunct w:val="0"/>
        <w:autoSpaceDE/>
        <w:autoSpaceDN/>
        <w:bidi w:val="0"/>
        <w:adjustRightInd/>
        <w:snapToGrid/>
        <w:spacing w:line="500" w:lineRule="exact"/>
        <w:ind w:left="836" w:leftChars="304" w:hanging="198" w:hangingChars="62"/>
        <w:textAlignment w:val="auto"/>
        <w:outlineLvl w:val="0"/>
        <w:rPr>
          <w:rFonts w:hint="eastAsia" w:ascii="仿宋_GB2312" w:hAnsi="仿宋" w:eastAsia="仿宋_GB2312"/>
          <w:sz w:val="32"/>
          <w:szCs w:val="32"/>
          <w:lang w:eastAsia="zh-CN"/>
        </w:rPr>
      </w:pPr>
      <w:bookmarkStart w:id="34" w:name="_Toc20452"/>
      <w:bookmarkStart w:id="35" w:name="_Toc28325"/>
      <w:bookmarkStart w:id="36" w:name="_Toc23872"/>
      <w:bookmarkStart w:id="37" w:name="_Toc6538"/>
      <w:bookmarkStart w:id="38" w:name="_Toc27102"/>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）学校目标：综合考评达到“合格”，争创“优秀”。</w:t>
      </w:r>
      <w:bookmarkEnd w:id="34"/>
      <w:bookmarkEnd w:id="35"/>
      <w:bookmarkEnd w:id="36"/>
      <w:bookmarkEnd w:id="37"/>
      <w:bookmarkEnd w:id="38"/>
    </w:p>
    <w:p>
      <w:pPr>
        <w:keepNext w:val="0"/>
        <w:keepLines w:val="0"/>
        <w:pageBreakBefore w:val="0"/>
        <w:numPr>
          <w:ilvl w:val="0"/>
          <w:numId w:val="0"/>
        </w:numPr>
        <w:kinsoku/>
        <w:wordWrap/>
        <w:overflowPunct/>
        <w:topLinePunct w:val="0"/>
        <w:autoSpaceDE/>
        <w:autoSpaceDN/>
        <w:bidi w:val="0"/>
        <w:adjustRightInd/>
        <w:snapToGrid/>
        <w:spacing w:line="500" w:lineRule="exact"/>
        <w:ind w:left="836" w:leftChars="304" w:hanging="198" w:hangingChars="62"/>
        <w:textAlignment w:val="auto"/>
        <w:outlineLvl w:val="0"/>
        <w:rPr>
          <w:rFonts w:hint="eastAsia" w:ascii="仿宋_GB2312" w:hAnsi="仿宋" w:eastAsia="仿宋_GB2312"/>
          <w:sz w:val="32"/>
          <w:szCs w:val="32"/>
          <w:lang w:eastAsia="zh-CN"/>
        </w:rPr>
      </w:pPr>
      <w:bookmarkStart w:id="39" w:name="_Toc27940"/>
      <w:bookmarkStart w:id="40" w:name="_Toc24723"/>
      <w:bookmarkStart w:id="41" w:name="_Toc15259"/>
      <w:bookmarkStart w:id="42" w:name="_Toc9215"/>
      <w:bookmarkStart w:id="43" w:name="_Toc13840"/>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）质量目标：初中部在在</w:t>
      </w:r>
      <w:r>
        <w:rPr>
          <w:rFonts w:hint="eastAsia" w:ascii="仿宋_GB2312" w:hAnsi="仿宋" w:eastAsia="仿宋_GB2312"/>
          <w:sz w:val="32"/>
          <w:szCs w:val="32"/>
          <w:lang w:val="en-US" w:eastAsia="zh-CN"/>
        </w:rPr>
        <w:t>11所学校占位第5</w:t>
      </w:r>
      <w:r>
        <w:rPr>
          <w:rFonts w:hint="eastAsia" w:ascii="仿宋_GB2312" w:hAnsi="仿宋" w:eastAsia="仿宋_GB2312"/>
          <w:sz w:val="32"/>
          <w:szCs w:val="32"/>
          <w:lang w:eastAsia="zh-CN"/>
        </w:rPr>
        <w:t>，小学部由</w:t>
      </w:r>
      <w:r>
        <w:rPr>
          <w:rFonts w:hint="eastAsia" w:ascii="仿宋_GB2312" w:hAnsi="仿宋" w:eastAsia="仿宋_GB2312"/>
          <w:sz w:val="32"/>
          <w:szCs w:val="32"/>
          <w:lang w:val="en-US" w:eastAsia="zh-CN"/>
        </w:rPr>
        <w:t>22名上升到16名</w:t>
      </w:r>
      <w:r>
        <w:rPr>
          <w:rFonts w:hint="eastAsia" w:ascii="仿宋_GB2312" w:hAnsi="仿宋" w:eastAsia="仿宋_GB2312"/>
          <w:sz w:val="32"/>
          <w:szCs w:val="32"/>
          <w:lang w:eastAsia="zh-CN"/>
        </w:rPr>
        <w:t>。</w:t>
      </w:r>
      <w:bookmarkEnd w:id="39"/>
      <w:bookmarkEnd w:id="40"/>
      <w:bookmarkEnd w:id="41"/>
      <w:bookmarkEnd w:id="42"/>
      <w:bookmarkEnd w:id="43"/>
    </w:p>
    <w:p>
      <w:pPr>
        <w:keepNext w:val="0"/>
        <w:keepLines w:val="0"/>
        <w:pageBreakBefore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outlineLvl w:val="0"/>
        <w:rPr>
          <w:rFonts w:hint="eastAsia" w:ascii="仿宋_GB2312" w:eastAsia="仿宋_GB2312"/>
          <w:sz w:val="32"/>
          <w:szCs w:val="32"/>
          <w:lang w:eastAsia="zh-CN"/>
        </w:rPr>
      </w:pPr>
      <w:bookmarkStart w:id="44" w:name="_Toc32316"/>
      <w:bookmarkStart w:id="45" w:name="_Toc15478"/>
      <w:bookmarkStart w:id="46" w:name="_Toc24810"/>
      <w:bookmarkStart w:id="47" w:name="_Toc808"/>
      <w:bookmarkStart w:id="48" w:name="_Toc11235"/>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）安全目标：做到无重大安全责任事故发生。</w:t>
      </w:r>
      <w:bookmarkEnd w:id="44"/>
      <w:bookmarkEnd w:id="45"/>
      <w:bookmarkEnd w:id="46"/>
      <w:bookmarkEnd w:id="47"/>
      <w:bookmarkEnd w:id="48"/>
    </w:p>
    <w:p>
      <w:pPr>
        <w:keepNext w:val="0"/>
        <w:keepLines w:val="0"/>
        <w:pageBreakBefore w:val="0"/>
        <w:kinsoku/>
        <w:wordWrap/>
        <w:overflowPunct/>
        <w:topLinePunct w:val="0"/>
        <w:autoSpaceDE/>
        <w:autoSpaceDN/>
        <w:bidi w:val="0"/>
        <w:adjustRightInd/>
        <w:snapToGrid/>
        <w:spacing w:line="500" w:lineRule="exact"/>
        <w:ind w:left="0" w:leftChars="0" w:firstLine="640" w:firstLineChars="200"/>
        <w:textAlignment w:val="auto"/>
        <w:outlineLvl w:val="0"/>
        <w:rPr>
          <w:rFonts w:ascii="黑体" w:hAnsi="黑体" w:eastAsia="黑体"/>
          <w:sz w:val="32"/>
          <w:szCs w:val="32"/>
        </w:rPr>
      </w:pPr>
      <w:bookmarkStart w:id="49" w:name="_Toc32471"/>
      <w:bookmarkStart w:id="50" w:name="_Toc26626"/>
      <w:bookmarkStart w:id="51" w:name="_Toc9465"/>
      <w:bookmarkStart w:id="52" w:name="_Toc6910"/>
      <w:bookmarkStart w:id="53" w:name="_Toc1197"/>
      <w:bookmarkStart w:id="54" w:name="_Toc2510"/>
      <w:bookmarkStart w:id="55" w:name="_Toc5661"/>
      <w:r>
        <w:rPr>
          <w:rFonts w:hint="eastAsia" w:ascii="黑体" w:hAnsi="黑体" w:eastAsia="黑体"/>
          <w:sz w:val="32"/>
          <w:szCs w:val="32"/>
          <w:lang w:val="en-US" w:eastAsia="zh-CN"/>
        </w:rPr>
        <w:t>3</w:t>
      </w:r>
      <w:r>
        <w:rPr>
          <w:rFonts w:hint="eastAsia" w:ascii="黑体" w:hAnsi="黑体" w:eastAsia="黑体"/>
          <w:sz w:val="32"/>
          <w:szCs w:val="32"/>
        </w:rPr>
        <w:t>、具体措施：</w:t>
      </w:r>
      <w:bookmarkEnd w:id="49"/>
      <w:bookmarkEnd w:id="50"/>
      <w:bookmarkEnd w:id="51"/>
      <w:bookmarkEnd w:id="52"/>
      <w:bookmarkEnd w:id="53"/>
      <w:bookmarkEnd w:id="54"/>
      <w:bookmarkEnd w:id="55"/>
    </w:p>
    <w:p>
      <w:pPr>
        <w:keepNext w:val="0"/>
        <w:keepLines w:val="0"/>
        <w:pageBreakBefore w:val="0"/>
        <w:kinsoku/>
        <w:wordWrap/>
        <w:overflowPunct/>
        <w:topLinePunct w:val="0"/>
        <w:autoSpaceDE/>
        <w:autoSpaceDN/>
        <w:bidi w:val="0"/>
        <w:adjustRightInd/>
        <w:snapToGrid/>
        <w:spacing w:line="500" w:lineRule="exact"/>
        <w:ind w:left="0" w:leftChars="0" w:firstLine="842" w:firstLineChars="262"/>
        <w:textAlignment w:val="auto"/>
        <w:outlineLvl w:val="1"/>
        <w:rPr>
          <w:rFonts w:ascii="仿宋_GB2312" w:hAnsi="仿宋" w:eastAsia="仿宋_GB2312"/>
          <w:b/>
          <w:sz w:val="32"/>
          <w:szCs w:val="32"/>
        </w:rPr>
      </w:pPr>
      <w:bookmarkStart w:id="56" w:name="_Toc27163"/>
      <w:bookmarkStart w:id="57" w:name="_Toc5246"/>
      <w:bookmarkStart w:id="58" w:name="_Toc14211"/>
      <w:bookmarkStart w:id="59" w:name="_Toc28508"/>
      <w:r>
        <w:rPr>
          <w:rFonts w:hint="eastAsia" w:ascii="仿宋_GB2312" w:eastAsia="仿宋_GB2312"/>
          <w:b/>
          <w:sz w:val="32"/>
          <w:szCs w:val="32"/>
          <w:lang w:val="en-US" w:eastAsia="zh-CN"/>
        </w:rPr>
        <w:t>（1）</w:t>
      </w:r>
      <w:r>
        <w:rPr>
          <w:rFonts w:hint="eastAsia" w:ascii="仿宋_GB2312" w:hAnsi="仿宋" w:eastAsia="仿宋_GB2312"/>
          <w:b/>
          <w:sz w:val="32"/>
          <w:szCs w:val="32"/>
        </w:rPr>
        <w:t>抓师德、铸师魂，带好一支队伍</w:t>
      </w:r>
      <w:bookmarkEnd w:id="56"/>
      <w:bookmarkEnd w:id="57"/>
      <w:bookmarkEnd w:id="58"/>
      <w:bookmarkEnd w:id="59"/>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_GB2312" w:hAnsi="仿宋" w:eastAsia="仿宋_GB2312"/>
          <w:sz w:val="32"/>
          <w:szCs w:val="32"/>
        </w:rPr>
      </w:pPr>
      <w:r>
        <w:rPr>
          <w:rFonts w:hint="eastAsia" w:ascii="仿宋_GB2312" w:hAnsi="仿宋_GB2312" w:eastAsia="仿宋_GB2312" w:cs="仿宋_GB2312"/>
          <w:sz w:val="32"/>
          <w:szCs w:val="32"/>
        </w:rPr>
        <w:t>加强学习，规范师德行为。严禁教师进行有偿补课、向学生兜售和征订教辅资料以及体罚和变相体罚学生；并签订 “廉洁从教师德承诺责任书”。</w:t>
      </w:r>
    </w:p>
    <w:p>
      <w:pPr>
        <w:keepNext w:val="0"/>
        <w:keepLines w:val="0"/>
        <w:pageBreakBefore w:val="0"/>
        <w:kinsoku/>
        <w:wordWrap/>
        <w:overflowPunct/>
        <w:topLinePunct w:val="0"/>
        <w:autoSpaceDE/>
        <w:autoSpaceDN/>
        <w:bidi w:val="0"/>
        <w:adjustRightInd/>
        <w:snapToGrid/>
        <w:spacing w:line="500" w:lineRule="exact"/>
        <w:ind w:left="0" w:leftChars="0" w:firstLine="842" w:firstLineChars="262"/>
        <w:textAlignment w:val="auto"/>
        <w:outlineLvl w:val="1"/>
        <w:rPr>
          <w:rFonts w:ascii="仿宋_GB2312" w:eastAsia="仿宋_GB2312"/>
          <w:b/>
          <w:sz w:val="32"/>
          <w:szCs w:val="32"/>
        </w:rPr>
      </w:pPr>
      <w:bookmarkStart w:id="60" w:name="_Toc29936"/>
      <w:bookmarkStart w:id="61" w:name="_Toc21191"/>
      <w:bookmarkStart w:id="62" w:name="_Toc24380"/>
      <w:bookmarkStart w:id="63" w:name="_Toc31954"/>
      <w:r>
        <w:rPr>
          <w:rFonts w:hint="eastAsia" w:ascii="仿宋_GB2312" w:eastAsia="仿宋_GB2312"/>
          <w:b/>
          <w:sz w:val="32"/>
          <w:szCs w:val="32"/>
          <w:lang w:val="en-US" w:eastAsia="zh-CN"/>
        </w:rPr>
        <w:t>（2）</w:t>
      </w:r>
      <w:r>
        <w:rPr>
          <w:rFonts w:hint="eastAsia" w:ascii="仿宋_GB2312" w:hAnsi="仿宋" w:eastAsia="仿宋_GB2312"/>
          <w:b/>
          <w:sz w:val="32"/>
          <w:szCs w:val="32"/>
        </w:rPr>
        <w:t>抓管理、促规范，提高</w:t>
      </w:r>
      <w:r>
        <w:rPr>
          <w:rFonts w:hint="eastAsia" w:ascii="仿宋_GB2312" w:hAnsi="仿宋" w:eastAsia="仿宋_GB2312"/>
          <w:b/>
          <w:sz w:val="32"/>
          <w:szCs w:val="32"/>
          <w:lang w:eastAsia="zh-CN"/>
        </w:rPr>
        <w:t>教育</w:t>
      </w:r>
      <w:r>
        <w:rPr>
          <w:rFonts w:hint="eastAsia" w:ascii="仿宋_GB2312" w:hAnsi="仿宋" w:eastAsia="仿宋_GB2312"/>
          <w:b/>
          <w:sz w:val="32"/>
          <w:szCs w:val="32"/>
        </w:rPr>
        <w:t>教学质量</w:t>
      </w:r>
      <w:bookmarkEnd w:id="60"/>
      <w:bookmarkEnd w:id="61"/>
      <w:bookmarkEnd w:id="62"/>
      <w:bookmarkEnd w:id="63"/>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sz w:val="32"/>
          <w:szCs w:val="32"/>
        </w:rPr>
      </w:pPr>
      <w:r>
        <w:rPr>
          <w:rFonts w:hint="eastAsia" w:ascii="仿宋_GB2312" w:eastAsia="仿宋_GB2312"/>
          <w:sz w:val="32"/>
          <w:szCs w:val="32"/>
        </w:rPr>
        <w:t>规范各项规章制度。进一步修订和完善各项常规管理制度，力求使学校管理制度化、科学化、规范化、精细化</w:t>
      </w:r>
      <w:r>
        <w:rPr>
          <w:rFonts w:hint="eastAsia" w:ascii="仿宋_GB2312" w:eastAsia="仿宋_GB2312"/>
          <w:sz w:val="32"/>
          <w:szCs w:val="32"/>
          <w:lang w:eastAsia="zh-CN"/>
        </w:rPr>
        <w:t>。</w:t>
      </w:r>
      <w:r>
        <w:rPr>
          <w:rFonts w:hint="eastAsia" w:ascii="仿宋_GB2312" w:eastAsia="仿宋_GB2312"/>
          <w:sz w:val="32"/>
          <w:szCs w:val="32"/>
        </w:rPr>
        <w:t>规范课程管理。严格按照省教育厅规定开齐、开足课程，不随意增减课程和课时，不随意调整课程难度和教学进度；不占用节假日集体上课、补课；认真上好“两课两操”，积极组织学生开展好</w:t>
      </w:r>
      <w:r>
        <w:rPr>
          <w:rFonts w:hint="eastAsia" w:ascii="仿宋_GB2312" w:eastAsia="仿宋_GB2312"/>
          <w:sz w:val="32"/>
          <w:szCs w:val="32"/>
          <w:lang w:eastAsia="zh-CN"/>
        </w:rPr>
        <w:t>课间</w:t>
      </w:r>
      <w:r>
        <w:rPr>
          <w:rFonts w:hint="eastAsia" w:ascii="仿宋_GB2312" w:eastAsia="仿宋_GB2312"/>
          <w:sz w:val="32"/>
          <w:szCs w:val="32"/>
          <w:lang w:val="en-US" w:eastAsia="zh-CN"/>
        </w:rPr>
        <w:t>30分</w:t>
      </w:r>
      <w:r>
        <w:rPr>
          <w:rFonts w:hint="eastAsia" w:ascii="仿宋_GB2312" w:eastAsia="仿宋_GB2312"/>
          <w:sz w:val="32"/>
          <w:szCs w:val="32"/>
        </w:rPr>
        <w:t>体育活动。规范后勤服务工作</w:t>
      </w:r>
      <w:r>
        <w:rPr>
          <w:rFonts w:hint="eastAsia" w:ascii="仿宋_GB2312" w:eastAsia="仿宋_GB2312"/>
          <w:sz w:val="32"/>
          <w:szCs w:val="32"/>
          <w:lang w:eastAsia="zh-CN"/>
        </w:rPr>
        <w:t>，</w:t>
      </w:r>
      <w:r>
        <w:rPr>
          <w:rFonts w:hint="eastAsia" w:ascii="仿宋_GB2312" w:eastAsia="仿宋_GB2312"/>
          <w:sz w:val="32"/>
          <w:szCs w:val="32"/>
        </w:rPr>
        <w:t>规范</w:t>
      </w:r>
      <w:r>
        <w:rPr>
          <w:rFonts w:hint="eastAsia" w:ascii="仿宋_GB2312" w:eastAsia="仿宋_GB2312"/>
          <w:sz w:val="32"/>
          <w:szCs w:val="32"/>
          <w:lang w:eastAsia="zh-CN"/>
        </w:rPr>
        <w:t>临聘</w:t>
      </w:r>
      <w:r>
        <w:rPr>
          <w:rFonts w:hint="eastAsia" w:ascii="仿宋_GB2312" w:eastAsia="仿宋_GB2312"/>
          <w:sz w:val="32"/>
          <w:szCs w:val="32"/>
        </w:rPr>
        <w:t>人员</w:t>
      </w:r>
      <w:r>
        <w:rPr>
          <w:rFonts w:hint="eastAsia" w:ascii="仿宋_GB2312" w:eastAsia="仿宋_GB2312"/>
          <w:sz w:val="32"/>
          <w:szCs w:val="32"/>
          <w:lang w:eastAsia="zh-CN"/>
        </w:rPr>
        <w:t>、临时</w:t>
      </w:r>
      <w:r>
        <w:rPr>
          <w:rFonts w:hint="eastAsia" w:ascii="仿宋_GB2312" w:eastAsia="仿宋_GB2312"/>
          <w:sz w:val="32"/>
          <w:szCs w:val="32"/>
        </w:rPr>
        <w:t>用工制度；</w:t>
      </w:r>
      <w:r>
        <w:rPr>
          <w:rFonts w:hint="eastAsia" w:ascii="仿宋_GB2312" w:eastAsia="仿宋_GB2312"/>
          <w:sz w:val="32"/>
          <w:szCs w:val="32"/>
          <w:lang w:eastAsia="zh-CN"/>
        </w:rPr>
        <w:t>严把财务收、支两条线，确保学校正常运行；及时排查用电、用气等各类安全隐患，确保学校正常发展。</w:t>
      </w:r>
      <w:r>
        <w:rPr>
          <w:rFonts w:hint="eastAsia" w:ascii="仿宋_GB2312" w:hAnsi="仿宋" w:eastAsia="仿宋_GB2312"/>
          <w:sz w:val="32"/>
          <w:szCs w:val="32"/>
        </w:rPr>
        <w:t>强化质量意识，抓好教学过程管理。认真抓教学常规，每周督促落实“备、教、辅、改、考、练、析、结”各个教学环节；</w:t>
      </w:r>
      <w:r>
        <w:rPr>
          <w:rFonts w:hint="eastAsia" w:ascii="仿宋_GB2312" w:hAnsi="仿宋" w:eastAsia="仿宋_GB2312"/>
          <w:sz w:val="32"/>
          <w:szCs w:val="32"/>
          <w:lang w:eastAsia="zh-CN"/>
        </w:rPr>
        <w:t>校级领导实行“两不一直”推门听课制度，促成教师上有准备的课，推动高效课堂的构建</w:t>
      </w:r>
      <w:r>
        <w:rPr>
          <w:rFonts w:hint="eastAsia" w:ascii="仿宋_GB2312" w:hAnsi="仿宋" w:eastAsia="仿宋_GB2312"/>
          <w:sz w:val="32"/>
          <w:szCs w:val="32"/>
        </w:rPr>
        <w:t>。</w:t>
      </w:r>
      <w:r>
        <w:rPr>
          <w:rFonts w:eastAsia="仿宋_GB2312" w:cs="Times New Roman"/>
          <w:color w:val="000000"/>
          <w:sz w:val="32"/>
          <w:szCs w:val="32"/>
        </w:rPr>
        <w:t>抓好毕业班是提升质量的关键。召开毕业班会，做到每月至少召开一次毕业班全体教师会。加强毕业班</w:t>
      </w:r>
      <w:r>
        <w:rPr>
          <w:rFonts w:hint="eastAsia" w:eastAsia="仿宋_GB2312" w:cs="Times New Roman"/>
          <w:color w:val="000000"/>
          <w:sz w:val="32"/>
          <w:szCs w:val="32"/>
        </w:rPr>
        <w:t>教学</w:t>
      </w:r>
      <w:r>
        <w:rPr>
          <w:rFonts w:eastAsia="仿宋_GB2312" w:cs="Times New Roman"/>
          <w:color w:val="000000"/>
          <w:sz w:val="32"/>
          <w:szCs w:val="32"/>
        </w:rPr>
        <w:t>研究指导</w:t>
      </w:r>
      <w:r>
        <w:rPr>
          <w:rFonts w:hint="eastAsia" w:eastAsia="仿宋_GB2312" w:cs="Times New Roman"/>
          <w:color w:val="000000"/>
          <w:sz w:val="32"/>
          <w:szCs w:val="32"/>
          <w:lang w:eastAsia="zh-CN"/>
        </w:rPr>
        <w:t>。</w:t>
      </w:r>
      <w:r>
        <w:rPr>
          <w:rFonts w:hint="eastAsia" w:ascii="仿宋_GB2312" w:hAnsi="仿宋" w:eastAsia="仿宋_GB2312"/>
          <w:sz w:val="32"/>
          <w:szCs w:val="32"/>
        </w:rPr>
        <w:t>抓好常规教研，提高教学技能和课堂效率，为提高教学质量助力。</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1"/>
        <w:rPr>
          <w:rFonts w:ascii="仿宋_GB2312" w:hAnsi="仿宋" w:eastAsia="仿宋_GB2312"/>
          <w:sz w:val="32"/>
          <w:szCs w:val="32"/>
        </w:rPr>
      </w:pPr>
      <w:bookmarkStart w:id="64" w:name="_Toc13327"/>
      <w:bookmarkStart w:id="65" w:name="_Toc25832"/>
      <w:bookmarkStart w:id="66" w:name="_Toc5198"/>
      <w:bookmarkStart w:id="67" w:name="_Toc14574"/>
      <w:r>
        <w:rPr>
          <w:rFonts w:hint="eastAsia" w:ascii="仿宋_GB2312" w:eastAsia="仿宋_GB2312"/>
          <w:b/>
          <w:sz w:val="32"/>
          <w:szCs w:val="32"/>
          <w:lang w:val="en-US" w:eastAsia="zh-CN"/>
        </w:rPr>
        <w:t>（3）</w:t>
      </w:r>
      <w:r>
        <w:rPr>
          <w:rFonts w:hint="eastAsia" w:ascii="仿宋_GB2312" w:hAnsi="仿宋" w:eastAsia="仿宋_GB2312"/>
          <w:b/>
          <w:sz w:val="32"/>
          <w:szCs w:val="32"/>
        </w:rPr>
        <w:t>抓德育，养习惯，展现文明校园</w:t>
      </w:r>
      <w:bookmarkEnd w:id="64"/>
      <w:bookmarkEnd w:id="65"/>
      <w:bookmarkEnd w:id="66"/>
      <w:bookmarkEnd w:id="67"/>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_GB2312" w:hAnsi="Verdana" w:eastAsia="仿宋_GB2312" w:cs="宋体"/>
          <w:color w:val="000000"/>
          <w:kern w:val="0"/>
          <w:sz w:val="32"/>
          <w:szCs w:val="32"/>
        </w:rPr>
      </w:pPr>
      <w:r>
        <w:rPr>
          <w:rFonts w:hint="eastAsia" w:ascii="仿宋_GB2312" w:hAnsi="Verdana" w:eastAsia="仿宋_GB2312" w:cs="宋体"/>
          <w:color w:val="000000"/>
          <w:kern w:val="0"/>
          <w:sz w:val="32"/>
          <w:szCs w:val="32"/>
        </w:rPr>
        <w:t>围绕培养学生“十个好习惯”，加强班级管理，经常性地进行班容班貌检查，将中学生日常规范教育抓细、抓严、抓实，努力达到的日常行为规范的“五无”、“五有”要求。</w:t>
      </w:r>
    </w:p>
    <w:p>
      <w:pPr>
        <w:keepNext w:val="0"/>
        <w:keepLines w:val="0"/>
        <w:pageBreakBefore w:val="0"/>
        <w:widowControl/>
        <w:shd w:val="clear" w:color="auto" w:fill="FFFFFF"/>
        <w:kinsoku/>
        <w:wordWrap/>
        <w:overflowPunct/>
        <w:topLinePunct w:val="0"/>
        <w:autoSpaceDE/>
        <w:autoSpaceDN/>
        <w:bidi w:val="0"/>
        <w:adjustRightInd/>
        <w:snapToGrid/>
        <w:spacing w:line="500" w:lineRule="exact"/>
        <w:jc w:val="left"/>
        <w:textAlignment w:val="auto"/>
        <w:rPr>
          <w:rFonts w:hint="eastAsia" w:ascii="仿宋_GB2312" w:hAnsi="Verdana" w:eastAsia="仿宋_GB2312" w:cs="宋体"/>
          <w:color w:val="000000"/>
          <w:kern w:val="0"/>
          <w:sz w:val="32"/>
          <w:szCs w:val="32"/>
          <w:lang w:eastAsia="zh-CN"/>
        </w:rPr>
      </w:pPr>
      <w:r>
        <w:rPr>
          <w:rFonts w:hint="eastAsia" w:ascii="仿宋_GB2312" w:hAnsi="Verdana" w:eastAsia="仿宋_GB2312" w:cs="宋体"/>
          <w:color w:val="000000"/>
          <w:kern w:val="0"/>
          <w:sz w:val="32"/>
          <w:szCs w:val="32"/>
        </w:rPr>
        <w:t>积极开展丰富多彩的德育活动，积极构建“德育”工程。全面开展理想教育、集体主义教育、法制教育和禁毒教育等</w:t>
      </w:r>
      <w:r>
        <w:rPr>
          <w:rFonts w:hint="eastAsia" w:ascii="仿宋_GB2312" w:hAnsi="Verdana" w:eastAsia="仿宋_GB2312" w:cs="宋体"/>
          <w:color w:val="000000"/>
          <w:kern w:val="0"/>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outlineLvl w:val="1"/>
        <w:rPr>
          <w:rFonts w:ascii="仿宋_GB2312" w:eastAsia="仿宋_GB2312"/>
          <w:b/>
          <w:sz w:val="32"/>
          <w:szCs w:val="32"/>
        </w:rPr>
      </w:pPr>
      <w:bookmarkStart w:id="68" w:name="_Toc27534"/>
      <w:bookmarkStart w:id="69" w:name="_Toc17942"/>
      <w:bookmarkStart w:id="70" w:name="_Toc17355"/>
      <w:bookmarkStart w:id="71" w:name="_Toc4734"/>
      <w:r>
        <w:rPr>
          <w:rFonts w:hint="eastAsia" w:ascii="仿宋_GB2312" w:eastAsia="仿宋_GB2312"/>
          <w:b/>
          <w:sz w:val="32"/>
          <w:szCs w:val="32"/>
          <w:lang w:val="en-US" w:eastAsia="zh-CN"/>
        </w:rPr>
        <w:t>（4）</w:t>
      </w:r>
      <w:r>
        <w:rPr>
          <w:rFonts w:hint="eastAsia" w:ascii="仿宋_GB2312" w:eastAsia="仿宋_GB2312"/>
          <w:b/>
          <w:sz w:val="32"/>
          <w:szCs w:val="32"/>
        </w:rPr>
        <w:t>抓安全、保平安，构建和谐校园</w:t>
      </w:r>
      <w:bookmarkEnd w:id="68"/>
      <w:bookmarkEnd w:id="69"/>
      <w:bookmarkEnd w:id="70"/>
      <w:bookmarkEnd w:id="71"/>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Times New Roman"/>
          <w:sz w:val="32"/>
          <w:szCs w:val="32"/>
          <w:lang w:val="en-US" w:eastAsia="zh-CN"/>
        </w:rPr>
      </w:pPr>
      <w:r>
        <w:rPr>
          <w:rFonts w:hint="eastAsia" w:ascii="仿宋_GB2312" w:hAnsi="仿宋_GB2312" w:eastAsia="仿宋_GB2312" w:cs="仿宋_GB2312"/>
          <w:sz w:val="32"/>
          <w:szCs w:val="32"/>
        </w:rPr>
        <w:t>安全教育不放松。</w:t>
      </w:r>
      <w:r>
        <w:rPr>
          <w:rFonts w:hint="eastAsia" w:ascii="仿宋_GB2312" w:hAnsi="仿宋" w:eastAsia="仿宋_GB2312"/>
          <w:sz w:val="32"/>
          <w:szCs w:val="32"/>
        </w:rPr>
        <w:t>举办各类安全知识讲座</w:t>
      </w:r>
      <w:r>
        <w:rPr>
          <w:rFonts w:hint="eastAsia" w:ascii="仿宋_GB2312" w:hAnsi="仿宋" w:eastAsia="仿宋_GB2312"/>
          <w:sz w:val="32"/>
          <w:szCs w:val="32"/>
          <w:lang w:eastAsia="zh-CN"/>
        </w:rPr>
        <w:t>：防溺水、森林防火、交通安全、用电用气安全、应对极端恶劣天气、地质灾害、</w:t>
      </w:r>
      <w:r>
        <w:rPr>
          <w:rFonts w:hint="eastAsia" w:ascii="仿宋_GB2312" w:hAnsi="仿宋" w:eastAsia="仿宋_GB2312"/>
          <w:sz w:val="32"/>
          <w:szCs w:val="32"/>
        </w:rPr>
        <w:t>女生自身保护教育</w:t>
      </w:r>
      <w:r>
        <w:rPr>
          <w:rFonts w:hint="eastAsia" w:ascii="仿宋_GB2312" w:hAnsi="仿宋" w:eastAsia="仿宋_GB2312"/>
          <w:sz w:val="32"/>
          <w:szCs w:val="32"/>
          <w:lang w:eastAsia="zh-CN"/>
        </w:rPr>
        <w:t>、预防未成年人犯罪、预防校园欺凌等。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2" w:name="_Toc5469"/>
      <w:bookmarkStart w:id="73" w:name="_Toc13751"/>
      <w:bookmarkStart w:id="74" w:name="_Toc21167"/>
      <w:bookmarkStart w:id="75" w:name="_Toc25869"/>
      <w:bookmarkStart w:id="76" w:name="_Toc21654"/>
      <w:r>
        <w:rPr>
          <w:rFonts w:hint="eastAsia" w:ascii="黑体" w:hAnsi="黑体" w:eastAsia="黑体" w:cs="黑体"/>
          <w:sz w:val="32"/>
          <w:szCs w:val="32"/>
          <w:lang w:val="en-US" w:eastAsia="zh-CN"/>
        </w:rPr>
        <w:t>二、预算单位构成</w:t>
      </w:r>
      <w:bookmarkEnd w:id="72"/>
      <w:bookmarkEnd w:id="73"/>
      <w:bookmarkEnd w:id="74"/>
      <w:bookmarkEnd w:id="75"/>
      <w:bookmarkEnd w:id="7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w:t>
      </w:r>
      <w:r>
        <w:rPr>
          <w:rFonts w:hint="eastAsia" w:ascii="仿宋" w:hAnsi="仿宋" w:eastAsia="仿宋" w:cs="仿宋"/>
          <w:sz w:val="32"/>
          <w:szCs w:val="32"/>
        </w:rPr>
        <w:t>广元市昭化区教育局</w:t>
      </w:r>
      <w:r>
        <w:rPr>
          <w:rFonts w:hint="eastAsia" w:ascii="仿宋_GB2312" w:hAnsi="仿宋_GB2312" w:eastAsia="仿宋_GB2312" w:cs="仿宋_GB2312"/>
          <w:sz w:val="32"/>
          <w:szCs w:val="32"/>
          <w:lang w:val="en-US" w:eastAsia="zh-CN"/>
        </w:rPr>
        <w:t>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7" w:name="_Toc4222"/>
      <w:bookmarkStart w:id="78" w:name="_Toc31234"/>
      <w:bookmarkStart w:id="79" w:name="_Toc31955"/>
      <w:bookmarkStart w:id="80" w:name="_Toc3659"/>
      <w:bookmarkStart w:id="81" w:name="_Toc30891"/>
      <w:r>
        <w:rPr>
          <w:rFonts w:hint="eastAsia" w:ascii="黑体" w:hAnsi="黑体" w:eastAsia="黑体" w:cs="黑体"/>
          <w:sz w:val="32"/>
          <w:szCs w:val="32"/>
          <w:lang w:val="en-US" w:eastAsia="zh-CN"/>
        </w:rPr>
        <w:t>三、收支预算情况说明</w:t>
      </w:r>
      <w:bookmarkEnd w:id="77"/>
      <w:bookmarkEnd w:id="78"/>
      <w:bookmarkEnd w:id="79"/>
      <w:bookmarkEnd w:id="80"/>
      <w:bookmarkEnd w:id="8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仿宋" w:hAnsi="仿宋" w:eastAsia="仿宋" w:cs="仿宋"/>
          <w:sz w:val="32"/>
          <w:szCs w:val="32"/>
          <w:lang w:val="en-US" w:eastAsia="zh-CN"/>
        </w:rPr>
        <w:t>昭化初级中学</w:t>
      </w:r>
      <w:r>
        <w:rPr>
          <w:rFonts w:hint="eastAsia" w:ascii="仿宋_GB2312" w:hAnsi="仿宋_GB2312" w:eastAsia="仿宋_GB2312" w:cs="仿宋_GB2312"/>
          <w:sz w:val="32"/>
          <w:szCs w:val="32"/>
          <w:lang w:val="en-US" w:eastAsia="zh-CN"/>
        </w:rPr>
        <w:t>所有收入和支出均纳入部门预算管理。收入包括：一般公共预算拨款收入；支出包括：教育支出。</w:t>
      </w:r>
      <w:r>
        <w:rPr>
          <w:rFonts w:hint="eastAsia" w:ascii="仿宋" w:hAnsi="仿宋" w:eastAsia="仿宋" w:cs="仿宋"/>
          <w:sz w:val="32"/>
          <w:szCs w:val="32"/>
          <w:lang w:val="en-US" w:eastAsia="zh-CN"/>
        </w:rPr>
        <w:t>昭化初级中学</w:t>
      </w:r>
      <w:r>
        <w:rPr>
          <w:rFonts w:hint="eastAsia" w:ascii="仿宋_GB2312" w:hAnsi="仿宋_GB2312" w:eastAsia="仿宋_GB2312" w:cs="仿宋_GB2312"/>
          <w:sz w:val="32"/>
          <w:szCs w:val="32"/>
          <w:lang w:val="en-US" w:eastAsia="zh-CN"/>
        </w:rPr>
        <w:t>2024年收支预算总数1118.98万元,比2023年收支预算总数减少95.75万元，主要原因是</w:t>
      </w:r>
      <w:r>
        <w:rPr>
          <w:rFonts w:hint="eastAsia" w:ascii="仿宋" w:hAnsi="仿宋" w:eastAsia="仿宋" w:cs="仿宋"/>
          <w:sz w:val="32"/>
          <w:szCs w:val="32"/>
          <w:lang w:val="en-US" w:eastAsia="zh-CN"/>
        </w:rPr>
        <w:t>基本支出和项目支出减少。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2" w:name="_Toc14626"/>
      <w:bookmarkStart w:id="83" w:name="_Toc19849"/>
      <w:bookmarkStart w:id="84" w:name="_Toc22259"/>
      <w:bookmarkStart w:id="85" w:name="_Toc2368"/>
      <w:r>
        <w:rPr>
          <w:rFonts w:hint="eastAsia" w:ascii="楷体_GB2312" w:hAnsi="楷体_GB2312" w:eastAsia="楷体_GB2312" w:cs="楷体_GB2312"/>
          <w:sz w:val="32"/>
          <w:szCs w:val="32"/>
          <w:lang w:val="en-US" w:eastAsia="zh-CN"/>
        </w:rPr>
        <w:t>（一）收入预算情况</w:t>
      </w:r>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昭化初级中学</w:t>
      </w:r>
      <w:r>
        <w:rPr>
          <w:rFonts w:hint="eastAsia" w:ascii="仿宋_GB2312" w:hAnsi="仿宋_GB2312" w:eastAsia="仿宋_GB2312" w:cs="仿宋_GB2312"/>
          <w:sz w:val="32"/>
          <w:szCs w:val="32"/>
          <w:lang w:val="en-US" w:eastAsia="zh-CN"/>
        </w:rPr>
        <w:t>2024年收入预算1118.98万元，其中：一般公共预算拨款收入1118.98万元，占100%。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6" w:name="_Toc9741"/>
      <w:bookmarkStart w:id="87" w:name="_Toc9199"/>
      <w:bookmarkStart w:id="88" w:name="_Toc11648"/>
      <w:bookmarkStart w:id="89" w:name="_Toc27955"/>
      <w:r>
        <w:rPr>
          <w:rFonts w:hint="eastAsia" w:ascii="楷体_GB2312" w:hAnsi="楷体_GB2312" w:eastAsia="楷体_GB2312" w:cs="楷体_GB2312"/>
          <w:sz w:val="32"/>
          <w:szCs w:val="32"/>
          <w:lang w:val="en-US" w:eastAsia="zh-CN"/>
        </w:rPr>
        <w:t>（二）支出预算情况</w:t>
      </w:r>
      <w:bookmarkEnd w:id="86"/>
      <w:bookmarkEnd w:id="87"/>
      <w:bookmarkEnd w:id="88"/>
      <w:bookmarkEnd w:id="8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 w:hAnsi="仿宋" w:eastAsia="仿宋" w:cs="仿宋"/>
          <w:sz w:val="32"/>
          <w:szCs w:val="32"/>
          <w:lang w:val="en-US" w:eastAsia="zh-CN"/>
        </w:rPr>
        <w:t>昭化初级中学</w:t>
      </w:r>
      <w:r>
        <w:rPr>
          <w:rFonts w:hint="eastAsia" w:ascii="仿宋_GB2312" w:hAnsi="仿宋_GB2312" w:eastAsia="仿宋_GB2312" w:cs="仿宋_GB2312"/>
          <w:sz w:val="32"/>
          <w:szCs w:val="32"/>
          <w:lang w:val="en-US" w:eastAsia="zh-CN"/>
        </w:rPr>
        <w:t>2024年支出预算1118.98万元，其中：基本支出1055.48万元，占94.3%；项目支出63.50万元，占5.7%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0" w:name="_Toc19448"/>
      <w:bookmarkStart w:id="91" w:name="_Toc22332"/>
      <w:bookmarkStart w:id="92" w:name="_Toc16828"/>
      <w:bookmarkStart w:id="93" w:name="_Toc24378"/>
      <w:bookmarkStart w:id="94" w:name="_Toc7095"/>
      <w:r>
        <w:rPr>
          <w:rFonts w:hint="eastAsia" w:ascii="黑体" w:hAnsi="黑体" w:eastAsia="黑体" w:cs="黑体"/>
          <w:sz w:val="32"/>
          <w:szCs w:val="32"/>
          <w:lang w:val="en-US" w:eastAsia="zh-CN"/>
        </w:rPr>
        <w:t>四、财政拨款收支预算情况说明</w:t>
      </w:r>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 w:hAnsi="仿宋" w:eastAsia="仿宋" w:cs="仿宋"/>
          <w:sz w:val="32"/>
          <w:szCs w:val="32"/>
          <w:lang w:val="en-US" w:eastAsia="zh-CN"/>
        </w:rPr>
        <w:t>昭化初级中学</w:t>
      </w:r>
      <w:r>
        <w:rPr>
          <w:rFonts w:hint="eastAsia" w:ascii="仿宋_GB2312" w:hAnsi="仿宋_GB2312" w:eastAsia="仿宋_GB2312" w:cs="仿宋_GB2312"/>
          <w:sz w:val="32"/>
          <w:szCs w:val="32"/>
          <w:lang w:val="en-US" w:eastAsia="zh-CN"/>
        </w:rPr>
        <w:t>2024年财政拨款收支预算总数1118.98万元,比2023年财政拨款收支预算总数减少95.75万元，主要原因是</w:t>
      </w:r>
      <w:r>
        <w:rPr>
          <w:rFonts w:hint="eastAsia" w:ascii="仿宋" w:hAnsi="仿宋" w:eastAsia="仿宋" w:cs="仿宋"/>
          <w:sz w:val="32"/>
          <w:szCs w:val="32"/>
          <w:lang w:val="en-US" w:eastAsia="zh-CN"/>
        </w:rPr>
        <w:t>基本支出和项目支出减少。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收入包括：本年一般公共预算拨款收入1118.98万元；支出包括：教育支出1118.98万元。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5" w:name="_Toc28834"/>
      <w:bookmarkStart w:id="96" w:name="_Toc23948"/>
      <w:bookmarkStart w:id="97" w:name="_Toc29681"/>
      <w:bookmarkStart w:id="98" w:name="_Toc5400"/>
      <w:bookmarkStart w:id="99" w:name="_Toc28348"/>
      <w:r>
        <w:rPr>
          <w:rFonts w:hint="eastAsia" w:ascii="黑体" w:hAnsi="黑体" w:eastAsia="黑体" w:cs="黑体"/>
          <w:sz w:val="32"/>
          <w:szCs w:val="32"/>
          <w:lang w:val="en-US" w:eastAsia="zh-CN"/>
        </w:rPr>
        <w:t>五、一般公共预算当年拨款情况说明</w:t>
      </w:r>
      <w:bookmarkEnd w:id="95"/>
      <w:bookmarkEnd w:id="96"/>
      <w:bookmarkEnd w:id="97"/>
      <w:bookmarkEnd w:id="98"/>
      <w:bookmarkEnd w:id="9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0" w:name="_Toc27155"/>
      <w:bookmarkStart w:id="101" w:name="_Toc24290"/>
      <w:bookmarkStart w:id="102" w:name="_Toc4296"/>
      <w:bookmarkStart w:id="103" w:name="_Toc20715"/>
      <w:r>
        <w:rPr>
          <w:rFonts w:hint="eastAsia" w:ascii="楷体_GB2312" w:hAnsi="楷体_GB2312" w:eastAsia="楷体_GB2312" w:cs="楷体_GB2312"/>
          <w:sz w:val="32"/>
          <w:szCs w:val="32"/>
          <w:lang w:val="en-US" w:eastAsia="zh-CN"/>
        </w:rPr>
        <w:t>（一）一般公共预算当年拨款规模变化情况</w:t>
      </w:r>
      <w:bookmarkEnd w:id="100"/>
      <w:bookmarkEnd w:id="101"/>
      <w:bookmarkEnd w:id="102"/>
      <w:bookmarkEnd w:id="10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昭化初级中学2024年一般公共预算当年拨款1118.98万元，比2023年预算数减少减少95.75万元，主要原因是</w:t>
      </w:r>
      <w:r>
        <w:rPr>
          <w:rFonts w:hint="eastAsia" w:ascii="仿宋" w:hAnsi="仿宋" w:eastAsia="仿宋" w:cs="仿宋"/>
          <w:sz w:val="32"/>
          <w:szCs w:val="32"/>
          <w:lang w:val="en-US" w:eastAsia="zh-CN"/>
        </w:rPr>
        <w:t>基本支出和项目支出减少。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4" w:name="_Toc1891"/>
      <w:bookmarkStart w:id="105" w:name="_Toc32574"/>
      <w:bookmarkStart w:id="106" w:name="_Toc2702"/>
      <w:bookmarkStart w:id="107" w:name="_Toc29655"/>
      <w:r>
        <w:rPr>
          <w:rFonts w:hint="eastAsia" w:ascii="楷体_GB2312" w:hAnsi="楷体_GB2312" w:eastAsia="楷体_GB2312" w:cs="楷体_GB2312"/>
          <w:sz w:val="32"/>
          <w:szCs w:val="32"/>
          <w:lang w:val="en-US" w:eastAsia="zh-CN"/>
        </w:rPr>
        <w:t>（二）一般公共预算当年拨款结构情况</w:t>
      </w:r>
      <w:bookmarkEnd w:id="104"/>
      <w:bookmarkEnd w:id="105"/>
      <w:bookmarkEnd w:id="106"/>
      <w:bookmarkEnd w:id="10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教育支出1118.98万元，占100%。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8" w:name="_Toc4795"/>
      <w:bookmarkStart w:id="109" w:name="_Toc19844"/>
      <w:bookmarkStart w:id="110" w:name="_Toc18609"/>
      <w:bookmarkStart w:id="111" w:name="_Toc23832"/>
      <w:r>
        <w:rPr>
          <w:rFonts w:hint="eastAsia" w:ascii="楷体_GB2312" w:hAnsi="楷体_GB2312" w:eastAsia="楷体_GB2312" w:cs="楷体_GB2312"/>
          <w:sz w:val="32"/>
          <w:szCs w:val="32"/>
          <w:lang w:val="en-US" w:eastAsia="zh-CN"/>
        </w:rPr>
        <w:t>（三）一般公共预算当年拨款具体使用情况</w:t>
      </w:r>
      <w:bookmarkEnd w:id="108"/>
      <w:bookmarkEnd w:id="109"/>
      <w:bookmarkEnd w:id="110"/>
      <w:bookmarkEnd w:id="1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初中教育（项）2024年预算数为1118.98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2" w:name="_Toc1610"/>
      <w:bookmarkStart w:id="113" w:name="_Toc16210"/>
      <w:bookmarkStart w:id="114" w:name="_Toc14776"/>
      <w:bookmarkStart w:id="115" w:name="_Toc30233"/>
      <w:bookmarkStart w:id="116" w:name="_Toc24564"/>
      <w:r>
        <w:rPr>
          <w:rFonts w:hint="eastAsia" w:ascii="黑体" w:hAnsi="黑体" w:eastAsia="黑体" w:cs="黑体"/>
          <w:sz w:val="32"/>
          <w:szCs w:val="32"/>
          <w:lang w:val="en-US" w:eastAsia="zh-CN"/>
        </w:rPr>
        <w:t>六、一般公共预算基本支出情况说明</w:t>
      </w:r>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昭化初级中学2024年一般公共预算基本支出1118.98万元，其中：人员经费1055.48万元，主要包括：基本工资、津贴补贴、奖金、社会保险缴费、住房公积金等支出。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7" w:name="_Toc27790"/>
      <w:bookmarkStart w:id="118" w:name="_Toc21498"/>
      <w:bookmarkStart w:id="119" w:name="_Toc30112"/>
      <w:bookmarkStart w:id="120" w:name="_Toc14300"/>
      <w:bookmarkStart w:id="121" w:name="_Toc15730"/>
      <w:r>
        <w:rPr>
          <w:rFonts w:hint="eastAsia" w:ascii="黑体" w:hAnsi="黑体" w:eastAsia="黑体" w:cs="黑体"/>
          <w:sz w:val="32"/>
          <w:szCs w:val="32"/>
          <w:lang w:val="en-US" w:eastAsia="zh-CN"/>
        </w:rPr>
        <w:t>七、“三公”经费财政拨款预算安排情况说明</w:t>
      </w:r>
      <w:bookmarkEnd w:id="117"/>
      <w:bookmarkEnd w:id="118"/>
      <w:bookmarkEnd w:id="119"/>
      <w:bookmarkEnd w:id="120"/>
      <w:bookmarkEnd w:id="1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昭化初级中学单位2024年“三公”经费财政拨款预算数0.5万元，其中：公务接待费0.5万元，公务用车购置及运行维护费0万元，因公出国（境）经费0万元。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2" w:name="_Toc12763"/>
      <w:bookmarkStart w:id="123" w:name="_Toc6138"/>
      <w:bookmarkStart w:id="124" w:name="_Toc20561"/>
      <w:bookmarkStart w:id="125" w:name="_Toc19703"/>
      <w:r>
        <w:rPr>
          <w:rFonts w:hint="eastAsia" w:ascii="楷体_GB2312" w:hAnsi="楷体_GB2312" w:eastAsia="楷体_GB2312" w:cs="楷体_GB2312"/>
          <w:sz w:val="32"/>
          <w:szCs w:val="32"/>
          <w:lang w:val="en-US" w:eastAsia="zh-CN"/>
        </w:rPr>
        <w:t>（一）公务接待费</w:t>
      </w:r>
      <w:bookmarkEnd w:id="122"/>
      <w:bookmarkEnd w:id="123"/>
      <w:bookmarkEnd w:id="124"/>
      <w:bookmarkEnd w:id="1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公务接待费与2023年预算相比增加0.5万元，主要原因是2024年预算将学生活动产生的餐费列到公务接待费。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6" w:name="_Toc2261"/>
      <w:bookmarkStart w:id="127" w:name="_Toc17792"/>
      <w:bookmarkStart w:id="128" w:name="_Toc31398"/>
      <w:bookmarkStart w:id="129" w:name="_Toc22493"/>
      <w:r>
        <w:rPr>
          <w:rFonts w:hint="eastAsia" w:ascii="楷体_GB2312" w:hAnsi="楷体_GB2312" w:eastAsia="楷体_GB2312" w:cs="楷体_GB2312"/>
          <w:sz w:val="32"/>
          <w:szCs w:val="32"/>
          <w:lang w:val="en-US" w:eastAsia="zh-CN"/>
        </w:rPr>
        <w:t>公务用车购置及运行维护费</w:t>
      </w:r>
      <w:bookmarkEnd w:id="126"/>
      <w:bookmarkEnd w:id="127"/>
      <w:bookmarkEnd w:id="128"/>
      <w:bookmarkEnd w:id="1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30" w:name="_Toc8625"/>
      <w:bookmarkStart w:id="131" w:name="_Toc4623"/>
      <w:bookmarkStart w:id="132" w:name="_Toc14779"/>
      <w:bookmarkStart w:id="133" w:name="_Toc1394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30"/>
      <w:bookmarkEnd w:id="131"/>
      <w:bookmarkEnd w:id="132"/>
      <w:bookmarkEnd w:id="13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4" w:name="_Toc1647"/>
      <w:bookmarkStart w:id="135" w:name="_Toc10222"/>
      <w:bookmarkStart w:id="136" w:name="_Toc29405"/>
      <w:bookmarkStart w:id="137" w:name="_Toc14003"/>
      <w:bookmarkStart w:id="138" w:name="_Toc22973"/>
      <w:r>
        <w:rPr>
          <w:rFonts w:hint="eastAsia" w:ascii="黑体" w:hAnsi="黑体" w:eastAsia="黑体" w:cs="黑体"/>
          <w:sz w:val="32"/>
          <w:szCs w:val="32"/>
          <w:lang w:val="en-US" w:eastAsia="zh-CN"/>
        </w:rPr>
        <w:t>八、政府性基金预算支出情况说明</w:t>
      </w:r>
      <w:bookmarkEnd w:id="134"/>
      <w:bookmarkEnd w:id="135"/>
      <w:bookmarkEnd w:id="136"/>
      <w:bookmarkEnd w:id="137"/>
      <w:bookmarkEnd w:id="1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昭化初级中学2024年政府性基金预算拨款安排的支出0万元。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9" w:name="_Toc28724"/>
      <w:bookmarkStart w:id="140" w:name="_Toc17123"/>
      <w:bookmarkStart w:id="141" w:name="_Toc7736"/>
      <w:bookmarkStart w:id="142" w:name="_Toc29647"/>
      <w:bookmarkStart w:id="143" w:name="_Toc15335"/>
      <w:r>
        <w:rPr>
          <w:rFonts w:hint="eastAsia" w:ascii="黑体" w:hAnsi="黑体" w:eastAsia="黑体" w:cs="黑体"/>
          <w:sz w:val="32"/>
          <w:szCs w:val="32"/>
          <w:lang w:val="en-US" w:eastAsia="zh-CN"/>
        </w:rPr>
        <w:t>九、国有资本经营预算支出情况说明</w:t>
      </w:r>
      <w:bookmarkEnd w:id="139"/>
      <w:bookmarkEnd w:id="140"/>
      <w:bookmarkEnd w:id="141"/>
      <w:bookmarkEnd w:id="142"/>
      <w:bookmarkEnd w:id="14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昭化初级中学2024年无国有资本经营预算拨款安排的支出。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4" w:name="_Toc14618"/>
      <w:bookmarkStart w:id="145" w:name="_Toc11966"/>
      <w:bookmarkStart w:id="146" w:name="_Toc20771"/>
      <w:bookmarkStart w:id="147" w:name="_Toc14428"/>
      <w:bookmarkStart w:id="148" w:name="_Toc21982"/>
      <w:r>
        <w:rPr>
          <w:rFonts w:hint="eastAsia" w:ascii="黑体" w:hAnsi="黑体" w:eastAsia="黑体" w:cs="黑体"/>
          <w:sz w:val="32"/>
          <w:szCs w:val="32"/>
          <w:lang w:val="en-US" w:eastAsia="zh-CN"/>
        </w:rPr>
        <w:t>十、其他重要事项的情况说明</w:t>
      </w:r>
      <w:bookmarkEnd w:id="144"/>
      <w:bookmarkEnd w:id="145"/>
      <w:bookmarkEnd w:id="146"/>
      <w:bookmarkEnd w:id="147"/>
      <w:bookmarkEnd w:id="14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9" w:name="_Toc8500"/>
      <w:bookmarkStart w:id="150" w:name="_Toc32174"/>
      <w:bookmarkStart w:id="151" w:name="_Toc28486"/>
      <w:bookmarkStart w:id="152" w:name="_Toc6473"/>
      <w:r>
        <w:rPr>
          <w:rFonts w:hint="eastAsia" w:ascii="楷体_GB2312" w:hAnsi="楷体_GB2312" w:eastAsia="楷体_GB2312" w:cs="楷体_GB2312"/>
          <w:sz w:val="32"/>
          <w:szCs w:val="32"/>
          <w:lang w:val="en-US" w:eastAsia="zh-CN"/>
        </w:rPr>
        <w:t>（一）机关运行经费</w:t>
      </w:r>
      <w:bookmarkEnd w:id="149"/>
      <w:bookmarkEnd w:id="150"/>
      <w:bookmarkEnd w:id="151"/>
      <w:bookmarkEnd w:id="15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2024年，</w:t>
      </w:r>
      <w:r>
        <w:rPr>
          <w:rFonts w:hint="eastAsia" w:ascii="仿宋" w:hAnsi="仿宋" w:eastAsia="仿宋" w:cs="仿宋"/>
          <w:sz w:val="32"/>
          <w:szCs w:val="32"/>
          <w:lang w:eastAsia="zh-CN"/>
        </w:rPr>
        <w:t>昭化初级中学</w:t>
      </w:r>
      <w:r>
        <w:rPr>
          <w:rFonts w:hint="eastAsia" w:ascii="仿宋" w:hAnsi="仿宋" w:eastAsia="仿宋" w:cs="仿宋"/>
          <w:sz w:val="32"/>
          <w:szCs w:val="32"/>
          <w:lang w:val="en-US" w:eastAsia="zh-CN"/>
        </w:rPr>
        <w:t>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3" w:name="_Toc24626"/>
      <w:bookmarkStart w:id="154" w:name="_Toc16203"/>
      <w:bookmarkStart w:id="155" w:name="_Toc5194"/>
      <w:bookmarkStart w:id="156" w:name="_Toc25347"/>
      <w:r>
        <w:rPr>
          <w:rFonts w:hint="eastAsia" w:ascii="楷体_GB2312" w:hAnsi="楷体_GB2312" w:eastAsia="楷体_GB2312" w:cs="楷体_GB2312"/>
          <w:sz w:val="32"/>
          <w:szCs w:val="32"/>
          <w:lang w:val="en-US" w:eastAsia="zh-CN"/>
        </w:rPr>
        <w:t>（二）政府采购情况</w:t>
      </w:r>
      <w:bookmarkEnd w:id="153"/>
      <w:bookmarkEnd w:id="154"/>
      <w:bookmarkEnd w:id="155"/>
      <w:bookmarkEnd w:id="15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2024年，昭化初级中学未安排政府采购预算。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7" w:name="_Toc15943"/>
      <w:bookmarkStart w:id="158" w:name="_Toc32091"/>
      <w:bookmarkStart w:id="159" w:name="_Toc423"/>
      <w:bookmarkStart w:id="160" w:name="_Toc12816"/>
      <w:r>
        <w:rPr>
          <w:rFonts w:hint="eastAsia" w:ascii="楷体_GB2312" w:hAnsi="楷体_GB2312" w:eastAsia="楷体_GB2312" w:cs="楷体_GB2312"/>
          <w:sz w:val="32"/>
          <w:szCs w:val="32"/>
          <w:lang w:val="en-US" w:eastAsia="zh-CN"/>
        </w:rPr>
        <w:t>（三）国有资产占有使用情况</w:t>
      </w:r>
      <w:bookmarkEnd w:id="157"/>
      <w:bookmarkEnd w:id="158"/>
      <w:bookmarkEnd w:id="159"/>
      <w:bookmarkEnd w:id="16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截至2023年底，昭化初级中学共有车辆0辆。单位无价值200万元以上的大型设备。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2024年本单位预算未安排车辆购置经及单位价值200万元以上的大型设备。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61" w:name="_Toc4111"/>
      <w:bookmarkStart w:id="162" w:name="_Toc20455"/>
      <w:bookmarkStart w:id="163" w:name="_Toc14152"/>
      <w:bookmarkStart w:id="164" w:name="_Toc18345"/>
      <w:r>
        <w:rPr>
          <w:rFonts w:hint="eastAsia" w:ascii="楷体_GB2312" w:hAnsi="楷体_GB2312" w:eastAsia="楷体_GB2312" w:cs="楷体_GB2312"/>
          <w:sz w:val="32"/>
          <w:szCs w:val="32"/>
          <w:lang w:val="en-US" w:eastAsia="zh-CN"/>
        </w:rPr>
        <w:t>（四）绩效目标设置情况</w:t>
      </w:r>
      <w:bookmarkEnd w:id="161"/>
      <w:bookmarkEnd w:id="162"/>
      <w:bookmarkEnd w:id="163"/>
      <w:bookmarkEnd w:id="16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2024年昭化初级中学开展绩效目标管理的项目3个，涉及预算63.50万元。其中：人员类项目0个，涉及预算 0万元；运转类项目3个，涉及预算63.50万元；特定目标类项目0个，涉及预算0万元。因部分项目内容涉密，不予公开。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5" w:name="_Toc24338"/>
      <w:bookmarkStart w:id="166" w:name="_Toc12732"/>
      <w:bookmarkStart w:id="167" w:name="_Toc32481"/>
      <w:bookmarkStart w:id="168" w:name="_Toc9325"/>
      <w:bookmarkStart w:id="169" w:name="_Toc10321"/>
      <w:r>
        <w:rPr>
          <w:rFonts w:hint="eastAsia" w:ascii="黑体" w:hAnsi="黑体" w:eastAsia="黑体" w:cs="黑体"/>
          <w:sz w:val="32"/>
          <w:szCs w:val="32"/>
          <w:lang w:val="en-US" w:eastAsia="zh-CN"/>
        </w:rPr>
        <w:t>十一、名词解释</w:t>
      </w:r>
      <w:bookmarkEnd w:id="165"/>
      <w:bookmarkEnd w:id="166"/>
      <w:bookmarkEnd w:id="167"/>
      <w:bookmarkEnd w:id="168"/>
      <w:bookmarkEnd w:id="16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楷体_GB2312" w:hAnsi="楷体_GB2312" w:eastAsia="楷体_GB2312" w:cs="楷体_GB2312"/>
          <w:sz w:val="32"/>
          <w:szCs w:val="32"/>
          <w:lang w:val="en-US" w:eastAsia="zh-CN"/>
        </w:rPr>
        <w:t>（一）</w:t>
      </w:r>
      <w:r>
        <w:rPr>
          <w:rFonts w:hint="eastAsia" w:ascii="仿宋" w:hAnsi="仿宋" w:eastAsia="仿宋" w:cs="仿宋"/>
          <w:sz w:val="32"/>
          <w:szCs w:val="32"/>
          <w:lang w:val="en-US" w:eastAsia="zh-CN"/>
        </w:rPr>
        <w:t>财政拨款收入:指</w:t>
      </w:r>
      <w:bookmarkStart w:id="170" w:name="_GoBack"/>
      <w:bookmarkEnd w:id="170"/>
      <w:r>
        <w:rPr>
          <w:rFonts w:hint="eastAsia" w:ascii="仿宋" w:hAnsi="仿宋" w:eastAsia="仿宋" w:cs="仿宋"/>
          <w:sz w:val="32"/>
          <w:szCs w:val="32"/>
          <w:lang w:val="en-US" w:eastAsia="zh-CN"/>
        </w:rPr>
        <w:t xml:space="preserve">财政当年安排的财政预算收入。按现行管理制度,部门预算中反映的财政拨款包括一般公共预算拨款和政府性基金预算拨款。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（二）教育支出（类）普通教育（款）初中教育（项）：指全区初中教育发展的基本支出，包括基本工资、津贴补贴等人员经费以及办公费、印刷费、水电费等日常公用经费。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（三）社会保障和就业（类）行政事业单位养老支出（款）事业单位离退休（项）：指事业单位离退休人员的支出。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 预算公开表</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sectPr>
      <w:headerReference r:id="rId3" w:type="default"/>
      <w:footerReference r:id="rId4"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6EC573D"/>
    <w:rsid w:val="1F7BF06F"/>
    <w:rsid w:val="1FEE4B73"/>
    <w:rsid w:val="23CE9849"/>
    <w:rsid w:val="28A54497"/>
    <w:rsid w:val="338F3556"/>
    <w:rsid w:val="39F304DD"/>
    <w:rsid w:val="431C1714"/>
    <w:rsid w:val="4CEE4879"/>
    <w:rsid w:val="534F73A8"/>
    <w:rsid w:val="54244390"/>
    <w:rsid w:val="54662A63"/>
    <w:rsid w:val="58064E12"/>
    <w:rsid w:val="5A1D63E7"/>
    <w:rsid w:val="5BFEE015"/>
    <w:rsid w:val="6272217B"/>
    <w:rsid w:val="63EDCF55"/>
    <w:rsid w:val="63FBFBCF"/>
    <w:rsid w:val="669360FD"/>
    <w:rsid w:val="68FF6A83"/>
    <w:rsid w:val="6ECD0F38"/>
    <w:rsid w:val="6FBBC9CF"/>
    <w:rsid w:val="72BDE561"/>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List"/>
    <w:basedOn w:val="4"/>
    <w:autoRedefine/>
    <w:qFormat/>
    <w:uiPriority w:val="0"/>
  </w:style>
  <w:style w:type="paragraph" w:styleId="9">
    <w:name w:val="toc 2"/>
    <w:basedOn w:val="1"/>
    <w:next w:val="1"/>
    <w:autoRedefine/>
    <w:uiPriority w:val="0"/>
    <w:pPr>
      <w:ind w:left="420" w:leftChars="200"/>
    </w:pPr>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uiPriority w:val="0"/>
    <w:pPr>
      <w:ind w:leftChars="0"/>
    </w:pPr>
    <w:rPr>
      <w:rFonts w:ascii="Times New Roman" w:hAnsi="Times New Roman" w:eastAsia="宋体" w:cs="Times New Roman"/>
      <w:sz w:val="20"/>
      <w:szCs w:val="20"/>
    </w:rPr>
  </w:style>
  <w:style w:type="paragraph" w:customStyle="1" w:styleId="17">
    <w:name w:val="WPSOffice手动目录 2"/>
    <w:autoRedefine/>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EB63E01E15BE4530926168908E4185C6_13</vt:lpwstr>
  </property>
</Properties>
</file>