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1124"/>
        <w:rPr>
          <w:rFonts w:ascii="方正小标宋简体" w:hAnsi="方正小标宋简体" w:eastAsia="方正小标宋简体" w:cs="方正小标宋简体"/>
          <w:color w:val="333333"/>
          <w:kern w:val="0"/>
          <w:sz w:val="56"/>
          <w:szCs w:val="56"/>
          <w:shd w:val="clear" w:color="auto" w:fill="FFFFFF"/>
          <w:lang w:bidi="ar"/>
        </w:rPr>
      </w:pPr>
      <w:bookmarkStart w:id="0" w:name="_Toc19584"/>
      <w:bookmarkStart w:id="1" w:name="_Toc15338"/>
      <w:r>
        <w:rPr>
          <w:rFonts w:hint="eastAsia" w:ascii="方正小标宋简体" w:hAnsi="方正小标宋简体" w:eastAsia="方正小标宋简体" w:cs="方正小标宋简体"/>
          <w:color w:val="333333"/>
          <w:kern w:val="0"/>
          <w:sz w:val="56"/>
          <w:szCs w:val="56"/>
          <w:shd w:val="clear" w:color="auto" w:fill="FFFFFF"/>
          <w:lang w:bidi="ar"/>
        </w:rPr>
        <w:t>广元市昭化区虎跳初级中学</w:t>
      </w:r>
      <w:bookmarkEnd w:id="0"/>
      <w:bookmarkEnd w:id="1"/>
    </w:p>
    <w:p>
      <w:pPr>
        <w:widowControl/>
        <w:shd w:val="clear" w:color="auto" w:fill="FFFFFF"/>
        <w:spacing w:line="580" w:lineRule="atLeast"/>
        <w:ind w:firstLine="0" w:firstLineChars="0"/>
        <w:jc w:val="center"/>
        <w:rPr>
          <w:rFonts w:ascii="Times New Roman" w:hAnsi="Times New Roman" w:eastAsia="宋体"/>
          <w:color w:val="333333"/>
          <w:sz w:val="44"/>
          <w:szCs w:val="44"/>
        </w:rPr>
      </w:pPr>
      <w:r>
        <w:rPr>
          <w:rFonts w:hint="eastAsia" w:ascii="方正小标宋简体" w:hAnsi="方正小标宋简体" w:eastAsia="方正小标宋简体" w:cs="方正小标宋简体"/>
          <w:color w:val="333333"/>
          <w:kern w:val="0"/>
          <w:sz w:val="56"/>
          <w:szCs w:val="56"/>
          <w:shd w:val="clear" w:color="auto" w:fill="FFFFFF"/>
          <w:lang w:bidi="ar"/>
        </w:rPr>
        <w:t>2024年部门预算编制说明</w:t>
      </w:r>
    </w:p>
    <w:sdt>
      <w:sdtPr>
        <w:rPr>
          <w:rFonts w:ascii="宋体" w:hAnsi="宋体" w:eastAsia="宋体" w:cs="Times New Roman"/>
          <w:kern w:val="2"/>
          <w:sz w:val="21"/>
          <w:szCs w:val="32"/>
          <w:lang w:val="en-US" w:eastAsia="zh-CN" w:bidi="ar-SA"/>
        </w:rPr>
        <w:id w:val="147478149"/>
        <w15:color w:val="DBDBDB"/>
        <w:docPartObj>
          <w:docPartGallery w:val="Table of Contents"/>
          <w:docPartUnique/>
        </w:docPartObj>
      </w:sdtPr>
      <w:sdtEndPr>
        <w:rPr>
          <w:rFonts w:ascii="仿宋" w:hAnsi="仿宋" w:eastAsia="仿宋" w:cs="Times New Roman"/>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sz w:val="32"/>
              <w:szCs w:val="32"/>
            </w:rPr>
          </w:pPr>
          <w:r>
            <w:rPr>
              <w:rFonts w:hint="eastAsia" w:ascii="仿宋" w:hAnsi="仿宋" w:eastAsia="仿宋" w:cs="仿宋"/>
              <w:b/>
              <w:bCs/>
              <w:sz w:val="32"/>
              <w:szCs w:val="32"/>
            </w:rPr>
            <w:t>目录</w:t>
          </w:r>
        </w:p>
        <w:p>
          <w:pPr>
            <w:pStyle w:val="23"/>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"1-2" \h \u </w:instrText>
          </w:r>
          <w:r>
            <w:rPr>
              <w:rFonts w:hint="eastAsia" w:ascii="仿宋" w:hAnsi="仿宋" w:eastAsia="仿宋" w:cs="仿宋"/>
              <w:sz w:val="32"/>
              <w:szCs w:val="32"/>
            </w:rPr>
            <w:fldChar w:fldCharType="separate"/>
          </w:r>
        </w:p>
        <w:p>
          <w:pPr>
            <w:pStyle w:val="24"/>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_Toc548 </w:instrText>
          </w:r>
          <w:r>
            <w:rPr>
              <w:rFonts w:hint="eastAsia" w:ascii="仿宋" w:hAnsi="仿宋" w:eastAsia="仿宋" w:cs="仿宋"/>
              <w:b/>
              <w:sz w:val="32"/>
              <w:szCs w:val="32"/>
            </w:rPr>
            <w:fldChar w:fldCharType="separate"/>
          </w:r>
          <w:r>
            <w:rPr>
              <w:rFonts w:hint="eastAsia" w:ascii="仿宋" w:hAnsi="仿宋" w:eastAsia="仿宋" w:cs="仿宋"/>
              <w:b/>
              <w:bCs/>
              <w:sz w:val="32"/>
              <w:szCs w:val="32"/>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_Toc548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3</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3"/>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_Toc4968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（一）单位职能简介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_Toc4968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23"/>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_Toc27697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（二）单位2024年重点工作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_Toc27697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24"/>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_Toc21190 </w:instrText>
          </w:r>
          <w:r>
            <w:rPr>
              <w:rFonts w:hint="eastAsia" w:ascii="仿宋" w:hAnsi="仿宋" w:eastAsia="仿宋" w:cs="仿宋"/>
              <w:b/>
              <w:sz w:val="32"/>
              <w:szCs w:val="32"/>
            </w:rPr>
            <w:fldChar w:fldCharType="separate"/>
          </w:r>
          <w:r>
            <w:rPr>
              <w:rFonts w:hint="eastAsia" w:ascii="仿宋" w:hAnsi="仿宋" w:eastAsia="仿宋" w:cs="仿宋"/>
              <w:b/>
              <w:bCs/>
              <w:sz w:val="32"/>
              <w:szCs w:val="32"/>
            </w:rPr>
            <w:t>二、部门预算单位构成</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_Toc21190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4</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4"/>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_Toc18477 </w:instrText>
          </w:r>
          <w:r>
            <w:rPr>
              <w:rFonts w:hint="eastAsia" w:ascii="仿宋" w:hAnsi="仿宋" w:eastAsia="仿宋" w:cs="仿宋"/>
              <w:b/>
              <w:sz w:val="32"/>
              <w:szCs w:val="32"/>
            </w:rPr>
            <w:fldChar w:fldCharType="separate"/>
          </w:r>
          <w:r>
            <w:rPr>
              <w:rFonts w:hint="eastAsia" w:ascii="仿宋" w:hAnsi="仿宋" w:eastAsia="仿宋" w:cs="仿宋"/>
              <w:b/>
              <w:bCs/>
              <w:sz w:val="32"/>
              <w:szCs w:val="32"/>
            </w:rPr>
            <w:t>三、收支预算情况说明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_Toc18477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3"/>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_Toc14518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_Toc14518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23"/>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_Toc20554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_Toc20554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24"/>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_Toc31664 </w:instrText>
          </w:r>
          <w:r>
            <w:rPr>
              <w:rFonts w:hint="eastAsia" w:ascii="仿宋" w:hAnsi="仿宋" w:eastAsia="仿宋" w:cs="仿宋"/>
              <w:b/>
              <w:sz w:val="32"/>
              <w:szCs w:val="32"/>
            </w:rPr>
            <w:fldChar w:fldCharType="separate"/>
          </w:r>
          <w:r>
            <w:rPr>
              <w:rFonts w:hint="eastAsia" w:ascii="仿宋" w:hAnsi="仿宋" w:eastAsia="仿宋" w:cs="仿宋"/>
              <w:b/>
              <w:bCs/>
              <w:sz w:val="32"/>
              <w:szCs w:val="32"/>
            </w:rPr>
            <w:t>四、财政拨款收支预算情况说明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_Toc31664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4"/>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_Toc23052 </w:instrText>
          </w:r>
          <w:r>
            <w:rPr>
              <w:rFonts w:hint="eastAsia" w:ascii="仿宋" w:hAnsi="仿宋" w:eastAsia="仿宋" w:cs="仿宋"/>
              <w:b/>
              <w:sz w:val="32"/>
              <w:szCs w:val="32"/>
            </w:rPr>
            <w:fldChar w:fldCharType="separate"/>
          </w:r>
          <w:r>
            <w:rPr>
              <w:rFonts w:hint="eastAsia" w:ascii="仿宋" w:hAnsi="仿宋" w:eastAsia="仿宋" w:cs="仿宋"/>
              <w:b/>
              <w:bCs/>
              <w:sz w:val="32"/>
              <w:szCs w:val="32"/>
            </w:rPr>
            <w:t>五、一般公共预算当年拨款情况说明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_Toc23052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3"/>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_Toc14465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_Toc14465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23"/>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_Toc7926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_Toc7926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23"/>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_Toc23241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_Toc23241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24"/>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_Toc15280 </w:instrText>
          </w:r>
          <w:r>
            <w:rPr>
              <w:rFonts w:hint="eastAsia" w:ascii="仿宋" w:hAnsi="仿宋" w:eastAsia="仿宋" w:cs="仿宋"/>
              <w:b/>
              <w:sz w:val="32"/>
              <w:szCs w:val="32"/>
            </w:rPr>
            <w:fldChar w:fldCharType="separate"/>
          </w:r>
          <w:r>
            <w:rPr>
              <w:rFonts w:hint="eastAsia" w:ascii="仿宋" w:hAnsi="仿宋" w:eastAsia="仿宋" w:cs="仿宋"/>
              <w:b/>
              <w:bCs/>
              <w:sz w:val="32"/>
              <w:szCs w:val="32"/>
            </w:rPr>
            <w:t>六、一般公共预算基本支出情况说明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_Toc15280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4"/>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_Toc30216 </w:instrText>
          </w:r>
          <w:r>
            <w:rPr>
              <w:rFonts w:hint="eastAsia" w:ascii="仿宋" w:hAnsi="仿宋" w:eastAsia="仿宋" w:cs="仿宋"/>
              <w:b/>
              <w:sz w:val="32"/>
              <w:szCs w:val="32"/>
            </w:rPr>
            <w:fldChar w:fldCharType="separate"/>
          </w:r>
          <w:r>
            <w:rPr>
              <w:rFonts w:hint="eastAsia" w:ascii="仿宋" w:hAnsi="仿宋" w:eastAsia="仿宋" w:cs="仿宋"/>
              <w:b/>
              <w:bCs/>
              <w:sz w:val="32"/>
              <w:szCs w:val="32"/>
              <w:lang w:eastAsia="zh-CN"/>
            </w:rPr>
            <w:t>七、</w:t>
          </w:r>
          <w:r>
            <w:rPr>
              <w:rFonts w:hint="eastAsia" w:ascii="仿宋" w:hAnsi="仿宋" w:eastAsia="仿宋" w:cs="仿宋"/>
              <w:b/>
              <w:bCs/>
              <w:sz w:val="32"/>
              <w:szCs w:val="32"/>
            </w:rPr>
            <w:t>“三公”经费财政拨款预算安排情况</w:t>
          </w:r>
          <w:r>
            <w:rPr>
              <w:rFonts w:hint="eastAsia" w:ascii="仿宋" w:hAnsi="仿宋" w:eastAsia="仿宋" w:cs="仿宋"/>
              <w:b/>
              <w:bCs/>
              <w:sz w:val="32"/>
              <w:szCs w:val="32"/>
              <w:lang w:eastAsia="zh-CN"/>
            </w:rPr>
            <w:t>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_Toc30216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4"/>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_Toc8520 </w:instrText>
          </w:r>
          <w:r>
            <w:rPr>
              <w:rFonts w:hint="eastAsia" w:ascii="仿宋" w:hAnsi="仿宋" w:eastAsia="仿宋" w:cs="仿宋"/>
              <w:b/>
              <w:sz w:val="32"/>
              <w:szCs w:val="32"/>
            </w:rPr>
            <w:fldChar w:fldCharType="separate"/>
          </w:r>
          <w:r>
            <w:rPr>
              <w:rFonts w:hint="eastAsia" w:ascii="仿宋" w:hAnsi="仿宋" w:eastAsia="仿宋" w:cs="仿宋"/>
              <w:b/>
              <w:bCs/>
              <w:sz w:val="32"/>
              <w:szCs w:val="32"/>
            </w:rPr>
            <w:t>八、政府性基金预算支出情况说明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_Toc8520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4"/>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_Toc31842 </w:instrText>
          </w:r>
          <w:r>
            <w:rPr>
              <w:rFonts w:hint="eastAsia" w:ascii="仿宋" w:hAnsi="仿宋" w:eastAsia="仿宋" w:cs="仿宋"/>
              <w:b/>
              <w:sz w:val="32"/>
              <w:szCs w:val="32"/>
            </w:rPr>
            <w:fldChar w:fldCharType="separate"/>
          </w:r>
          <w:r>
            <w:rPr>
              <w:rFonts w:hint="eastAsia" w:ascii="仿宋" w:hAnsi="仿宋" w:eastAsia="仿宋" w:cs="仿宋"/>
              <w:b/>
              <w:bCs/>
              <w:sz w:val="32"/>
              <w:szCs w:val="32"/>
            </w:rPr>
            <w:t>九、国有资本经营预算支出情况说明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_Toc31842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4"/>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_Toc20852 </w:instrText>
          </w:r>
          <w:r>
            <w:rPr>
              <w:rFonts w:hint="eastAsia" w:ascii="仿宋" w:hAnsi="仿宋" w:eastAsia="仿宋" w:cs="仿宋"/>
              <w:b/>
              <w:sz w:val="32"/>
              <w:szCs w:val="32"/>
            </w:rPr>
            <w:fldChar w:fldCharType="separate"/>
          </w:r>
          <w:r>
            <w:rPr>
              <w:rFonts w:hint="eastAsia" w:ascii="仿宋" w:hAnsi="仿宋" w:eastAsia="仿宋" w:cs="仿宋"/>
              <w:b/>
              <w:bCs/>
              <w:sz w:val="32"/>
              <w:szCs w:val="32"/>
            </w:rPr>
            <w:t>十、其他重要事项的情况说明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_Toc20852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24"/>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_Toc23402 </w:instrText>
          </w:r>
          <w:r>
            <w:rPr>
              <w:rFonts w:hint="eastAsia" w:ascii="仿宋" w:hAnsi="仿宋" w:eastAsia="仿宋" w:cs="仿宋"/>
              <w:b/>
              <w:sz w:val="32"/>
              <w:szCs w:val="32"/>
            </w:rPr>
            <w:fldChar w:fldCharType="separate"/>
          </w:r>
          <w:r>
            <w:rPr>
              <w:rFonts w:hint="eastAsia" w:ascii="仿宋" w:hAnsi="仿宋" w:eastAsia="仿宋" w:cs="仿宋"/>
              <w:b/>
              <w:bCs/>
              <w:sz w:val="32"/>
              <w:szCs w:val="32"/>
            </w:rPr>
            <w:t>十一、名词解释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_Toc23402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ind w:firstLine="0" w:firstLineChars="0"/>
          </w:pPr>
          <w:r>
            <w:rPr>
              <w:rFonts w:hint="eastAsia" w:ascii="仿宋" w:hAnsi="仿宋" w:eastAsia="仿宋" w:cs="仿宋"/>
              <w:sz w:val="32"/>
              <w:szCs w:val="32"/>
            </w:rPr>
            <w:fldChar w:fldCharType="end"/>
          </w:r>
        </w:p>
      </w:sdtContent>
    </w:sdt>
    <w:p>
      <w:pPr>
        <w:ind w:firstLine="0" w:firstLineChars="0"/>
      </w:pPr>
    </w:p>
    <w:p>
      <w:pPr>
        <w:ind w:firstLine="0" w:firstLineChars="0"/>
      </w:pPr>
    </w:p>
    <w:p>
      <w:pPr>
        <w:ind w:firstLine="0" w:firstLineChars="0"/>
      </w:pPr>
    </w:p>
    <w:p>
      <w:pPr>
        <w:ind w:firstLine="0" w:firstLineChars="0"/>
      </w:pPr>
    </w:p>
    <w:p>
      <w:pPr>
        <w:ind w:firstLine="0" w:firstLineChars="0"/>
      </w:pPr>
    </w:p>
    <w:p>
      <w:pPr>
        <w:ind w:firstLine="0" w:firstLineChars="0"/>
      </w:pPr>
    </w:p>
    <w:p>
      <w:pPr>
        <w:ind w:firstLine="0" w:firstLineChars="0"/>
      </w:pPr>
    </w:p>
    <w:p>
      <w:pPr>
        <w:ind w:firstLine="0" w:firstLineChars="0"/>
      </w:pPr>
    </w:p>
    <w:p>
      <w:pPr>
        <w:ind w:firstLine="0" w:firstLineChars="0"/>
      </w:pPr>
    </w:p>
    <w:p>
      <w:pPr>
        <w:ind w:firstLine="0" w:firstLineChars="0"/>
      </w:pPr>
    </w:p>
    <w:p>
      <w:pPr>
        <w:ind w:firstLine="0" w:firstLineChars="0"/>
      </w:pPr>
    </w:p>
    <w:p>
      <w:pPr>
        <w:ind w:firstLine="0" w:firstLineChars="0"/>
      </w:pPr>
    </w:p>
    <w:p>
      <w:pPr>
        <w:ind w:firstLine="0" w:firstLineChars="0"/>
      </w:pPr>
    </w:p>
    <w:p>
      <w:pPr>
        <w:ind w:firstLine="0" w:firstLineChars="0"/>
      </w:pPr>
    </w:p>
    <w:p>
      <w:pPr>
        <w:ind w:firstLine="0" w:firstLineChars="0"/>
      </w:pPr>
    </w:p>
    <w:p>
      <w:pPr>
        <w:ind w:left="0" w:leftChars="0" w:firstLine="0" w:firstLineChars="0"/>
        <w:outlineLvl w:val="0"/>
        <w:rPr>
          <w:rFonts w:hint="eastAsia"/>
          <w:b/>
          <w:bCs/>
        </w:rPr>
      </w:pPr>
      <w:bookmarkStart w:id="2" w:name="_Toc548"/>
    </w:p>
    <w:p>
      <w:pPr>
        <w:ind w:left="0" w:leftChars="0" w:firstLine="0" w:firstLineChars="0"/>
        <w:outlineLvl w:val="0"/>
        <w:rPr>
          <w:b/>
          <w:bCs/>
        </w:rPr>
      </w:pPr>
      <w:r>
        <w:rPr>
          <w:rFonts w:hint="eastAsia"/>
          <w:b/>
          <w:bCs/>
        </w:rPr>
        <w:t>一、基本职能及主要工作</w:t>
      </w:r>
      <w:bookmarkEnd w:id="2"/>
    </w:p>
    <w:p>
      <w:pPr>
        <w:ind w:firstLine="643"/>
        <w:outlineLvl w:val="1"/>
        <w:rPr>
          <w:b/>
          <w:bCs/>
        </w:rPr>
      </w:pPr>
      <w:bookmarkStart w:id="3" w:name="_Toc4968"/>
      <w:r>
        <w:rPr>
          <w:rFonts w:hint="eastAsia"/>
          <w:b/>
          <w:bCs/>
        </w:rPr>
        <w:t>（一）单位职能简介</w:t>
      </w:r>
      <w:bookmarkEnd w:id="3"/>
    </w:p>
    <w:p>
      <w:pPr>
        <w:pStyle w:val="5"/>
      </w:pPr>
      <w:r>
        <w:rPr>
          <w:rFonts w:hint="eastAsia"/>
        </w:rPr>
        <w:t>1.</w:t>
      </w:r>
      <w:r>
        <w:t>宣传贯彻执行党和国家的教育方针、教育政策、教育法律和法规，贯彻执行上级教育行政部门的各项规章制度。</w:t>
      </w:r>
    </w:p>
    <w:p>
      <w:pPr>
        <w:pStyle w:val="5"/>
      </w:pPr>
      <w:r>
        <w:rPr>
          <w:rFonts w:hint="eastAsia"/>
        </w:rPr>
        <w:t>2.用科学的发展观指导教育教学工作。加强教育科研工作，推动校本教育的健康发展。加强教学管理，不断推进新课程改革，全面提高教学质量。</w:t>
      </w:r>
    </w:p>
    <w:p>
      <w:pPr>
        <w:pStyle w:val="5"/>
      </w:pPr>
      <w:r>
        <w:rPr>
          <w:rFonts w:hint="eastAsia"/>
        </w:rPr>
        <w:t>3.</w:t>
      </w:r>
      <w:r>
        <w:t>按照九年义务教育课程计划，开齐课程，开足课时，认真实施中小学的教育教学管理，全面推进素质教育，全面提高教育教学质量</w:t>
      </w:r>
      <w:r>
        <w:rPr>
          <w:rFonts w:hint="eastAsia"/>
        </w:rPr>
        <w:t>。</w:t>
      </w:r>
    </w:p>
    <w:p>
      <w:pPr>
        <w:pStyle w:val="5"/>
      </w:pPr>
      <w:r>
        <w:rPr>
          <w:rFonts w:hint="eastAsia"/>
        </w:rPr>
        <w:t>4.继续深化人事制度改革，完善学校内部管理，做好后勤保障工作。</w:t>
      </w:r>
    </w:p>
    <w:p>
      <w:pPr>
        <w:pStyle w:val="5"/>
      </w:pPr>
      <w:r>
        <w:rPr>
          <w:rFonts w:hint="eastAsia"/>
        </w:rPr>
        <w:t>5.负责科学管理、合理使用学校的设施和经费，并积极筹措资金，改善办学条件。</w:t>
      </w:r>
    </w:p>
    <w:p>
      <w:pPr>
        <w:pStyle w:val="5"/>
      </w:pPr>
      <w:r>
        <w:rPr>
          <w:rFonts w:hint="eastAsia"/>
        </w:rPr>
        <w:t>6.负责维护学校、师生的合法权益，有权拒绝任何组织和个人对教育教学活动进行非法干扰。</w:t>
      </w:r>
    </w:p>
    <w:p>
      <w:pPr>
        <w:pStyle w:val="5"/>
      </w:pPr>
      <w:r>
        <w:rPr>
          <w:rFonts w:hint="eastAsia"/>
        </w:rPr>
        <w:t>7.负责创建绿色校园、文明校园和平安校园。</w:t>
      </w:r>
    </w:p>
    <w:p>
      <w:pPr>
        <w:pStyle w:val="5"/>
      </w:pPr>
      <w:r>
        <w:rPr>
          <w:rFonts w:hint="eastAsia"/>
        </w:rPr>
        <w:t>8.负责关心教职工生活，发挥教代会职能作用。</w:t>
      </w:r>
    </w:p>
    <w:p>
      <w:pPr>
        <w:rPr>
          <w:rFonts w:ascii="楷体_GB2312" w:hAnsi="Calibri" w:eastAsia="楷体_GB2312" w:cs="楷体_GB2312"/>
          <w:b/>
          <w:color w:val="333333"/>
          <w:shd w:val="clear" w:color="auto" w:fill="FFFFFF"/>
        </w:rPr>
      </w:pPr>
      <w:r>
        <w:rPr>
          <w:rFonts w:hint="eastAsia"/>
        </w:rPr>
        <w:t>9.承办上级交办的其他事项。</w:t>
      </w:r>
    </w:p>
    <w:p>
      <w:pPr>
        <w:ind w:firstLine="643"/>
        <w:outlineLvl w:val="1"/>
        <w:rPr>
          <w:b/>
          <w:bCs/>
        </w:rPr>
      </w:pPr>
      <w:bookmarkStart w:id="4" w:name="_Toc27697"/>
      <w:r>
        <w:rPr>
          <w:rFonts w:hint="eastAsia"/>
          <w:b/>
          <w:bCs/>
        </w:rPr>
        <w:t>（二）单位2024年重点工作</w:t>
      </w:r>
      <w:bookmarkEnd w:id="4"/>
    </w:p>
    <w:p>
      <w:r>
        <w:rPr>
          <w:rFonts w:hint="eastAsia"/>
        </w:rPr>
        <w:t>虎跳初级中学坚持以安全稳定为前提,提高教育教学质量为中心,以学生的全面发展和教师的专业成长为宗旨,以构建美丽、活力、质量、和谐校园为目标，努力营造一个学生能快乐地学习，教师能幸福工作的美丽校园。现就2023年秋——2024年春季学校工作作如下打算：</w:t>
      </w:r>
    </w:p>
    <w:p>
      <w:pPr>
        <w:ind w:firstLine="643"/>
        <w:rPr>
          <w:b/>
          <w:bCs/>
        </w:rPr>
      </w:pPr>
      <w:r>
        <w:rPr>
          <w:rFonts w:hint="eastAsia"/>
          <w:b/>
          <w:bCs/>
        </w:rPr>
        <w:t>（</w:t>
      </w:r>
      <w:r>
        <w:rPr>
          <w:rFonts w:hint="eastAsia"/>
          <w:b/>
          <w:bCs/>
          <w:lang w:val="en-US" w:eastAsia="zh-CN"/>
        </w:rPr>
        <w:t>1</w:t>
      </w:r>
      <w:r>
        <w:rPr>
          <w:rFonts w:hint="eastAsia"/>
          <w:b/>
          <w:bCs/>
        </w:rPr>
        <w:t>）学校工作突显质量中心地位，不忘本，守初心.</w:t>
      </w:r>
    </w:p>
    <w:p>
      <w:pPr>
        <w:pStyle w:val="19"/>
        <w:numPr>
          <w:numId w:val="0"/>
        </w:numPr>
        <w:ind w:left="640" w:leftChars="0"/>
      </w:pPr>
      <w:r>
        <w:rPr>
          <w:rFonts w:hint="eastAsia"/>
        </w:rPr>
        <w:t>树立一个意识：质量是生命线，是学校生存的基础</w:t>
      </w:r>
    </w:p>
    <w:p>
      <w:r>
        <w:rPr>
          <w:rFonts w:hint="eastAsia"/>
        </w:rPr>
        <w:t>做好两个引领：校长躬身上主课，党员人人站讲台</w:t>
      </w:r>
    </w:p>
    <w:p>
      <w:r>
        <w:rPr>
          <w:rFonts w:hint="eastAsia"/>
        </w:rPr>
        <w:t>向全面发展要质量。开齐课程、开足课时，这是学校教育的良心。</w:t>
      </w:r>
    </w:p>
    <w:p>
      <w:pPr>
        <w:ind w:firstLine="643"/>
        <w:rPr>
          <w:b/>
          <w:bCs/>
        </w:rPr>
      </w:pPr>
      <w:r>
        <w:rPr>
          <w:rFonts w:hint="eastAsia"/>
          <w:b/>
          <w:bCs/>
        </w:rPr>
        <w:t>（</w:t>
      </w:r>
      <w:r>
        <w:rPr>
          <w:rFonts w:hint="eastAsia"/>
          <w:b/>
          <w:bCs/>
          <w:lang w:val="en-US" w:eastAsia="zh-CN"/>
        </w:rPr>
        <w:t>2</w:t>
      </w:r>
      <w:r>
        <w:rPr>
          <w:rFonts w:hint="eastAsia"/>
          <w:b/>
          <w:bCs/>
        </w:rPr>
        <w:t>）把握两个重点，德育是首位，教学是重心。</w:t>
      </w:r>
    </w:p>
    <w:p>
      <w:pPr>
        <w:ind w:firstLine="643"/>
        <w:rPr>
          <w:b/>
          <w:bCs/>
        </w:rPr>
      </w:pPr>
      <w:r>
        <w:rPr>
          <w:rFonts w:hint="eastAsia"/>
          <w:b/>
          <w:bCs/>
        </w:rPr>
        <w:t>（</w:t>
      </w:r>
      <w:r>
        <w:rPr>
          <w:rFonts w:hint="eastAsia"/>
          <w:b/>
          <w:bCs/>
          <w:lang w:val="en-US" w:eastAsia="zh-CN"/>
        </w:rPr>
        <w:t>3</w:t>
      </w:r>
      <w:r>
        <w:rPr>
          <w:rFonts w:hint="eastAsia"/>
          <w:b/>
          <w:bCs/>
        </w:rPr>
        <w:t>）带好三支队伍：培养一支高素质，能力强的领导干部队伍；打造一支素质优良的班主任队伍；建设一支高素质的教师队伍；稳步提升学校的教育教学质量。</w:t>
      </w:r>
    </w:p>
    <w:p>
      <w:pPr>
        <w:ind w:firstLine="643"/>
        <w:rPr>
          <w:b/>
          <w:bCs/>
        </w:rPr>
      </w:pPr>
      <w:r>
        <w:rPr>
          <w:rFonts w:hint="eastAsia"/>
          <w:b/>
          <w:bCs/>
        </w:rPr>
        <w:t>（</w:t>
      </w:r>
      <w:r>
        <w:rPr>
          <w:rFonts w:hint="eastAsia"/>
          <w:b/>
          <w:bCs/>
          <w:lang w:val="en-US" w:eastAsia="zh-CN"/>
        </w:rPr>
        <w:t>4</w:t>
      </w:r>
      <w:r>
        <w:rPr>
          <w:rFonts w:hint="eastAsia"/>
          <w:b/>
          <w:bCs/>
        </w:rPr>
        <w:t>）扎实四项工作：党建引领示范化，德育规范化，教学常规化，科研精准化。</w:t>
      </w:r>
    </w:p>
    <w:p>
      <w:pPr>
        <w:ind w:left="0" w:leftChars="0" w:firstLine="643" w:firstLineChars="200"/>
        <w:outlineLvl w:val="0"/>
        <w:rPr>
          <w:b/>
          <w:bCs/>
        </w:rPr>
      </w:pPr>
      <w:bookmarkStart w:id="5" w:name="_Toc21190"/>
      <w:r>
        <w:rPr>
          <w:rFonts w:hint="eastAsia"/>
          <w:b/>
          <w:bCs/>
        </w:rPr>
        <w:t>二、部门预算单位构成</w:t>
      </w:r>
      <w:bookmarkEnd w:id="5"/>
    </w:p>
    <w:p>
      <w:r>
        <w:rPr>
          <w:rFonts w:hint="eastAsia"/>
        </w:rPr>
        <w:t>我单位是广元市昭化区教育局下属二级预算单位，属于公益一类</w:t>
      </w:r>
      <w:r>
        <w:rPr>
          <w:rFonts w:hint="eastAsia"/>
          <w:lang w:eastAsia="zh-CN"/>
        </w:rPr>
        <w:t>事业单位</w:t>
      </w:r>
      <w:r>
        <w:rPr>
          <w:rFonts w:hint="eastAsia"/>
        </w:rPr>
        <w:t>。</w:t>
      </w:r>
    </w:p>
    <w:p>
      <w:pPr>
        <w:ind w:left="0" w:leftChars="0" w:firstLine="643" w:firstLineChars="200"/>
        <w:outlineLvl w:val="0"/>
        <w:rPr>
          <w:b/>
          <w:bCs/>
        </w:rPr>
      </w:pPr>
      <w:bookmarkStart w:id="6" w:name="_Toc18477"/>
      <w:r>
        <w:rPr>
          <w:rFonts w:hint="eastAsia"/>
          <w:b/>
          <w:bCs/>
        </w:rPr>
        <w:t>三、收支预算情况说明</w:t>
      </w:r>
      <w:bookmarkEnd w:id="6"/>
    </w:p>
    <w:p>
      <w:r>
        <w:rPr>
          <w:rFonts w:hint="eastAsia"/>
        </w:rPr>
        <w:t>按照综合预算的原则，</w:t>
      </w:r>
      <w:bookmarkStart w:id="7" w:name="_Hlk162424737"/>
      <w:r>
        <w:rPr>
          <w:rFonts w:hint="eastAsia"/>
        </w:rPr>
        <w:t>虎跳初级中学</w:t>
      </w:r>
      <w:bookmarkEnd w:id="7"/>
      <w:r>
        <w:rPr>
          <w:rFonts w:hint="eastAsia"/>
        </w:rPr>
        <w:t>所有收入和支出均纳入部门预算管理。</w:t>
      </w:r>
      <w:r>
        <w:rPr>
          <w:rFonts w:hint="eastAsia" w:hAnsi="Times New Roman"/>
          <w:color w:val="333333"/>
          <w:kern w:val="0"/>
          <w:shd w:val="clear" w:color="auto" w:fill="FFFFFF"/>
          <w:lang w:bidi="ar"/>
        </w:rPr>
        <w:t>收入包括：一般公共预算拨款收入。支出包括：教育支出、社会保障和就业支出。</w:t>
      </w:r>
      <w:r>
        <w:rPr>
          <w:rFonts w:hint="eastAsia"/>
        </w:rPr>
        <w:t>虎跳初级中学2024年收支预算总数734.76万元,比2023年收支预算总数减少38.9万元，主要原因是基本支出减少。</w:t>
      </w:r>
    </w:p>
    <w:p>
      <w:pPr>
        <w:ind w:firstLine="643"/>
        <w:outlineLvl w:val="1"/>
        <w:rPr>
          <w:b/>
          <w:bCs/>
        </w:rPr>
      </w:pPr>
      <w:bookmarkStart w:id="8" w:name="_Toc14518"/>
      <w:r>
        <w:rPr>
          <w:rFonts w:hint="eastAsia"/>
          <w:b/>
          <w:bCs/>
        </w:rPr>
        <w:t>（一）收入预算情况</w:t>
      </w:r>
      <w:bookmarkEnd w:id="8"/>
    </w:p>
    <w:p>
      <w:pPr>
        <w:rPr>
          <w:b/>
          <w:bCs/>
        </w:rPr>
      </w:pPr>
      <w:bookmarkStart w:id="9" w:name="_Hlk162425676"/>
      <w:r>
        <w:rPr>
          <w:rFonts w:hint="eastAsia"/>
        </w:rPr>
        <w:t>虎跳初级中学</w:t>
      </w:r>
      <w:bookmarkEnd w:id="9"/>
      <w:r>
        <w:rPr>
          <w:rFonts w:hint="eastAsia"/>
        </w:rPr>
        <w:t>2024年收入预算734.76万元，其中：上年结转0万元，占0%；一般公共预算拨款收入734.76万元，占100%。</w:t>
      </w:r>
      <w:r>
        <w:rPr>
          <w:b/>
          <w:bCs/>
        </w:rPr>
        <w:t xml:space="preserve"> </w:t>
      </w:r>
    </w:p>
    <w:p>
      <w:pPr>
        <w:ind w:firstLine="643"/>
        <w:outlineLvl w:val="1"/>
        <w:rPr>
          <w:b/>
          <w:bCs/>
        </w:rPr>
      </w:pPr>
      <w:bookmarkStart w:id="10" w:name="_Toc20554"/>
      <w:r>
        <w:rPr>
          <w:rFonts w:hint="eastAsia"/>
          <w:b/>
          <w:bCs/>
        </w:rPr>
        <w:t>（二）支出预算情况</w:t>
      </w:r>
      <w:bookmarkEnd w:id="10"/>
    </w:p>
    <w:p>
      <w:pPr>
        <w:rPr>
          <w:b/>
          <w:bCs/>
        </w:rPr>
      </w:pPr>
      <w:bookmarkStart w:id="11" w:name="_Hlk162425913"/>
      <w:r>
        <w:rPr>
          <w:rFonts w:hint="eastAsia"/>
        </w:rPr>
        <w:t>虎跳初级中学</w:t>
      </w:r>
      <w:bookmarkEnd w:id="11"/>
      <w:r>
        <w:rPr>
          <w:rFonts w:hint="eastAsia"/>
        </w:rPr>
        <w:t>2024年支出预算734.76万元，其中：基本支出688.68万元，占93.73%；项目支出46.08万元，占6.27%。</w:t>
      </w:r>
    </w:p>
    <w:p>
      <w:pPr>
        <w:ind w:left="0" w:leftChars="0" w:firstLine="643" w:firstLineChars="200"/>
        <w:outlineLvl w:val="0"/>
        <w:rPr>
          <w:b/>
          <w:bCs/>
        </w:rPr>
      </w:pPr>
      <w:bookmarkStart w:id="12" w:name="_Toc31664"/>
      <w:r>
        <w:rPr>
          <w:rFonts w:hint="eastAsia"/>
          <w:b/>
          <w:bCs/>
        </w:rPr>
        <w:t>四、财政拨款收支预算情况说明</w:t>
      </w:r>
      <w:bookmarkEnd w:id="12"/>
    </w:p>
    <w:p>
      <w:pPr>
        <w:rPr>
          <w:rFonts w:hAnsi="Times New Roman"/>
          <w:color w:val="333333"/>
          <w:kern w:val="0"/>
          <w:shd w:val="clear" w:color="auto" w:fill="FFFFFF"/>
          <w:lang w:bidi="ar"/>
        </w:rPr>
      </w:pPr>
      <w:bookmarkStart w:id="13" w:name="_Hlk162426620"/>
      <w:r>
        <w:rPr>
          <w:rFonts w:hint="eastAsia"/>
        </w:rPr>
        <w:t>虎跳初级中学</w:t>
      </w:r>
      <w:bookmarkEnd w:id="13"/>
      <w:r>
        <w:rPr>
          <w:rFonts w:hint="eastAsia"/>
        </w:rPr>
        <w:t>2024年财政拨款收支预算总数734.76万元,比2023年财政拨款收支预算总数减少38.9万元，主要原因是基本支出减少。收入包括：本年一般公共预算拨款收入734.76万元、</w:t>
      </w:r>
      <w:r>
        <w:rPr>
          <w:rFonts w:hint="eastAsia" w:hAnsi="Times New Roman"/>
          <w:color w:val="333333"/>
          <w:kern w:val="0"/>
          <w:shd w:val="clear" w:color="auto" w:fill="FFFFFF"/>
          <w:lang w:bidi="ar"/>
        </w:rPr>
        <w:t>上年结转一般公共预算拨款收入</w:t>
      </w:r>
      <w:r>
        <w:rPr>
          <w:rFonts w:hint="eastAsia" w:ascii="Times New Roman" w:hAnsi="Times New Roman"/>
          <w:color w:val="333333"/>
          <w:kern w:val="0"/>
          <w:shd w:val="clear" w:color="auto" w:fill="FFFFFF"/>
          <w:lang w:bidi="ar"/>
        </w:rPr>
        <w:t>0</w:t>
      </w:r>
      <w:r>
        <w:rPr>
          <w:rFonts w:hint="eastAsia" w:hAnsi="Times New Roman"/>
          <w:color w:val="333333"/>
          <w:kern w:val="0"/>
          <w:shd w:val="clear" w:color="auto" w:fill="FFFFFF"/>
          <w:lang w:bidi="ar"/>
        </w:rPr>
        <w:t>万元；支出包括：教育支出734.76万元。</w:t>
      </w:r>
    </w:p>
    <w:p>
      <w:pPr>
        <w:ind w:left="0" w:leftChars="0" w:firstLine="643" w:firstLineChars="200"/>
        <w:outlineLvl w:val="0"/>
        <w:rPr>
          <w:rFonts w:ascii="仿宋_GB2312" w:hAnsi="Times New Roman" w:eastAsia="仿宋_GB2312" w:cs="仿宋_GB2312"/>
          <w:b/>
          <w:bCs/>
          <w:color w:val="333333"/>
          <w:kern w:val="0"/>
          <w:shd w:val="clear" w:color="auto" w:fill="FFFFFF"/>
          <w:lang w:bidi="ar"/>
        </w:rPr>
      </w:pPr>
      <w:bookmarkStart w:id="14" w:name="_Toc23052"/>
      <w:r>
        <w:rPr>
          <w:rFonts w:hint="eastAsia"/>
          <w:b/>
          <w:bCs/>
        </w:rPr>
        <w:t>五、一般公共预算当年拨款情况说明</w:t>
      </w:r>
      <w:bookmarkEnd w:id="14"/>
    </w:p>
    <w:p>
      <w:pPr>
        <w:ind w:firstLine="643"/>
        <w:outlineLvl w:val="1"/>
        <w:rPr>
          <w:rFonts w:ascii="仿宋_GB2312" w:hAnsi="Times New Roman" w:eastAsia="仿宋_GB2312" w:cs="仿宋_GB2312"/>
          <w:b/>
          <w:bCs/>
          <w:color w:val="333333"/>
          <w:kern w:val="0"/>
          <w:shd w:val="clear" w:color="auto" w:fill="FFFFFF"/>
          <w:lang w:bidi="ar"/>
        </w:rPr>
      </w:pPr>
      <w:bookmarkStart w:id="15" w:name="_Toc14465"/>
      <w:r>
        <w:rPr>
          <w:rFonts w:hint="eastAsia"/>
          <w:b/>
          <w:bCs/>
        </w:rPr>
        <w:t>（一）一般公共预算当年拨款规模变化情况</w:t>
      </w:r>
      <w:bookmarkEnd w:id="15"/>
    </w:p>
    <w:p>
      <w:pPr>
        <w:rPr>
          <w:rFonts w:hAnsi="Times New Roman"/>
          <w:color w:val="333333"/>
          <w:kern w:val="0"/>
          <w:shd w:val="clear" w:color="auto" w:fill="FFFFFF"/>
          <w:lang w:bidi="ar"/>
        </w:rPr>
      </w:pPr>
      <w:r>
        <w:rPr>
          <w:rFonts w:hint="eastAsia"/>
        </w:rPr>
        <w:t>虎跳初级中学2024年一般公共预算当年拨款734.76万元，比2023年预算数减少38.9万元，主要原因是基本支出减少。</w:t>
      </w:r>
    </w:p>
    <w:p>
      <w:pPr>
        <w:ind w:firstLine="643"/>
        <w:outlineLvl w:val="1"/>
        <w:rPr>
          <w:rFonts w:ascii="仿宋_GB2312" w:hAnsi="Times New Roman" w:eastAsia="仿宋_GB2312" w:cs="仿宋_GB2312"/>
          <w:b/>
          <w:bCs/>
          <w:color w:val="333333"/>
          <w:kern w:val="0"/>
          <w:shd w:val="clear" w:color="auto" w:fill="FFFFFF"/>
          <w:lang w:bidi="ar"/>
        </w:rPr>
      </w:pPr>
      <w:bookmarkStart w:id="16" w:name="_Toc7926"/>
      <w:r>
        <w:rPr>
          <w:rFonts w:hint="eastAsia"/>
          <w:b/>
          <w:bCs/>
        </w:rPr>
        <w:t>（二）一般公共预算当年拨款结构情况</w:t>
      </w:r>
      <w:bookmarkEnd w:id="16"/>
    </w:p>
    <w:p>
      <w:pPr>
        <w:rPr>
          <w:rFonts w:hAnsi="Times New Roman"/>
          <w:color w:val="333333"/>
          <w:kern w:val="0"/>
          <w:shd w:val="clear" w:color="auto" w:fill="FFFFFF"/>
          <w:lang w:bidi="ar"/>
        </w:rPr>
      </w:pPr>
      <w:r>
        <w:rPr>
          <w:rFonts w:hint="eastAsia"/>
        </w:rPr>
        <w:t>教育支出734.76万元，占100%。</w:t>
      </w:r>
    </w:p>
    <w:p>
      <w:pPr>
        <w:ind w:firstLine="643"/>
        <w:outlineLvl w:val="1"/>
        <w:rPr>
          <w:b/>
          <w:bCs/>
        </w:rPr>
      </w:pPr>
      <w:bookmarkStart w:id="17" w:name="_Toc23241"/>
      <w:r>
        <w:rPr>
          <w:rFonts w:hint="eastAsia"/>
          <w:b/>
          <w:bCs/>
        </w:rPr>
        <w:t>（三）一般公共预算当年拨款具体使用情况</w:t>
      </w:r>
      <w:bookmarkEnd w:id="17"/>
    </w:p>
    <w:p>
      <w:pPr>
        <w:rPr>
          <w:shd w:val="clear" w:color="auto" w:fill="FFFFFF"/>
          <w:lang w:bidi="ar"/>
        </w:rPr>
      </w:pPr>
      <w:r>
        <w:rPr>
          <w:rFonts w:hAnsi="仿宋_GB2312"/>
        </w:rPr>
        <w:t>1.</w:t>
      </w:r>
      <w:r>
        <w:rPr>
          <w:rFonts w:hint="eastAsia"/>
          <w:shd w:val="clear" w:color="auto" w:fill="FFFFFF"/>
          <w:lang w:bidi="ar"/>
        </w:rPr>
        <w:t xml:space="preserve"> 教育支出（类）普通教育（款）初中教育（项）2024年预算数为734.76万元，</w:t>
      </w:r>
      <w:r>
        <w:rPr>
          <w:rFonts w:hint="eastAsia" w:hAnsi="仿宋_GB2312"/>
        </w:rPr>
        <w:t>主要用于：</w:t>
      </w:r>
      <w:r>
        <w:rPr>
          <w:rFonts w:hint="eastAsia"/>
          <w:shd w:val="clear" w:color="auto" w:fill="FFFFFF"/>
          <w:lang w:bidi="ar"/>
        </w:rPr>
        <w:t>本单位的基本支出，包括基本工资、津贴补贴等人员经费以及办公费、印刷费、水电费等日常公用经费。</w:t>
      </w:r>
    </w:p>
    <w:p>
      <w:pPr>
        <w:ind w:left="0" w:leftChars="0" w:firstLine="643" w:firstLineChars="200"/>
        <w:outlineLvl w:val="0"/>
        <w:rPr>
          <w:rFonts w:ascii="仿宋_GB2312" w:hAnsi="Times New Roman" w:eastAsia="仿宋_GB2312" w:cs="仿宋_GB2312"/>
          <w:b/>
          <w:bCs/>
          <w:color w:val="333333"/>
          <w:kern w:val="0"/>
          <w:shd w:val="clear" w:color="auto" w:fill="FFFFFF"/>
          <w:lang w:bidi="ar"/>
        </w:rPr>
      </w:pPr>
      <w:bookmarkStart w:id="18" w:name="_Toc15280"/>
      <w:r>
        <w:rPr>
          <w:rFonts w:hint="eastAsia"/>
          <w:b/>
          <w:bCs/>
        </w:rPr>
        <w:t>六、一般公共预算基本支出情况说明</w:t>
      </w:r>
      <w:bookmarkEnd w:id="18"/>
    </w:p>
    <w:p>
      <w:pPr>
        <w:rPr>
          <w:rFonts w:hAnsi="Times New Roman"/>
          <w:color w:val="333333"/>
          <w:kern w:val="0"/>
          <w:shd w:val="clear" w:color="auto" w:fill="FFFFFF"/>
          <w:lang w:bidi="ar"/>
        </w:rPr>
      </w:pPr>
      <w:r>
        <w:rPr>
          <w:rFonts w:hint="eastAsia"/>
        </w:rPr>
        <w:t>虎跳初级中学2024年一般公共预算基本支出734.76万元，其中：人员经费688.68万元，主要包括：基本工资、津贴补贴、奖金、社会保险缴费、住房公积金等支出。</w:t>
      </w:r>
    </w:p>
    <w:p>
      <w:pPr>
        <w:pStyle w:val="19"/>
        <w:numPr>
          <w:ilvl w:val="0"/>
          <w:numId w:val="0"/>
        </w:numPr>
        <w:ind w:firstLine="643" w:firstLineChars="200"/>
        <w:outlineLvl w:val="0"/>
        <w:rPr>
          <w:rFonts w:ascii="仿宋_GB2312" w:hAnsi="Times New Roman" w:eastAsia="仿宋_GB2312" w:cs="仿宋_GB2312"/>
          <w:b/>
          <w:bCs/>
          <w:color w:val="333333"/>
          <w:kern w:val="0"/>
          <w:shd w:val="clear" w:color="auto" w:fill="FFFFFF"/>
          <w:lang w:bidi="ar"/>
        </w:rPr>
      </w:pPr>
      <w:bookmarkStart w:id="19" w:name="_Toc30216"/>
      <w:r>
        <w:rPr>
          <w:rFonts w:hint="eastAsia"/>
          <w:b/>
          <w:bCs/>
          <w:lang w:eastAsia="zh-CN"/>
        </w:rPr>
        <w:t>七、</w:t>
      </w:r>
      <w:r>
        <w:rPr>
          <w:rFonts w:hint="eastAsia"/>
          <w:b/>
          <w:bCs/>
        </w:rPr>
        <w:t>“三公”经费财政拨款预算安排情况说</w:t>
      </w:r>
      <w:bookmarkEnd w:id="19"/>
    </w:p>
    <w:p>
      <w:pPr>
        <w:ind w:left="640" w:leftChars="200" w:firstLine="0" w:firstLineChars="0"/>
        <w:rPr>
          <w:shd w:val="clear" w:color="auto" w:fill="FFFFFF"/>
          <w:lang w:bidi="ar"/>
        </w:rPr>
      </w:pPr>
      <w:r>
        <w:rPr>
          <w:rFonts w:hint="eastAsia"/>
          <w:shd w:val="clear" w:color="auto" w:fill="FFFFFF"/>
          <w:lang w:bidi="ar"/>
        </w:rPr>
        <w:t>虎跳初级中学2023年“三公”经费财政拨款预算数</w:t>
      </w:r>
      <w:r>
        <w:rPr>
          <w:rFonts w:hint="eastAsia" w:ascii="Times New Roman"/>
          <w:shd w:val="clear" w:color="auto" w:fill="FFFFFF"/>
          <w:lang w:bidi="ar"/>
        </w:rPr>
        <w:t>0</w:t>
      </w:r>
      <w:r>
        <w:rPr>
          <w:rFonts w:hint="eastAsia"/>
          <w:shd w:val="clear" w:color="auto" w:fill="FFFFFF"/>
          <w:lang w:bidi="ar"/>
        </w:rPr>
        <w:t>万元。</w:t>
      </w:r>
      <w:r>
        <w:rPr>
          <w:rFonts w:ascii="Times New Roman"/>
        </w:rPr>
        <w:t xml:space="preserve"> </w:t>
      </w:r>
      <w:r>
        <w:rPr>
          <w:rFonts w:hint="eastAsia" w:ascii="楷体_GB2312" w:hAnsi="楷体_GB2312" w:eastAsia="楷体_GB2312" w:cs="楷体_GB2312"/>
        </w:rPr>
        <w:t>（一）公务接待费</w:t>
      </w:r>
    </w:p>
    <w:p>
      <w:pPr>
        <w:rPr>
          <w:shd w:val="clear" w:color="auto" w:fill="FFFFFF"/>
          <w:lang w:bidi="ar"/>
        </w:rPr>
      </w:pPr>
      <w:r>
        <w:rPr>
          <w:rFonts w:hint="eastAsia"/>
          <w:shd w:val="clear" w:color="auto" w:fill="FFFFFF"/>
          <w:lang w:bidi="ar"/>
        </w:rPr>
        <w:t>公务接待费与2023年预算相比持平。2024年公务接待费计划用于执行接待考察调研、检查指导等公务活动开支的交通费、住宿费、用餐费等。</w:t>
      </w:r>
    </w:p>
    <w:p>
      <w:pPr>
        <w:ind w:firstLine="643"/>
        <w:rPr>
          <w:rFonts w:cs="仿宋_GB2312"/>
          <w:b/>
          <w:bCs/>
          <w:shd w:val="clear" w:color="auto" w:fill="FFFFFF"/>
          <w:lang w:bidi="ar"/>
        </w:rPr>
      </w:pPr>
      <w:r>
        <w:rPr>
          <w:rFonts w:hint="eastAsia"/>
          <w:b/>
          <w:bCs/>
          <w:shd w:val="clear" w:color="auto" w:fill="FFFFFF"/>
          <w:lang w:bidi="ar"/>
        </w:rPr>
        <w:t>（二）公务用车购置及运行维护费与2022年预算相比。</w:t>
      </w:r>
    </w:p>
    <w:p>
      <w:pPr>
        <w:rPr>
          <w:shd w:val="clear" w:color="auto" w:fill="FFFFFF"/>
          <w:lang w:bidi="ar"/>
        </w:rPr>
      </w:pPr>
      <w:r>
        <w:rPr>
          <w:rFonts w:hint="eastAsia"/>
          <w:shd w:val="clear" w:color="auto" w:fill="FFFFFF"/>
          <w:lang w:bidi="ar"/>
        </w:rPr>
        <w:t>虎跳初级中学现有公务用车</w:t>
      </w:r>
      <w:r>
        <w:rPr>
          <w:rFonts w:hint="eastAsia" w:ascii="Times New Roman"/>
          <w:shd w:val="clear" w:color="auto" w:fill="FFFFFF"/>
          <w:lang w:bidi="ar"/>
        </w:rPr>
        <w:t>0</w:t>
      </w:r>
      <w:r>
        <w:rPr>
          <w:rFonts w:hint="eastAsia"/>
          <w:shd w:val="clear" w:color="auto" w:fill="FFFFFF"/>
          <w:lang w:bidi="ar"/>
        </w:rPr>
        <w:t>辆。2024年安排公务用车运行维护费0万元，较2023年预算相比持平，区教育局2024年未安排公务用车车购置费和运行维护费。</w:t>
      </w:r>
    </w:p>
    <w:p>
      <w:pPr>
        <w:pStyle w:val="19"/>
        <w:numPr>
          <w:ilvl w:val="0"/>
          <w:numId w:val="1"/>
        </w:numPr>
        <w:ind w:firstLineChars="0"/>
        <w:rPr>
          <w:b/>
          <w:bCs/>
          <w:shd w:val="clear" w:color="auto" w:fill="FFFFFF"/>
          <w:lang w:bidi="ar"/>
        </w:rPr>
      </w:pPr>
      <w:r>
        <w:rPr>
          <w:rFonts w:hint="eastAsia" w:ascii="仿宋_GB2312" w:eastAsia="仿宋_GB2312" w:cs="仿宋_GB2312"/>
          <w:b/>
          <w:bCs/>
          <w:shd w:val="clear" w:color="auto" w:fill="FFFFFF"/>
          <w:lang w:bidi="ar"/>
        </w:rPr>
        <w:t>因公出国（境）经费</w:t>
      </w:r>
      <w:r>
        <w:rPr>
          <w:rFonts w:hint="eastAsia"/>
          <w:b/>
          <w:bCs/>
          <w:shd w:val="clear" w:color="auto" w:fill="FFFFFF"/>
          <w:lang w:bidi="ar"/>
        </w:rPr>
        <w:t>与2023年预算相比</w:t>
      </w:r>
    </w:p>
    <w:p>
      <w:pPr>
        <w:pStyle w:val="19"/>
        <w:ind w:firstLine="640"/>
        <w:rPr>
          <w:shd w:val="clear" w:color="auto" w:fill="FFFFFF"/>
          <w:lang w:bidi="ar"/>
        </w:rPr>
      </w:pPr>
      <w:r>
        <w:rPr>
          <w:rFonts w:hint="eastAsia"/>
          <w:shd w:val="clear" w:color="auto" w:fill="FFFFFF"/>
          <w:lang w:bidi="ar"/>
        </w:rPr>
        <w:t>虎跳初级中学2024未安排因公出国（境）经费。</w:t>
      </w:r>
    </w:p>
    <w:p>
      <w:pPr>
        <w:ind w:left="0" w:leftChars="0" w:firstLine="643" w:firstLineChars="200"/>
        <w:outlineLvl w:val="0"/>
        <w:rPr>
          <w:b/>
          <w:bCs/>
        </w:rPr>
      </w:pPr>
      <w:bookmarkStart w:id="20" w:name="_Toc8520"/>
      <w:r>
        <w:rPr>
          <w:rFonts w:hint="eastAsia"/>
          <w:b/>
          <w:bCs/>
        </w:rPr>
        <w:t>八、政府性基金预算支出情况说明</w:t>
      </w:r>
      <w:bookmarkEnd w:id="20"/>
    </w:p>
    <w:p>
      <w:pPr>
        <w:rPr>
          <w:rFonts w:ascii="Times New Roman"/>
        </w:rPr>
      </w:pPr>
      <w:r>
        <w:rPr>
          <w:rFonts w:hint="eastAsia"/>
          <w:shd w:val="clear" w:color="auto" w:fill="FFFFFF"/>
          <w:lang w:bidi="ar"/>
        </w:rPr>
        <w:t>虎跳初级中学2024年没有使用政府性基金预算拨款安排的支出。</w:t>
      </w:r>
    </w:p>
    <w:p>
      <w:pPr>
        <w:ind w:left="0" w:leftChars="0" w:firstLine="643" w:firstLineChars="200"/>
        <w:outlineLvl w:val="0"/>
        <w:rPr>
          <w:b/>
          <w:bCs/>
        </w:rPr>
      </w:pPr>
      <w:bookmarkStart w:id="21" w:name="_Toc31842"/>
      <w:r>
        <w:rPr>
          <w:rFonts w:hint="eastAsia"/>
          <w:b/>
          <w:bCs/>
        </w:rPr>
        <w:t>九、国有资本经营预算支出情况说明</w:t>
      </w:r>
      <w:bookmarkEnd w:id="21"/>
    </w:p>
    <w:p>
      <w:pPr>
        <w:rPr>
          <w:rFonts w:ascii="Times New Roman"/>
        </w:rPr>
      </w:pPr>
      <w:r>
        <w:rPr>
          <w:rFonts w:hint="eastAsia"/>
          <w:shd w:val="clear" w:color="auto" w:fill="FFFFFF"/>
          <w:lang w:bidi="ar"/>
        </w:rPr>
        <w:t>虎跳初级中学2024年没有使用国有资本经营预算拨款安排的支出。</w:t>
      </w:r>
    </w:p>
    <w:p>
      <w:pPr>
        <w:ind w:left="0" w:leftChars="0" w:firstLine="643" w:firstLineChars="200"/>
        <w:outlineLvl w:val="0"/>
        <w:rPr>
          <w:b/>
          <w:bCs/>
        </w:rPr>
      </w:pPr>
      <w:bookmarkStart w:id="22" w:name="_Toc20852"/>
      <w:r>
        <w:rPr>
          <w:rFonts w:hint="eastAsia"/>
          <w:b/>
          <w:bCs/>
        </w:rPr>
        <w:t>十、其他重要事项的情况说明</w:t>
      </w:r>
      <w:bookmarkEnd w:id="22"/>
    </w:p>
    <w:p>
      <w:pPr>
        <w:ind w:firstLine="643"/>
        <w:outlineLvl w:val="1"/>
        <w:rPr>
          <w:b/>
          <w:bCs/>
        </w:rPr>
      </w:pPr>
      <w:bookmarkStart w:id="23" w:name="_Toc26700"/>
      <w:r>
        <w:rPr>
          <w:rFonts w:hint="eastAsia"/>
          <w:b/>
          <w:bCs/>
        </w:rPr>
        <w:t>（一）机关运行经费</w:t>
      </w:r>
      <w:bookmarkEnd w:id="23"/>
    </w:p>
    <w:p>
      <w:pPr>
        <w:rPr>
          <w:shd w:val="clear" w:color="auto" w:fill="FFFFFF"/>
          <w:lang w:bidi="ar"/>
        </w:rPr>
      </w:pPr>
      <w:r>
        <w:rPr>
          <w:rFonts w:hint="eastAsia"/>
          <w:shd w:val="clear" w:color="auto" w:fill="FFFFFF"/>
          <w:lang w:bidi="ar"/>
        </w:rPr>
        <w:t>2024年，虎跳初级中学属于公益一类事业单位无机关运行经费。</w:t>
      </w:r>
    </w:p>
    <w:p>
      <w:pPr>
        <w:ind w:firstLine="643"/>
        <w:outlineLvl w:val="1"/>
        <w:rPr>
          <w:b/>
          <w:bCs/>
        </w:rPr>
      </w:pPr>
      <w:bookmarkStart w:id="24" w:name="_Toc17929"/>
      <w:r>
        <w:rPr>
          <w:rFonts w:hint="eastAsia"/>
          <w:b/>
          <w:bCs/>
        </w:rPr>
        <w:t>（二）政府采购情况</w:t>
      </w:r>
      <w:bookmarkEnd w:id="24"/>
    </w:p>
    <w:p>
      <w:pPr>
        <w:rPr>
          <w:rFonts w:ascii="Times New Roman"/>
        </w:rPr>
      </w:pPr>
      <w:r>
        <w:rPr>
          <w:rFonts w:hint="eastAsia"/>
          <w:shd w:val="clear" w:color="auto" w:fill="FFFFFF"/>
          <w:lang w:bidi="ar"/>
        </w:rPr>
        <w:t>2024年，虎跳初级中学没有安排政府采购预算</w:t>
      </w:r>
      <w:r>
        <w:rPr>
          <w:rFonts w:hint="eastAsia" w:ascii="Times New Roman"/>
          <w:shd w:val="clear" w:color="auto" w:fill="FFFFFF"/>
          <w:lang w:bidi="ar"/>
        </w:rPr>
        <w:t>的支出。</w:t>
      </w:r>
    </w:p>
    <w:p>
      <w:pPr>
        <w:ind w:firstLine="643"/>
        <w:outlineLvl w:val="1"/>
        <w:rPr>
          <w:b/>
          <w:bCs/>
        </w:rPr>
      </w:pPr>
      <w:bookmarkStart w:id="25" w:name="_Toc22708"/>
      <w:r>
        <w:rPr>
          <w:rFonts w:hint="eastAsia"/>
          <w:b/>
          <w:bCs/>
        </w:rPr>
        <w:t>（三）国有资产占有使用情况</w:t>
      </w:r>
      <w:bookmarkEnd w:id="25"/>
    </w:p>
    <w:p>
      <w:pPr>
        <w:rPr>
          <w:rFonts w:ascii="Times New Roman"/>
        </w:rPr>
      </w:pPr>
      <w:r>
        <w:rPr>
          <w:rFonts w:hint="eastAsia"/>
          <w:shd w:val="clear" w:color="auto" w:fill="FFFFFF"/>
          <w:lang w:bidi="ar"/>
        </w:rPr>
        <w:t>截至2023年底，虎跳初级中学共有车辆</w:t>
      </w:r>
      <w:r>
        <w:rPr>
          <w:rFonts w:hint="eastAsia" w:ascii="Times New Roman"/>
          <w:shd w:val="clear" w:color="auto" w:fill="FFFFFF"/>
          <w:lang w:bidi="ar"/>
        </w:rPr>
        <w:t>0</w:t>
      </w:r>
      <w:r>
        <w:rPr>
          <w:rFonts w:hint="eastAsia"/>
          <w:shd w:val="clear" w:color="auto" w:fill="FFFFFF"/>
          <w:lang w:bidi="ar"/>
        </w:rPr>
        <w:t>辆，2024年单位未安排预算及价值200万元以上大型设备。</w:t>
      </w:r>
    </w:p>
    <w:p>
      <w:pPr>
        <w:ind w:firstLine="643"/>
        <w:outlineLvl w:val="1"/>
        <w:rPr>
          <w:b/>
          <w:bCs/>
        </w:rPr>
      </w:pPr>
      <w:bookmarkStart w:id="26" w:name="_Toc9471"/>
      <w:r>
        <w:rPr>
          <w:rFonts w:hint="eastAsia"/>
          <w:b/>
          <w:bCs/>
        </w:rPr>
        <w:t>（四）绩效目标设置情况</w:t>
      </w:r>
      <w:bookmarkEnd w:id="26"/>
    </w:p>
    <w:p>
      <w:r>
        <w:rPr>
          <w:rFonts w:hint="eastAsia"/>
        </w:rPr>
        <w:t>2024年</w:t>
      </w:r>
      <w:r>
        <w:rPr>
          <w:rFonts w:hint="eastAsia"/>
          <w:lang w:eastAsia="zh-CN"/>
        </w:rPr>
        <w:t>虎跳中学</w:t>
      </w:r>
      <w:r>
        <w:rPr>
          <w:rFonts w:hint="eastAsia"/>
        </w:rPr>
        <w:t>开展绩效目标管理的项目4个，涉及预算</w:t>
      </w:r>
      <w:r>
        <w:rPr>
          <w:rFonts w:hint="eastAsia"/>
          <w:shd w:val="clear" w:color="auto" w:fill="FFFFFF"/>
          <w:lang w:bidi="ar"/>
        </w:rPr>
        <w:t xml:space="preserve">46.08 </w:t>
      </w:r>
      <w:r>
        <w:rPr>
          <w:rFonts w:hint="eastAsia"/>
        </w:rPr>
        <w:t>万元。其中：人员类项目0个，涉及预算 0万元；运转类项目4个，涉及预算</w:t>
      </w:r>
      <w:r>
        <w:rPr>
          <w:rFonts w:hint="eastAsia"/>
          <w:shd w:val="clear" w:color="auto" w:fill="FFFFFF"/>
          <w:lang w:bidi="ar"/>
        </w:rPr>
        <w:t xml:space="preserve">46.08 </w:t>
      </w:r>
      <w:r>
        <w:rPr>
          <w:rFonts w:hint="eastAsia"/>
        </w:rPr>
        <w:t>万元；特定目标类项目0个，涉及预算0万元。因部分项目内容涉密，不予公开。</w:t>
      </w:r>
    </w:p>
    <w:p>
      <w:pPr>
        <w:ind w:left="0" w:leftChars="0" w:firstLine="643" w:firstLineChars="200"/>
        <w:outlineLvl w:val="0"/>
        <w:rPr>
          <w:b/>
          <w:bCs/>
        </w:rPr>
      </w:pPr>
      <w:bookmarkStart w:id="27" w:name="_Toc23402"/>
      <w:r>
        <w:rPr>
          <w:rFonts w:hint="eastAsia"/>
          <w:b/>
          <w:bCs/>
        </w:rPr>
        <w:t>十一、名词解释</w:t>
      </w:r>
      <w:bookmarkEnd w:id="27"/>
    </w:p>
    <w:p>
      <w:r>
        <w:t>（一）财政拨款收入:指财政当年安排的财政预算收入。按现行管理制度,部门预算中反映的财政拨款包括一般公共预算拨款和政府性基金预算拨款。</w:t>
      </w:r>
      <w:r>
        <w:br w:type="textWrapping"/>
      </w:r>
      <w:r>
        <w:rPr>
          <w:rFonts w:hint="eastAsia"/>
        </w:rPr>
        <w:t xml:space="preserve">    </w:t>
      </w:r>
      <w:r>
        <w:t>（二）事业收入：指事业单位开展专业业务活动及辅助活动所取得的收入。主要为学校根据国家有关部门批准的项目和标准收取的学费、住宿费等。</w:t>
      </w:r>
      <w:r>
        <w:br w:type="textWrapping"/>
      </w:r>
      <w:r>
        <w:rPr>
          <w:rFonts w:hint="eastAsia"/>
        </w:rPr>
        <w:t xml:space="preserve">   </w:t>
      </w:r>
      <w:r>
        <w:t>（三）其他收入：指除上述“一般公共预算拨款收入”</w:t>
      </w:r>
      <w:r>
        <w:rPr>
          <w:rFonts w:ascii="Calibri" w:hAnsi="Calibri" w:cs="Calibri"/>
        </w:rPr>
        <w:t> </w:t>
      </w:r>
      <w:r>
        <w:t>“事业收入”等以外的收入。如银行存款利息收入、社会考试服务收入、课时收入等。</w:t>
      </w:r>
      <w:r>
        <w:br w:type="textWrapping"/>
      </w:r>
      <w:r>
        <w:rPr>
          <w:rFonts w:ascii="Calibri" w:hAnsi="Calibri" w:cs="Calibri"/>
        </w:rPr>
        <w:t>    </w:t>
      </w:r>
      <w:r>
        <w:rPr>
          <w:rFonts w:hint="eastAsia" w:ascii="Calibri" w:hAnsi="Calibri" w:cs="Calibri"/>
        </w:rPr>
        <w:t xml:space="preserve"> </w:t>
      </w:r>
      <w:r>
        <w:t>（四）教育支出（类）普通教育（款）初中教育（项）：指</w:t>
      </w:r>
      <w:bookmarkStart w:id="29" w:name="_GoBack"/>
      <w:bookmarkEnd w:id="29"/>
      <w:r>
        <w:t>初中教育发展的基本支出，包括基本工资、津贴补贴等人员经费以及办公费、印刷费、水电费等日常公用经费。</w:t>
      </w:r>
    </w:p>
    <w:p>
      <w:r>
        <w:t>（</w:t>
      </w:r>
      <w:r>
        <w:rPr>
          <w:rFonts w:hint="eastAsia"/>
        </w:rPr>
        <w:t>五</w:t>
      </w:r>
      <w:r>
        <w:t>）住房保障（类）住房改革支出（款）住房公积金（项）：指按照《住房公积金管理条例》的规定，由单位及其在职职工缴存的长期住房储金。</w:t>
      </w:r>
      <w:r>
        <w:br w:type="textWrapping"/>
      </w:r>
      <w:r>
        <w:t>　　（</w:t>
      </w:r>
      <w:r>
        <w:rPr>
          <w:rFonts w:hint="eastAsia"/>
        </w:rPr>
        <w:t>六</w:t>
      </w:r>
      <w:r>
        <w:t>）基本支出：指为保证机构正常运转，完成日常工作任务而发生的人员支出和公用支出。</w:t>
      </w:r>
    </w:p>
    <w:p>
      <w:pPr>
        <w:outlineLvl w:val="0"/>
      </w:pPr>
      <w:bookmarkStart w:id="28" w:name="_Toc11704"/>
      <w:r>
        <w:rPr>
          <w:rFonts w:hint="eastAsia"/>
        </w:rPr>
        <w:t>附件：1.部门预算公开表</w:t>
      </w:r>
      <w:bookmarkEnd w:id="28"/>
    </w:p>
    <w:p>
      <w:pPr>
        <w:ind w:firstLine="1600" w:firstLineChars="500"/>
      </w:pPr>
      <w:r>
        <w:rPr>
          <w:rFonts w:hint="eastAsia"/>
        </w:rPr>
        <w:t>2.项目支出绩效目标表</w:t>
      </w:r>
    </w:p>
    <w:p/>
    <w:sectPr>
      <w:footerReference r:id="rId5" w:type="default"/>
      <w:pgSz w:w="11906" w:h="16838"/>
      <w:pgMar w:top="2098" w:right="1474" w:bottom="1984" w:left="1587" w:header="720" w:footer="1559"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Liberation Sans">
    <w:altName w:val="Segoe Print"/>
    <w:panose1 w:val="00000000000000000000"/>
    <w:charset w:val="00"/>
    <w:family w:val="swiss"/>
    <w:pitch w:val="default"/>
    <w:sig w:usb0="00000000" w:usb1="00000000" w:usb2="00000000" w:usb3="00000000" w:csb0="6000009F" w:csb1="DFD7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ind w:firstLine="360"/>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7"/>
                      <w:ind w:firstLine="360"/>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9E9169"/>
    <w:multiLevelType w:val="singleLevel"/>
    <w:tmpl w:val="4F9E916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975706"/>
    <w:rsid w:val="00034E93"/>
    <w:rsid w:val="00167E64"/>
    <w:rsid w:val="00173DD2"/>
    <w:rsid w:val="001F6BAA"/>
    <w:rsid w:val="002430D4"/>
    <w:rsid w:val="0030002A"/>
    <w:rsid w:val="00316A5C"/>
    <w:rsid w:val="00415DE6"/>
    <w:rsid w:val="005056E7"/>
    <w:rsid w:val="00595A10"/>
    <w:rsid w:val="006A4872"/>
    <w:rsid w:val="0073005C"/>
    <w:rsid w:val="00777628"/>
    <w:rsid w:val="00871234"/>
    <w:rsid w:val="008A5D4D"/>
    <w:rsid w:val="008C0896"/>
    <w:rsid w:val="00975706"/>
    <w:rsid w:val="00996A8F"/>
    <w:rsid w:val="00AB0E82"/>
    <w:rsid w:val="00DF6741"/>
    <w:rsid w:val="00EB097C"/>
    <w:rsid w:val="00FD039F"/>
    <w:rsid w:val="012352D1"/>
    <w:rsid w:val="050B61A1"/>
    <w:rsid w:val="051D1C26"/>
    <w:rsid w:val="1F7BF06F"/>
    <w:rsid w:val="1FEE4B73"/>
    <w:rsid w:val="23CE9849"/>
    <w:rsid w:val="377F0C39"/>
    <w:rsid w:val="39F304DD"/>
    <w:rsid w:val="54244390"/>
    <w:rsid w:val="54662A63"/>
    <w:rsid w:val="58064E12"/>
    <w:rsid w:val="596B1ED7"/>
    <w:rsid w:val="5BFEE015"/>
    <w:rsid w:val="63EDCF55"/>
    <w:rsid w:val="63FBFBCF"/>
    <w:rsid w:val="669360FD"/>
    <w:rsid w:val="68FF6A83"/>
    <w:rsid w:val="6EB240CA"/>
    <w:rsid w:val="6FBBC9CF"/>
    <w:rsid w:val="72BDE561"/>
    <w:rsid w:val="73187BEE"/>
    <w:rsid w:val="78462278"/>
    <w:rsid w:val="7997EA6C"/>
    <w:rsid w:val="7AEAE675"/>
    <w:rsid w:val="7B02228A"/>
    <w:rsid w:val="7BAFCE5D"/>
    <w:rsid w:val="7C523723"/>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semiHidden="0" w:name="toc 1"/>
    <w:lsdException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spacing w:line="576" w:lineRule="exact"/>
      <w:ind w:firstLine="640" w:firstLineChars="200"/>
      <w:jc w:val="both"/>
    </w:pPr>
    <w:rPr>
      <w:rFonts w:ascii="仿宋" w:hAnsi="仿宋" w:eastAsia="仿宋" w:cs="Times New Roman"/>
      <w:kern w:val="2"/>
      <w:sz w:val="32"/>
      <w:szCs w:val="32"/>
      <w:lang w:val="en-US" w:eastAsia="zh-CN" w:bidi="ar-SA"/>
    </w:rPr>
  </w:style>
  <w:style w:type="paragraph" w:styleId="2">
    <w:name w:val="heading 1"/>
    <w:basedOn w:val="1"/>
    <w:next w:val="1"/>
    <w:link w:val="20"/>
    <w:qFormat/>
    <w:uiPriority w:val="0"/>
    <w:pPr>
      <w:keepNext/>
      <w:keepLines/>
      <w:spacing w:before="340" w:after="330" w:line="578" w:lineRule="atLeast"/>
      <w:outlineLvl w:val="0"/>
    </w:pPr>
    <w:rPr>
      <w:b/>
      <w:bCs/>
      <w:kern w:val="44"/>
      <w:sz w:val="44"/>
      <w:szCs w:val="44"/>
    </w:rPr>
  </w:style>
  <w:style w:type="paragraph" w:styleId="3">
    <w:name w:val="heading 2"/>
    <w:basedOn w:val="1"/>
    <w:next w:val="1"/>
    <w:link w:val="22"/>
    <w:autoRedefine/>
    <w:semiHidden/>
    <w:unhideWhenUsed/>
    <w:qFormat/>
    <w:uiPriority w:val="0"/>
    <w:pPr>
      <w:keepNext/>
      <w:keepLines/>
      <w:spacing w:before="260" w:after="260" w:line="416" w:lineRule="atLeast"/>
      <w:outlineLvl w:val="1"/>
    </w:pPr>
    <w:rPr>
      <w:rFonts w:asciiTheme="majorHAnsi" w:hAnsiTheme="majorHAnsi" w:eastAsiaTheme="majorEastAsia" w:cstheme="majorBidi"/>
      <w:b/>
      <w:bCs/>
    </w:rPr>
  </w:style>
  <w:style w:type="character" w:default="1" w:styleId="14">
    <w:name w:val="Default Paragraph Font"/>
    <w:semiHidden/>
    <w:unhideWhenUsed/>
    <w:qFormat/>
    <w:uiPriority w:val="1"/>
  </w:style>
  <w:style w:type="table" w:default="1" w:styleId="13">
    <w:name w:val="Normal Table"/>
    <w:autoRedefine/>
    <w:semiHidden/>
    <w:unhideWhenUsed/>
    <w:uiPriority w:val="99"/>
    <w:tblPr>
      <w:tblCellMar>
        <w:top w:w="0" w:type="dxa"/>
        <w:left w:w="108" w:type="dxa"/>
        <w:bottom w:w="0" w:type="dxa"/>
        <w:right w:w="108" w:type="dxa"/>
      </w:tblCellMar>
    </w:tblPr>
  </w:style>
  <w:style w:type="paragraph" w:styleId="4">
    <w:name w:val="caption"/>
    <w:basedOn w:val="1"/>
    <w:next w:val="1"/>
    <w:qFormat/>
    <w:uiPriority w:val="0"/>
    <w:pPr>
      <w:suppressLineNumbers/>
      <w:spacing w:before="120" w:after="120"/>
    </w:pPr>
    <w:rPr>
      <w:i/>
      <w:iCs/>
      <w:sz w:val="24"/>
      <w:szCs w:val="24"/>
    </w:rPr>
  </w:style>
  <w:style w:type="paragraph" w:styleId="5">
    <w:name w:val="Body Text"/>
    <w:basedOn w:val="1"/>
    <w:qFormat/>
    <w:uiPriority w:val="0"/>
    <w:pPr>
      <w:spacing w:after="140" w:line="276" w:lineRule="auto"/>
    </w:pPr>
  </w:style>
  <w:style w:type="paragraph" w:styleId="6">
    <w:name w:val="toc 3"/>
    <w:basedOn w:val="1"/>
    <w:next w:val="1"/>
    <w:unhideWhenUsed/>
    <w:qFormat/>
    <w:uiPriority w:val="39"/>
    <w:pPr>
      <w:widowControl/>
      <w:suppressAutoHyphens w:val="0"/>
      <w:spacing w:after="100" w:line="259" w:lineRule="auto"/>
      <w:ind w:left="440" w:firstLine="0" w:firstLineChars="0"/>
      <w:jc w:val="left"/>
    </w:pPr>
    <w:rPr>
      <w:rFonts w:asciiTheme="minorHAnsi" w:hAnsiTheme="minorHAnsi" w:eastAsiaTheme="minorEastAsia"/>
      <w:kern w:val="0"/>
      <w:sz w:val="22"/>
      <w:szCs w:val="2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9">
    <w:name w:val="toc 1"/>
    <w:basedOn w:val="1"/>
    <w:next w:val="1"/>
    <w:autoRedefine/>
    <w:unhideWhenUsed/>
    <w:uiPriority w:val="39"/>
    <w:pPr>
      <w:widowControl/>
      <w:suppressAutoHyphens w:val="0"/>
      <w:spacing w:after="100" w:line="259" w:lineRule="auto"/>
      <w:ind w:firstLine="0" w:firstLineChars="0"/>
      <w:jc w:val="left"/>
    </w:pPr>
    <w:rPr>
      <w:rFonts w:asciiTheme="minorHAnsi" w:hAnsiTheme="minorHAnsi" w:eastAsiaTheme="minorEastAsia"/>
      <w:kern w:val="0"/>
      <w:sz w:val="22"/>
      <w:szCs w:val="22"/>
    </w:rPr>
  </w:style>
  <w:style w:type="paragraph" w:styleId="10">
    <w:name w:val="List"/>
    <w:basedOn w:val="5"/>
    <w:qFormat/>
    <w:uiPriority w:val="0"/>
  </w:style>
  <w:style w:type="paragraph" w:styleId="11">
    <w:name w:val="toc 2"/>
    <w:basedOn w:val="1"/>
    <w:next w:val="1"/>
    <w:unhideWhenUsed/>
    <w:uiPriority w:val="39"/>
    <w:pPr>
      <w:widowControl/>
      <w:suppressAutoHyphens w:val="0"/>
      <w:spacing w:after="100" w:line="259" w:lineRule="auto"/>
      <w:ind w:left="220" w:firstLine="0" w:firstLineChars="0"/>
      <w:jc w:val="left"/>
    </w:pPr>
    <w:rPr>
      <w:rFonts w:asciiTheme="minorHAnsi" w:hAnsiTheme="minorHAnsi" w:eastAsiaTheme="minorEastAsia"/>
      <w:kern w:val="0"/>
      <w:sz w:val="22"/>
      <w:szCs w:val="22"/>
    </w:rPr>
  </w:style>
  <w:style w:type="paragraph" w:styleId="12">
    <w:name w:val="Normal (Web)"/>
    <w:basedOn w:val="1"/>
    <w:autoRedefine/>
    <w:qFormat/>
    <w:uiPriority w:val="0"/>
    <w:rPr>
      <w:sz w:val="24"/>
    </w:rPr>
  </w:style>
  <w:style w:type="character" w:styleId="15">
    <w:name w:val="Hyperlink"/>
    <w:basedOn w:val="14"/>
    <w:autoRedefine/>
    <w:unhideWhenUsed/>
    <w:qFormat/>
    <w:uiPriority w:val="99"/>
    <w:rPr>
      <w:color w:val="0000FF" w:themeColor="hyperlink"/>
      <w:u w:val="single"/>
      <w14:textFill>
        <w14:solidFill>
          <w14:schemeClr w14:val="hlink"/>
        </w14:solidFill>
      </w14:textFill>
    </w:rPr>
  </w:style>
  <w:style w:type="character" w:customStyle="1" w:styleId="16">
    <w:name w:val="默认段落字体1"/>
    <w:autoRedefine/>
    <w:qFormat/>
    <w:uiPriority w:val="0"/>
  </w:style>
  <w:style w:type="paragraph" w:customStyle="1" w:styleId="17">
    <w:name w:val="Heading"/>
    <w:basedOn w:val="1"/>
    <w:next w:val="5"/>
    <w:autoRedefine/>
    <w:qFormat/>
    <w:uiPriority w:val="0"/>
    <w:pPr>
      <w:keepNext/>
      <w:spacing w:before="240" w:after="120"/>
    </w:pPr>
    <w:rPr>
      <w:rFonts w:ascii="Liberation Sans" w:hAnsi="Liberation Sans" w:eastAsia="Noto Sans CJK SC Regular" w:cs="Noto Sans CJK SC Regular"/>
      <w:sz w:val="28"/>
      <w:szCs w:val="28"/>
    </w:rPr>
  </w:style>
  <w:style w:type="paragraph" w:customStyle="1" w:styleId="18">
    <w:name w:val="Index"/>
    <w:basedOn w:val="1"/>
    <w:autoRedefine/>
    <w:qFormat/>
    <w:uiPriority w:val="0"/>
    <w:pPr>
      <w:suppressLineNumbers/>
    </w:pPr>
  </w:style>
  <w:style w:type="paragraph" w:styleId="19">
    <w:name w:val="List Paragraph"/>
    <w:basedOn w:val="1"/>
    <w:autoRedefine/>
    <w:unhideWhenUsed/>
    <w:qFormat/>
    <w:uiPriority w:val="99"/>
    <w:pPr>
      <w:ind w:firstLine="420"/>
    </w:pPr>
  </w:style>
  <w:style w:type="character" w:customStyle="1" w:styleId="20">
    <w:name w:val="标题 1 字符"/>
    <w:basedOn w:val="14"/>
    <w:link w:val="2"/>
    <w:autoRedefine/>
    <w:qFormat/>
    <w:uiPriority w:val="0"/>
    <w:rPr>
      <w:rFonts w:ascii="仿宋" w:hAnsi="仿宋" w:eastAsia="仿宋"/>
      <w:b/>
      <w:bCs/>
      <w:kern w:val="44"/>
      <w:sz w:val="44"/>
      <w:szCs w:val="44"/>
    </w:rPr>
  </w:style>
  <w:style w:type="paragraph" w:customStyle="1" w:styleId="21">
    <w:name w:val="TOC Heading"/>
    <w:basedOn w:val="2"/>
    <w:next w:val="1"/>
    <w:unhideWhenUsed/>
    <w:qFormat/>
    <w:uiPriority w:val="39"/>
    <w:pPr>
      <w:widowControl/>
      <w:suppressAutoHyphens w:val="0"/>
      <w:spacing w:before="240" w:after="0" w:line="259" w:lineRule="auto"/>
      <w:ind w:firstLine="0" w:firstLineChars="0"/>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2">
    <w:name w:val="标题 2 字符"/>
    <w:basedOn w:val="14"/>
    <w:link w:val="3"/>
    <w:semiHidden/>
    <w:uiPriority w:val="0"/>
    <w:rPr>
      <w:rFonts w:asciiTheme="majorHAnsi" w:hAnsiTheme="majorHAnsi" w:eastAsiaTheme="majorEastAsia" w:cstheme="majorBidi"/>
      <w:b/>
      <w:bCs/>
      <w:kern w:val="2"/>
      <w:sz w:val="32"/>
      <w:szCs w:val="32"/>
    </w:rPr>
  </w:style>
  <w:style w:type="paragraph" w:customStyle="1" w:styleId="23">
    <w:name w:val="WPSOffice手动目录 2"/>
    <w:uiPriority w:val="0"/>
    <w:pPr>
      <w:ind w:leftChars="200"/>
    </w:pPr>
    <w:rPr>
      <w:rFonts w:ascii="Times New Roman" w:hAnsi="Times New Roman" w:eastAsia="宋体" w:cs="Times New Roman"/>
      <w:sz w:val="20"/>
      <w:szCs w:val="20"/>
    </w:rPr>
  </w:style>
  <w:style w:type="paragraph" w:customStyle="1" w:styleId="24">
    <w:name w:val="WPSOffice手动目录 1"/>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0472A6-1D23-4350-8A4C-1B5B6C284E64}">
  <ds:schemaRefs/>
</ds:datastoreItem>
</file>

<file path=docProps/app.xml><?xml version="1.0" encoding="utf-8"?>
<Properties xmlns="http://schemas.openxmlformats.org/officeDocument/2006/extended-properties" xmlns:vt="http://schemas.openxmlformats.org/officeDocument/2006/docPropsVTypes">
  <Template>Normal.dotm</Template>
  <Pages>1</Pages>
  <Words>539</Words>
  <Characters>3073</Characters>
  <Lines>25</Lines>
  <Paragraphs>7</Paragraphs>
  <TotalTime>3</TotalTime>
  <ScaleCrop>false</ScaleCrop>
  <LinksUpToDate>false</LinksUpToDate>
  <CharactersWithSpaces>3605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2024-04-09T07:17:46Z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