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960"/>
      <w:bookmarkStart w:id="1" w:name="_Toc4700"/>
      <w:bookmarkStart w:id="2" w:name="_Toc2063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广元市昭化区太公初级中学</w:t>
      </w:r>
      <w:bookmarkEnd w:id="0"/>
      <w:bookmarkEnd w:id="1"/>
      <w:bookmarkEnd w:id="2"/>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hint="eastAsia" w:ascii="仿宋" w:hAnsi="仿宋" w:eastAsia="仿宋" w:cs="仿宋"/>
          <w:color w:val="auto"/>
          <w:kern w:val="2"/>
          <w:sz w:val="32"/>
          <w:szCs w:val="32"/>
          <w:lang w:val="en-US" w:eastAsia="zh-CN" w:bidi="ar-SA"/>
        </w:rPr>
        <w:id w:val="147451269"/>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_Toc14877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_Toc14877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_Toc25763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_Toc25763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_Toc28472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_Toc28472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_Toc21306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二、 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_Toc21306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_Toc31019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三、 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_Toc31019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_Toc29765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 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_Toc29765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_Toc291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 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_Toc291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_Toc20794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四、 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_Toc20794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_Toc26964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五、 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_Toc26964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_Toc664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 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_Toc664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_Toc25091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 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_Toc25091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_Toc4688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 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_Toc4688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_Toc25905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六、 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_Toc25905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_Toc4835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七、 “三公”经费财政拨款预算安排情况说明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_Toc4835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_Toc6478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八、 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_Toc6478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_Toc28711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九、 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_Toc28711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_Toc2966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 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_Toc2966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8"/>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_Toc20438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十一、 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_Toc20438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13</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9"/>
            <w:tabs>
              <w:tab w:val="right" w:leader="dot" w:pos="8845"/>
            </w:tabs>
            <w:rPr>
              <w:rFonts w:hint="eastAsia" w:ascii="仿宋" w:hAnsi="仿宋" w:eastAsia="仿宋" w:cs="仿宋"/>
              <w:sz w:val="32"/>
              <w:szCs w:val="32"/>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sdtContent>
    </w:sdt>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 w:name="_Toc14877"/>
      <w:bookmarkStart w:id="4" w:name="_Toc21899"/>
      <w:r>
        <w:rPr>
          <w:rStyle w:val="21"/>
          <w:rFonts w:hint="eastAsia"/>
          <w:lang w:val="en-US" w:eastAsia="zh-CN"/>
        </w:rPr>
        <w:t>一、基本职能及主要工作</w:t>
      </w:r>
      <w:bookmarkEnd w:id="3"/>
      <w:bookmarkEnd w:id="4"/>
    </w:p>
    <w:p>
      <w:pPr>
        <w:pStyle w:val="3"/>
        <w:bidi w:val="0"/>
        <w:rPr>
          <w:rFonts w:hint="eastAsia"/>
        </w:rPr>
      </w:pPr>
      <w:bookmarkStart w:id="5" w:name="_Toc25763"/>
      <w:r>
        <w:rPr>
          <w:rFonts w:hint="eastAsia"/>
        </w:rPr>
        <w:t>（一）</w:t>
      </w:r>
      <w:r>
        <w:rPr>
          <w:rFonts w:hint="eastAsia"/>
          <w:lang w:val="en-US" w:eastAsia="zh-CN"/>
        </w:rPr>
        <w:t>单位</w:t>
      </w:r>
      <w:r>
        <w:rPr>
          <w:rFonts w:hint="eastAsia"/>
        </w:rPr>
        <w:t>职能简介</w:t>
      </w:r>
      <w:bookmarkEnd w:id="5"/>
      <w:bookmarkStart w:id="6" w:name="_Toc114927350"/>
      <w:bookmarkStart w:id="7" w:name="_Toc114927157"/>
      <w:bookmarkStart w:id="8" w:name="_Toc114927197"/>
      <w:bookmarkStart w:id="9" w:name="_Toc2137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 w:hAnsi="仿宋" w:eastAsia="仿宋"/>
          <w:kern w:val="2"/>
          <w:sz w:val="32"/>
          <w:szCs w:val="32"/>
        </w:rPr>
      </w:pPr>
      <w:r>
        <w:rPr>
          <w:rFonts w:hint="eastAsia" w:ascii="仿宋" w:hAnsi="仿宋" w:eastAsia="仿宋"/>
          <w:kern w:val="2"/>
          <w:sz w:val="32"/>
          <w:szCs w:val="32"/>
        </w:rPr>
        <w:t>1.</w:t>
      </w:r>
      <w:r>
        <w:rPr>
          <w:rFonts w:ascii="仿宋" w:hAnsi="仿宋" w:eastAsia="仿宋"/>
          <w:kern w:val="2"/>
          <w:sz w:val="32"/>
          <w:szCs w:val="32"/>
        </w:rPr>
        <w:t>宣传贯彻执行党和国家的教育方针、教育政策、教育法律和法规，贯彻执行上级教育行政部门的各项规章制度。</w:t>
      </w:r>
      <w:bookmarkEnd w:id="6"/>
      <w:bookmarkEnd w:id="7"/>
      <w:bookmarkEnd w:id="8"/>
      <w:bookmarkEnd w:id="9"/>
    </w:p>
    <w:p>
      <w:pPr>
        <w:pStyle w:val="5"/>
        <w:adjustRightInd w:val="0"/>
        <w:spacing w:beforeLines="0" w:line="500" w:lineRule="exact"/>
        <w:ind w:firstLine="640" w:firstLineChars="200"/>
        <w:outlineLvl w:val="2"/>
        <w:rPr>
          <w:rFonts w:hint="eastAsia" w:ascii="仿宋" w:hAnsi="仿宋" w:eastAsia="仿宋"/>
          <w:kern w:val="2"/>
          <w:sz w:val="32"/>
          <w:szCs w:val="32"/>
        </w:rPr>
      </w:pPr>
      <w:bookmarkStart w:id="10" w:name="_Toc16802"/>
      <w:bookmarkStart w:id="11" w:name="_Toc114927158"/>
      <w:bookmarkStart w:id="12" w:name="_Toc114927198"/>
      <w:bookmarkStart w:id="13" w:name="_Toc114927351"/>
      <w:r>
        <w:rPr>
          <w:rFonts w:hint="eastAsia" w:ascii="仿宋" w:hAnsi="仿宋" w:eastAsia="仿宋"/>
          <w:kern w:val="2"/>
          <w:sz w:val="32"/>
          <w:szCs w:val="32"/>
        </w:rPr>
        <w:t>2.用科学的发展观指导教育教学工作。加强教育科研工作，推动校本教育的健康发展。加强教学管理，不断推进新课程改革，全面提高教学质量。</w:t>
      </w:r>
      <w:bookmarkEnd w:id="10"/>
      <w:bookmarkEnd w:id="11"/>
      <w:bookmarkEnd w:id="12"/>
      <w:bookmarkEnd w:id="13"/>
    </w:p>
    <w:p>
      <w:pPr>
        <w:pStyle w:val="5"/>
        <w:adjustRightInd w:val="0"/>
        <w:spacing w:beforeLines="0" w:line="500" w:lineRule="exact"/>
        <w:ind w:firstLine="640" w:firstLineChars="200"/>
        <w:outlineLvl w:val="2"/>
        <w:rPr>
          <w:rFonts w:hint="eastAsia" w:ascii="仿宋" w:hAnsi="仿宋" w:eastAsia="仿宋"/>
          <w:kern w:val="2"/>
          <w:sz w:val="32"/>
          <w:szCs w:val="32"/>
        </w:rPr>
      </w:pPr>
      <w:bookmarkStart w:id="14" w:name="_Toc114927159"/>
      <w:bookmarkStart w:id="15" w:name="_Toc114927352"/>
      <w:bookmarkStart w:id="16" w:name="_Toc17394"/>
      <w:bookmarkStart w:id="17" w:name="_Toc114927199"/>
      <w:r>
        <w:rPr>
          <w:rFonts w:hint="eastAsia" w:ascii="仿宋" w:hAnsi="仿宋" w:eastAsia="仿宋"/>
          <w:kern w:val="2"/>
          <w:sz w:val="32"/>
          <w:szCs w:val="32"/>
        </w:rPr>
        <w:t>3.</w:t>
      </w:r>
      <w:r>
        <w:rPr>
          <w:rFonts w:ascii="仿宋" w:hAnsi="仿宋" w:eastAsia="仿宋"/>
          <w:kern w:val="2"/>
          <w:sz w:val="32"/>
          <w:szCs w:val="32"/>
        </w:rPr>
        <w:t>按照九年义务教育课程计划，开齐课程，开足课时，认真实施中小学的教育教学管理，全面推进素质教育，全面提高教育教学质量</w:t>
      </w:r>
      <w:r>
        <w:rPr>
          <w:rFonts w:hint="eastAsia" w:ascii="仿宋" w:hAnsi="仿宋" w:eastAsia="仿宋"/>
          <w:kern w:val="2"/>
          <w:sz w:val="32"/>
          <w:szCs w:val="32"/>
        </w:rPr>
        <w:t>。</w:t>
      </w:r>
      <w:bookmarkEnd w:id="14"/>
      <w:bookmarkEnd w:id="15"/>
      <w:bookmarkEnd w:id="16"/>
      <w:bookmarkEnd w:id="17"/>
    </w:p>
    <w:p>
      <w:pPr>
        <w:pStyle w:val="5"/>
        <w:adjustRightInd w:val="0"/>
        <w:spacing w:beforeLines="0" w:line="500" w:lineRule="exact"/>
        <w:ind w:firstLine="640" w:firstLineChars="200"/>
        <w:outlineLvl w:val="1"/>
        <w:rPr>
          <w:rFonts w:hint="eastAsia" w:ascii="仿宋" w:hAnsi="仿宋" w:eastAsia="仿宋"/>
          <w:kern w:val="2"/>
          <w:sz w:val="32"/>
          <w:szCs w:val="32"/>
        </w:rPr>
      </w:pPr>
      <w:bookmarkStart w:id="18" w:name="_Toc11473"/>
      <w:bookmarkStart w:id="19" w:name="_Toc114927160"/>
      <w:bookmarkStart w:id="20" w:name="_Toc114927200"/>
      <w:bookmarkStart w:id="21" w:name="_Toc2215"/>
      <w:bookmarkStart w:id="22" w:name="_Toc114927353"/>
      <w:r>
        <w:rPr>
          <w:rFonts w:hint="eastAsia" w:ascii="仿宋" w:hAnsi="仿宋" w:eastAsia="仿宋"/>
          <w:kern w:val="2"/>
          <w:sz w:val="32"/>
          <w:szCs w:val="32"/>
        </w:rPr>
        <w:t>4.继续深化人事制度改革，完善学校内部管理，做好后勤保障工作。</w:t>
      </w:r>
      <w:bookmarkEnd w:id="18"/>
      <w:bookmarkEnd w:id="19"/>
      <w:bookmarkEnd w:id="20"/>
      <w:bookmarkEnd w:id="21"/>
      <w:bookmarkEnd w:id="22"/>
    </w:p>
    <w:p>
      <w:pPr>
        <w:pStyle w:val="5"/>
        <w:adjustRightInd w:val="0"/>
        <w:spacing w:beforeLines="0" w:line="500" w:lineRule="exact"/>
        <w:ind w:firstLine="640" w:firstLineChars="200"/>
        <w:outlineLvl w:val="1"/>
        <w:rPr>
          <w:rFonts w:hint="eastAsia" w:ascii="仿宋" w:hAnsi="仿宋" w:eastAsia="仿宋"/>
          <w:kern w:val="2"/>
          <w:sz w:val="32"/>
          <w:szCs w:val="32"/>
        </w:rPr>
      </w:pPr>
      <w:bookmarkStart w:id="23" w:name="_Toc114927161"/>
      <w:bookmarkStart w:id="24" w:name="_Toc114927354"/>
      <w:bookmarkStart w:id="25" w:name="_Toc5298"/>
      <w:bookmarkStart w:id="26" w:name="_Toc459"/>
      <w:bookmarkStart w:id="27" w:name="_Toc114927201"/>
      <w:r>
        <w:rPr>
          <w:rFonts w:hint="eastAsia" w:ascii="仿宋" w:hAnsi="仿宋" w:eastAsia="仿宋"/>
          <w:kern w:val="2"/>
          <w:sz w:val="32"/>
          <w:szCs w:val="32"/>
        </w:rPr>
        <w:t>5.负责科学管理、合理使用学校的设施和经费，并积极筹措资金，改善办学条件。</w:t>
      </w:r>
      <w:bookmarkEnd w:id="23"/>
      <w:bookmarkEnd w:id="24"/>
      <w:bookmarkEnd w:id="25"/>
      <w:bookmarkEnd w:id="26"/>
      <w:bookmarkEnd w:id="27"/>
    </w:p>
    <w:p>
      <w:pPr>
        <w:pStyle w:val="5"/>
        <w:adjustRightInd w:val="0"/>
        <w:spacing w:beforeLines="0" w:line="500" w:lineRule="exact"/>
        <w:ind w:firstLine="640" w:firstLineChars="200"/>
        <w:outlineLvl w:val="2"/>
        <w:rPr>
          <w:rFonts w:hint="eastAsia" w:ascii="仿宋" w:hAnsi="仿宋" w:eastAsia="仿宋"/>
          <w:kern w:val="2"/>
          <w:sz w:val="32"/>
          <w:szCs w:val="32"/>
        </w:rPr>
      </w:pPr>
      <w:bookmarkStart w:id="28" w:name="_Toc520"/>
      <w:bookmarkStart w:id="29" w:name="_Toc114927202"/>
      <w:bookmarkStart w:id="30" w:name="_Toc114927162"/>
      <w:bookmarkStart w:id="31" w:name="_Toc114927355"/>
      <w:r>
        <w:rPr>
          <w:rFonts w:hint="eastAsia" w:ascii="仿宋" w:hAnsi="仿宋" w:eastAsia="仿宋"/>
          <w:kern w:val="2"/>
          <w:sz w:val="32"/>
          <w:szCs w:val="32"/>
        </w:rPr>
        <w:t>6.负责维护学校、师生的合法权益，有权拒绝任何组织和个人对教育教学活动进行非法干扰。</w:t>
      </w:r>
      <w:bookmarkEnd w:id="28"/>
      <w:bookmarkEnd w:id="29"/>
      <w:bookmarkEnd w:id="30"/>
      <w:bookmarkEnd w:id="31"/>
    </w:p>
    <w:p>
      <w:pPr>
        <w:pStyle w:val="5"/>
        <w:adjustRightInd w:val="0"/>
        <w:spacing w:beforeLines="0" w:line="500" w:lineRule="exact"/>
        <w:ind w:firstLine="640" w:firstLineChars="200"/>
        <w:outlineLvl w:val="1"/>
        <w:rPr>
          <w:rFonts w:hint="eastAsia" w:ascii="仿宋" w:hAnsi="仿宋" w:eastAsia="仿宋"/>
          <w:kern w:val="2"/>
          <w:sz w:val="32"/>
          <w:szCs w:val="32"/>
        </w:rPr>
      </w:pPr>
      <w:bookmarkStart w:id="32" w:name="_Toc114927163"/>
      <w:bookmarkStart w:id="33" w:name="_Toc5316"/>
      <w:bookmarkStart w:id="34" w:name="_Toc14848"/>
      <w:bookmarkStart w:id="35" w:name="_Toc114927356"/>
      <w:bookmarkStart w:id="36" w:name="_Toc114927203"/>
      <w:r>
        <w:rPr>
          <w:rFonts w:hint="eastAsia" w:ascii="仿宋" w:hAnsi="仿宋" w:eastAsia="仿宋"/>
          <w:kern w:val="2"/>
          <w:sz w:val="32"/>
          <w:szCs w:val="32"/>
        </w:rPr>
        <w:t>7.负责创建绿色校园、文明校园和平安校园。</w:t>
      </w:r>
      <w:bookmarkEnd w:id="32"/>
      <w:bookmarkEnd w:id="33"/>
      <w:bookmarkEnd w:id="34"/>
      <w:bookmarkEnd w:id="35"/>
      <w:bookmarkEnd w:id="36"/>
    </w:p>
    <w:p>
      <w:pPr>
        <w:pStyle w:val="5"/>
        <w:adjustRightInd w:val="0"/>
        <w:spacing w:beforeLines="0" w:line="500" w:lineRule="exact"/>
        <w:ind w:firstLine="640" w:firstLineChars="200"/>
        <w:outlineLvl w:val="1"/>
        <w:rPr>
          <w:rFonts w:hint="eastAsia" w:ascii="仿宋" w:hAnsi="仿宋" w:eastAsia="仿宋"/>
          <w:kern w:val="2"/>
          <w:sz w:val="32"/>
          <w:szCs w:val="32"/>
        </w:rPr>
      </w:pPr>
      <w:bookmarkStart w:id="37" w:name="_Toc13566"/>
      <w:bookmarkStart w:id="38" w:name="_Toc17058"/>
      <w:bookmarkStart w:id="39" w:name="_Toc114927164"/>
      <w:bookmarkStart w:id="40" w:name="_Toc114927357"/>
      <w:bookmarkStart w:id="41" w:name="_Toc114927204"/>
      <w:r>
        <w:rPr>
          <w:rFonts w:hint="eastAsia" w:ascii="仿宋" w:hAnsi="仿宋" w:eastAsia="仿宋"/>
          <w:kern w:val="2"/>
          <w:sz w:val="32"/>
          <w:szCs w:val="32"/>
        </w:rPr>
        <w:t>8.负责关心教职工生活，发挥教代会职能作用。</w:t>
      </w:r>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sz w:val="32"/>
          <w:szCs w:val="32"/>
        </w:rPr>
        <w:t>9.承办上级交办的其他事项。</w:t>
      </w:r>
    </w:p>
    <w:p>
      <w:pPr>
        <w:pStyle w:val="3"/>
        <w:bidi w:val="0"/>
        <w:rPr>
          <w:rFonts w:hint="eastAsia"/>
        </w:rPr>
      </w:pPr>
      <w:bookmarkStart w:id="42" w:name="_Toc28472"/>
      <w:r>
        <w:rPr>
          <w:rFonts w:hint="eastAsia"/>
        </w:rPr>
        <w:t>（二）</w:t>
      </w:r>
      <w:r>
        <w:rPr>
          <w:rFonts w:hint="eastAsia"/>
          <w:lang w:val="en-US" w:eastAsia="zh-CN"/>
        </w:rPr>
        <w:t>单位</w:t>
      </w:r>
      <w:r>
        <w:rPr>
          <w:rFonts w:hint="eastAsia"/>
          <w:lang w:val="en-US"/>
        </w:rPr>
        <w:t>2024</w:t>
      </w:r>
      <w:r>
        <w:rPr>
          <w:rFonts w:hint="eastAsia"/>
        </w:rPr>
        <w:t>年重点工作</w:t>
      </w:r>
      <w:bookmarkEnd w:id="42"/>
    </w:p>
    <w:p>
      <w:pPr>
        <w:keepNext w:val="0"/>
        <w:keepLines w:val="0"/>
        <w:pageBreakBefore w:val="0"/>
        <w:kinsoku/>
        <w:wordWrap/>
        <w:overflowPunct/>
        <w:topLinePunct w:val="0"/>
        <w:autoSpaceDE/>
        <w:autoSpaceDN/>
        <w:bidi w:val="0"/>
        <w:adjustRightInd/>
        <w:spacing w:line="576" w:lineRule="exact"/>
        <w:ind w:firstLine="960" w:firstLineChars="300"/>
        <w:textAlignment w:val="auto"/>
        <w:outlineLvl w:val="1"/>
        <w:rPr>
          <w:rFonts w:hint="eastAsia" w:ascii="仿宋" w:hAnsi="仿宋" w:eastAsia="仿宋" w:cs="仿宋"/>
          <w:b w:val="0"/>
          <w:bCs w:val="0"/>
          <w:sz w:val="32"/>
          <w:szCs w:val="32"/>
          <w:lang w:eastAsia="zh-CN"/>
        </w:rPr>
      </w:pPr>
      <w:bookmarkStart w:id="43" w:name="_Toc13446"/>
      <w:bookmarkStart w:id="44" w:name="_Toc17815"/>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党建</w:t>
      </w:r>
      <w:r>
        <w:rPr>
          <w:rFonts w:hint="eastAsia" w:ascii="仿宋" w:hAnsi="仿宋" w:eastAsia="仿宋" w:cs="仿宋"/>
          <w:b w:val="0"/>
          <w:bCs w:val="0"/>
          <w:sz w:val="32"/>
          <w:szCs w:val="32"/>
        </w:rPr>
        <w:t>工作</w:t>
      </w:r>
      <w:bookmarkEnd w:id="43"/>
      <w:bookmarkEnd w:id="44"/>
      <w:r>
        <w:rPr>
          <w:rFonts w:hint="eastAsia" w:ascii="仿宋" w:hAnsi="仿宋" w:eastAsia="仿宋" w:cs="仿宋"/>
          <w:b w:val="0"/>
          <w:bCs w:val="0"/>
          <w:sz w:val="32"/>
          <w:szCs w:val="32"/>
          <w:lang w:eastAsia="zh-CN"/>
        </w:rPr>
        <w:t>。</w:t>
      </w:r>
    </w:p>
    <w:p>
      <w:pPr>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党建指引方向，支部凝聚力量。落实党组织领导下的校长负责制；深入学习习近平新时代中国特色社会主义思想和总书记治国理政等重要论述；用党的旗帜、党的思想指引前进方向，用爱岗敬业夯实学校中心工作，汇聚一切力量为教育教学服务，引领学校发展再上新台阶。</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45" w:name="_Toc29193"/>
      <w:bookmarkStart w:id="46" w:name="_Toc6359"/>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教育教学工作</w:t>
      </w:r>
      <w:bookmarkEnd w:id="45"/>
      <w:bookmarkEnd w:id="46"/>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完善教学管理机制，使之规范化，制度化。</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&lt;2&gt;</w:t>
      </w:r>
      <w:r>
        <w:rPr>
          <w:rFonts w:hint="eastAsia" w:ascii="仿宋" w:hAnsi="仿宋" w:eastAsia="仿宋" w:cs="仿宋"/>
          <w:sz w:val="32"/>
          <w:szCs w:val="32"/>
        </w:rPr>
        <w:t>加强教学管理，落实教学常规</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突出九年级教学工作。抓好九年级毕业班工作，确保高质量地完成中考目标。</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&lt;4&gt;</w:t>
      </w:r>
      <w:r>
        <w:rPr>
          <w:rFonts w:hint="eastAsia" w:ascii="仿宋" w:hAnsi="仿宋" w:eastAsia="仿宋" w:cs="仿宋"/>
          <w:sz w:val="32"/>
          <w:szCs w:val="32"/>
        </w:rPr>
        <w:t>加大教学科研力度，促进教学质量提升</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切实加强学校体卫艺工作。</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&lt;6&gt;进一步深化浙江与昭化的东西部教育协作，深入学习浙江省启航中学的教育教学先进理念，拓宽我校教师教育教学视野，提升教育教学能力和水平。</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47" w:name="_Toc26073"/>
      <w:bookmarkStart w:id="48" w:name="_Toc21045"/>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德育工作</w:t>
      </w:r>
      <w:bookmarkEnd w:id="47"/>
      <w:bookmarkEnd w:id="48"/>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加强学生思政课教育，培养爱党爱国爱社会主义的接班人。</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加强德育队伍建设，培养一支德育工作队伍，尤其是班主任队伍。</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加强值周工作的管理、培训和考核，充分发挥自主管理委员会的作用，</w:t>
      </w:r>
      <w:r>
        <w:rPr>
          <w:rFonts w:hint="eastAsia" w:ascii="仿宋" w:hAnsi="仿宋" w:eastAsia="仿宋" w:cs="仿宋"/>
          <w:kern w:val="0"/>
          <w:sz w:val="32"/>
          <w:szCs w:val="32"/>
        </w:rPr>
        <w:t>强化日常行为规范教育，落实《中学生守则》《中学生日常行为规则（修订）》</w:t>
      </w:r>
      <w:r>
        <w:rPr>
          <w:rFonts w:hint="eastAsia" w:ascii="仿宋" w:hAnsi="仿宋" w:eastAsia="仿宋" w:cs="仿宋"/>
          <w:sz w:val="32"/>
          <w:szCs w:val="32"/>
        </w:rPr>
        <w:t>。</w:t>
      </w:r>
      <w:r>
        <w:rPr>
          <w:rFonts w:hint="eastAsia" w:ascii="仿宋" w:hAnsi="仿宋" w:eastAsia="仿宋" w:cs="仿宋"/>
          <w:kern w:val="0"/>
          <w:sz w:val="32"/>
          <w:szCs w:val="32"/>
        </w:rPr>
        <w:t>坚持每天检查通报，每周班级量化考核评比，纳入班主任绩效考核。</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积极开展感恩教育、养成教育、红色教育等为主体的德育教育活动，拓宽德育渠道，开展丰富多彩的德育活动，三年时间内修完德育课程。</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&lt;5&gt;严格落实音体美、实验教学、阅读等课程，广泛开展校园艺术兴趣活动，开展好学校课后延时服务活动。</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&lt;6&gt;</w:t>
      </w:r>
      <w:r>
        <w:rPr>
          <w:rFonts w:hint="eastAsia" w:ascii="仿宋" w:hAnsi="仿宋" w:eastAsia="仿宋" w:cs="仿宋"/>
          <w:kern w:val="0"/>
          <w:sz w:val="32"/>
          <w:szCs w:val="32"/>
        </w:rPr>
        <w:t>坚持健康第一，开展各类体育活动，保证每天一小时的锻炼时间，让学生健康快乐成长。</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lang w:eastAsia="zh-CN"/>
        </w:rPr>
      </w:pPr>
      <w:r>
        <w:rPr>
          <w:rFonts w:hint="eastAsia" w:ascii="仿宋" w:hAnsi="仿宋" w:eastAsia="仿宋" w:cs="仿宋"/>
          <w:sz w:val="32"/>
          <w:szCs w:val="32"/>
          <w:lang w:val="en-US" w:eastAsia="zh-CN"/>
        </w:rPr>
        <w:t>&lt;7&gt;</w:t>
      </w:r>
      <w:r>
        <w:rPr>
          <w:rFonts w:hint="eastAsia" w:ascii="仿宋" w:hAnsi="仿宋" w:eastAsia="仿宋" w:cs="仿宋"/>
          <w:kern w:val="0"/>
          <w:sz w:val="32"/>
          <w:szCs w:val="32"/>
        </w:rPr>
        <w:t>培养学生认知能力，促进思维发展。（培养观察事物的能力，发现问题的能力、解决问题的能力、协同合作的能力、归纳总结的能力）</w:t>
      </w:r>
      <w:r>
        <w:rPr>
          <w:rFonts w:hint="eastAsia" w:ascii="仿宋" w:hAnsi="仿宋" w:eastAsia="仿宋" w:cs="仿宋"/>
          <w:kern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&lt;8&gt;</w:t>
      </w:r>
      <w:r>
        <w:rPr>
          <w:rFonts w:hint="eastAsia" w:ascii="仿宋" w:hAnsi="仿宋" w:eastAsia="仿宋" w:cs="仿宋"/>
          <w:sz w:val="32"/>
          <w:szCs w:val="32"/>
        </w:rPr>
        <w:t>强化学校安全教育，构</w:t>
      </w:r>
      <w:r>
        <w:rPr>
          <w:rFonts w:hint="eastAsia" w:ascii="仿宋" w:hAnsi="仿宋" w:eastAsia="仿宋" w:cs="仿宋"/>
          <w:kern w:val="0"/>
          <w:sz w:val="32"/>
          <w:szCs w:val="32"/>
        </w:rPr>
        <w:t>建安全文明校园，</w:t>
      </w:r>
      <w:r>
        <w:rPr>
          <w:rFonts w:hint="eastAsia" w:ascii="仿宋" w:hAnsi="仿宋" w:eastAsia="仿宋" w:cs="仿宋"/>
          <w:sz w:val="32"/>
          <w:szCs w:val="32"/>
        </w:rPr>
        <w:t>确保安全责任零事故。</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&lt;9&gt;</w:t>
      </w:r>
      <w:r>
        <w:rPr>
          <w:rFonts w:hint="eastAsia" w:ascii="仿宋" w:hAnsi="仿宋" w:eastAsia="仿宋" w:cs="仿宋"/>
          <w:sz w:val="32"/>
          <w:szCs w:val="32"/>
        </w:rPr>
        <w:t>加强家校联系。</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&lt;10&gt;</w:t>
      </w:r>
      <w:r>
        <w:rPr>
          <w:rFonts w:hint="eastAsia" w:ascii="仿宋" w:hAnsi="仿宋" w:eastAsia="仿宋" w:cs="仿宋"/>
          <w:sz w:val="32"/>
          <w:szCs w:val="32"/>
        </w:rPr>
        <w:t>建好用好劳动实践基地，利用学校空地，组织学生开展劳动教育，让学生在劳动中成长。</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49" w:name="_Toc26852"/>
      <w:bookmarkStart w:id="50" w:name="_Toc25753"/>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安全工作</w:t>
      </w:r>
      <w:bookmarkEnd w:id="49"/>
      <w:bookmarkEnd w:id="50"/>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提高认识,加强领导</w:t>
      </w:r>
      <w:r>
        <w:rPr>
          <w:rFonts w:hint="eastAsia" w:ascii="仿宋" w:hAnsi="仿宋" w:eastAsia="仿宋" w:cs="仿宋"/>
          <w:sz w:val="32"/>
          <w:szCs w:val="32"/>
          <w:lang w:eastAsia="zh-CN"/>
        </w:rPr>
        <w:t>，</w:t>
      </w:r>
      <w:r>
        <w:rPr>
          <w:rFonts w:hint="eastAsia" w:ascii="仿宋" w:hAnsi="仿宋" w:eastAsia="仿宋" w:cs="仿宋"/>
          <w:sz w:val="32"/>
          <w:szCs w:val="32"/>
        </w:rPr>
        <w:t>落实安全责任。</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定期排查,消除安全隐患。</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建立健全制度,促进规范管理。</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rPr>
      </w:pPr>
      <w:bookmarkStart w:id="51" w:name="_Toc22978"/>
      <w:bookmarkStart w:id="52" w:name="_Toc10848"/>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改革创新方面。</w:t>
      </w:r>
      <w:bookmarkEnd w:id="51"/>
      <w:bookmarkEnd w:id="52"/>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加强教研组建设，完善备课组集体备课制度。</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着力课题研究，抓好市级课题的过程研究工作。</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积极组织教师参加各级各类教学大比武、教学研究、论文撰写、科技制作等活动。</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大力推进课堂改革，开发适合我校的教学模式，深入推进七年级生本教育。</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强教必先强师，继续实施好“青蓝工程”，提升教师专业化水平，培养“双师型”教师。</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认真</w:t>
      </w:r>
      <w:r>
        <w:rPr>
          <w:rFonts w:hint="eastAsia" w:ascii="仿宋" w:hAnsi="仿宋" w:eastAsia="仿宋" w:cs="仿宋"/>
          <w:sz w:val="32"/>
          <w:szCs w:val="32"/>
          <w:lang w:eastAsia="zh-CN"/>
        </w:rPr>
        <w:t>开展</w:t>
      </w:r>
      <w:r>
        <w:rPr>
          <w:rFonts w:hint="eastAsia" w:ascii="仿宋" w:hAnsi="仿宋" w:eastAsia="仿宋" w:cs="仿宋"/>
          <w:sz w:val="32"/>
          <w:szCs w:val="32"/>
        </w:rPr>
        <w:t>教研</w:t>
      </w:r>
      <w:r>
        <w:rPr>
          <w:rFonts w:hint="eastAsia" w:ascii="仿宋" w:hAnsi="仿宋" w:eastAsia="仿宋" w:cs="仿宋"/>
          <w:sz w:val="32"/>
          <w:szCs w:val="32"/>
          <w:lang w:eastAsia="zh-CN"/>
        </w:rPr>
        <w:t>活动</w:t>
      </w:r>
      <w:r>
        <w:rPr>
          <w:rFonts w:hint="eastAsia" w:ascii="仿宋" w:hAnsi="仿宋" w:eastAsia="仿宋" w:cs="仿宋"/>
          <w:sz w:val="32"/>
          <w:szCs w:val="32"/>
        </w:rPr>
        <w:t>，夯实过程，凸显教研效果。</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&lt;7&gt;</w:t>
      </w:r>
      <w:r>
        <w:rPr>
          <w:rFonts w:hint="eastAsia" w:ascii="仿宋" w:hAnsi="仿宋" w:eastAsia="仿宋" w:cs="仿宋"/>
          <w:sz w:val="32"/>
          <w:szCs w:val="32"/>
        </w:rPr>
        <w:t>按要求实施好区管校聘、职称评聘、绩效分配等改革事项，优化师资队伍，增强教师活力。</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&lt;8&gt;</w:t>
      </w:r>
      <w:r>
        <w:rPr>
          <w:rFonts w:hint="eastAsia" w:ascii="仿宋" w:hAnsi="仿宋" w:eastAsia="仿宋" w:cs="仿宋"/>
          <w:sz w:val="32"/>
          <w:szCs w:val="32"/>
        </w:rPr>
        <w:t>抓好学校特色亮点工作，尤其是乒乓球、篮球、足球示范校创建相关工作。</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&lt;9&gt;</w:t>
      </w:r>
      <w:r>
        <w:rPr>
          <w:rFonts w:hint="eastAsia" w:ascii="仿宋" w:hAnsi="仿宋" w:eastAsia="仿宋" w:cs="仿宋"/>
          <w:sz w:val="32"/>
          <w:szCs w:val="32"/>
        </w:rPr>
        <w:t>加强“名师工程”建设，用名班主任、名教师、骨干教师、师德标兵等骨干力量，带动学校教师奋力前行。</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53" w:name="_Toc24868"/>
      <w:bookmarkStart w:id="54" w:name="_Toc12441"/>
      <w:r>
        <w:rPr>
          <w:rFonts w:hint="eastAsia" w:ascii="仿宋" w:hAnsi="仿宋" w:eastAsia="仿宋" w:cs="仿宋"/>
          <w:b w:val="0"/>
          <w:bCs w:val="0"/>
          <w:sz w:val="32"/>
          <w:szCs w:val="32"/>
          <w:lang w:val="en-US" w:eastAsia="zh-CN"/>
        </w:rPr>
        <w:t>6、乡村振兴</w:t>
      </w:r>
      <w:r>
        <w:rPr>
          <w:rFonts w:hint="eastAsia" w:ascii="仿宋" w:hAnsi="仿宋" w:eastAsia="仿宋" w:cs="仿宋"/>
          <w:b w:val="0"/>
          <w:bCs w:val="0"/>
          <w:sz w:val="32"/>
          <w:szCs w:val="32"/>
        </w:rPr>
        <w:t>方面</w:t>
      </w:r>
      <w:bookmarkEnd w:id="53"/>
      <w:bookmarkEnd w:id="54"/>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&lt;1&gt;</w:t>
      </w:r>
      <w:r>
        <w:rPr>
          <w:rFonts w:hint="eastAsia" w:ascii="仿宋" w:hAnsi="仿宋" w:eastAsia="仿宋" w:cs="仿宋"/>
          <w:kern w:val="0"/>
          <w:sz w:val="32"/>
          <w:szCs w:val="32"/>
        </w:rPr>
        <w:t>继续做好“千名教师访万家”工作，积极开展教育扶贫政策宣传，让政策家喻户晓，深入人心。</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kern w:val="0"/>
          <w:sz w:val="32"/>
          <w:szCs w:val="32"/>
        </w:rPr>
        <w:t>落实师生结对工作，建好4本台账。</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kern w:val="0"/>
          <w:sz w:val="32"/>
          <w:szCs w:val="32"/>
        </w:rPr>
        <w:t>常态化开展送教上门工作。</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kern w:val="0"/>
          <w:sz w:val="32"/>
          <w:szCs w:val="32"/>
        </w:rPr>
        <w:t>控辍保学一个不少，资助救助一个不漏。</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color w:val="000000"/>
          <w:spacing w:val="20"/>
          <w:sz w:val="32"/>
          <w:szCs w:val="32"/>
        </w:rPr>
      </w:pPr>
      <w:r>
        <w:rPr>
          <w:rFonts w:hint="eastAsia" w:ascii="仿宋" w:hAnsi="仿宋" w:eastAsia="仿宋" w:cs="仿宋"/>
          <w:sz w:val="32"/>
          <w:szCs w:val="32"/>
          <w:lang w:val="en-US" w:eastAsia="zh-CN"/>
        </w:rPr>
        <w:t>&lt;5&gt;</w:t>
      </w:r>
      <w:r>
        <w:rPr>
          <w:rFonts w:hint="eastAsia" w:ascii="仿宋" w:hAnsi="仿宋" w:eastAsia="仿宋" w:cs="仿宋"/>
          <w:color w:val="000000"/>
          <w:spacing w:val="20"/>
          <w:sz w:val="32"/>
          <w:szCs w:val="32"/>
        </w:rPr>
        <w:t>继续落实“三免一补”政策。</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color w:val="000000"/>
          <w:spacing w:val="20"/>
          <w:sz w:val="32"/>
          <w:szCs w:val="32"/>
        </w:rPr>
      </w:pPr>
      <w:r>
        <w:rPr>
          <w:rFonts w:hint="eastAsia" w:ascii="仿宋" w:hAnsi="仿宋" w:eastAsia="仿宋" w:cs="仿宋"/>
          <w:sz w:val="32"/>
          <w:szCs w:val="32"/>
          <w:lang w:val="en-US" w:eastAsia="zh-CN"/>
        </w:rPr>
        <w:t>&lt;6&gt;</w:t>
      </w:r>
      <w:r>
        <w:rPr>
          <w:rFonts w:hint="eastAsia" w:ascii="仿宋" w:hAnsi="仿宋" w:eastAsia="仿宋" w:cs="仿宋"/>
          <w:color w:val="000000"/>
          <w:spacing w:val="20"/>
          <w:sz w:val="32"/>
          <w:szCs w:val="32"/>
        </w:rPr>
        <w:t>做好“教育扶贫日”捐赠工作。</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55" w:name="_Toc10604"/>
      <w:bookmarkStart w:id="56" w:name="_Toc26561"/>
      <w:r>
        <w:rPr>
          <w:rFonts w:hint="eastAsia" w:ascii="仿宋" w:hAnsi="仿宋" w:eastAsia="仿宋" w:cs="仿宋"/>
          <w:b w:val="0"/>
          <w:bCs w:val="0"/>
          <w:sz w:val="32"/>
          <w:szCs w:val="32"/>
          <w:lang w:val="en-US" w:eastAsia="zh-CN"/>
        </w:rPr>
        <w:t>7、</w:t>
      </w:r>
      <w:r>
        <w:rPr>
          <w:rFonts w:hint="eastAsia" w:ascii="仿宋" w:hAnsi="仿宋" w:eastAsia="仿宋" w:cs="仿宋"/>
          <w:b w:val="0"/>
          <w:bCs w:val="0"/>
          <w:sz w:val="32"/>
          <w:szCs w:val="32"/>
        </w:rPr>
        <w:t>工会及群团工作</w:t>
      </w:r>
      <w:bookmarkEnd w:id="55"/>
      <w:bookmarkEnd w:id="56"/>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用好教代会组织，依法维护好学校、教师的权益，协助学校支部、行政落实好工作部署。</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做好“老、弱、病、残、退”教师的关爱慰问工作，搞好教师的业余文化生活，关心年轻教师的生活。</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履行好监督职能，依法公开校务。</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宣传、落实党中央、团中央各项政策，引导学生拥护共产党，热爱祖国，感恩社会、感恩亲人、感恩老师。</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开展好各类促进身心健康发展的活动，特别是音、体、美劳、社会实践等活动。</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建立兴趣小组，全面提高学生素质。</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&lt;7&gt;</w:t>
      </w:r>
      <w:r>
        <w:rPr>
          <w:rFonts w:hint="eastAsia" w:ascii="仿宋" w:hAnsi="仿宋" w:eastAsia="仿宋" w:cs="仿宋"/>
          <w:sz w:val="32"/>
          <w:szCs w:val="32"/>
        </w:rPr>
        <w:t>办好学校春秋季运动会。积极参加各级运动会、艺术节。</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&lt;8&gt;</w:t>
      </w:r>
      <w:r>
        <w:rPr>
          <w:rFonts w:hint="eastAsia" w:ascii="仿宋" w:hAnsi="仿宋" w:eastAsia="仿宋" w:cs="仿宋"/>
          <w:sz w:val="32"/>
          <w:szCs w:val="32"/>
        </w:rPr>
        <w:t>把</w:t>
      </w:r>
      <w:r>
        <w:rPr>
          <w:rFonts w:hint="eastAsia" w:ascii="仿宋" w:hAnsi="仿宋" w:eastAsia="仿宋" w:cs="仿宋"/>
          <w:kern w:val="0"/>
          <w:sz w:val="32"/>
          <w:szCs w:val="32"/>
        </w:rPr>
        <w:t>升旗仪式办成“树理想、展风采、显文明、有活力”的德育课堂。</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57" w:name="_Toc18842"/>
      <w:bookmarkStart w:id="58" w:name="_Toc6620"/>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依法治校方面</w:t>
      </w:r>
      <w:bookmarkEnd w:id="57"/>
      <w:bookmarkEnd w:id="58"/>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napToGrid w:val="0"/>
        <w:spacing w:line="576"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bCs/>
          <w:sz w:val="32"/>
          <w:szCs w:val="32"/>
        </w:rPr>
        <w:t>依法治校是建设法治校园的重要途径，是保障学校、教师合法权益的重要手段。学校坚决履行国家、省、市、区关于教育的各种法律、</w:t>
      </w:r>
      <w:r>
        <w:rPr>
          <w:rFonts w:hint="eastAsia" w:ascii="仿宋" w:hAnsi="仿宋" w:eastAsia="仿宋" w:cs="仿宋"/>
          <w:bCs/>
          <w:sz w:val="32"/>
          <w:szCs w:val="32"/>
          <w:lang w:eastAsia="zh-CN"/>
        </w:rPr>
        <w:t>条例</w:t>
      </w:r>
      <w:r>
        <w:rPr>
          <w:rFonts w:hint="eastAsia" w:ascii="仿宋" w:hAnsi="仿宋" w:eastAsia="仿宋" w:cs="仿宋"/>
          <w:bCs/>
          <w:sz w:val="32"/>
          <w:szCs w:val="32"/>
        </w:rPr>
        <w:t>、规定；落实会前学法制度</w:t>
      </w:r>
      <w:r>
        <w:rPr>
          <w:rFonts w:hint="eastAsia" w:ascii="仿宋" w:hAnsi="仿宋" w:eastAsia="仿宋" w:cs="仿宋"/>
          <w:sz w:val="32"/>
          <w:szCs w:val="32"/>
        </w:rPr>
        <w:t>，</w:t>
      </w:r>
      <w:r>
        <w:rPr>
          <w:rFonts w:hint="eastAsia" w:ascii="仿宋" w:hAnsi="仿宋" w:eastAsia="仿宋" w:cs="仿宋"/>
          <w:bCs/>
          <w:sz w:val="32"/>
          <w:szCs w:val="32"/>
        </w:rPr>
        <w:t>加强师德师风建设和学生行为习惯养成教育；教导师生遵守社会公德和交往礼仪，引领社会新风气；严格执行中央八项规定和各项要求，廉洁从教，传播正能量，形成文明校园新风尚。</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用法律、法规、</w:t>
      </w:r>
      <w:r>
        <w:rPr>
          <w:rFonts w:hint="eastAsia" w:ascii="仿宋" w:hAnsi="仿宋" w:eastAsia="仿宋" w:cs="仿宋"/>
          <w:bCs/>
          <w:sz w:val="32"/>
          <w:szCs w:val="32"/>
          <w:lang w:eastAsia="zh-CN"/>
        </w:rPr>
        <w:t>条例</w:t>
      </w:r>
      <w:r>
        <w:rPr>
          <w:rFonts w:hint="eastAsia" w:ascii="仿宋" w:hAnsi="仿宋" w:eastAsia="仿宋" w:cs="仿宋"/>
          <w:sz w:val="32"/>
          <w:szCs w:val="32"/>
        </w:rPr>
        <w:t>、办法，规范办学行为，做到有法必依。</w:t>
      </w:r>
      <w:r>
        <w:rPr>
          <w:rFonts w:hint="eastAsia" w:ascii="仿宋" w:hAnsi="仿宋" w:eastAsia="仿宋" w:cs="仿宋"/>
          <w:b/>
          <w:bCs/>
          <w:sz w:val="32"/>
          <w:szCs w:val="32"/>
        </w:rPr>
        <w:t xml:space="preserve"> </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&lt;2&gt;</w:t>
      </w:r>
      <w:r>
        <w:rPr>
          <w:rFonts w:hint="eastAsia" w:ascii="仿宋" w:hAnsi="仿宋" w:eastAsia="仿宋" w:cs="仿宋"/>
          <w:bCs/>
          <w:sz w:val="32"/>
          <w:szCs w:val="32"/>
        </w:rPr>
        <w:t xml:space="preserve">推进“法律进校园”工作，坚持会前学法，依法办教育，营造风清气正的氛围。 </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&lt;3&gt;</w:t>
      </w:r>
      <w:r>
        <w:rPr>
          <w:rFonts w:hint="eastAsia" w:ascii="仿宋" w:hAnsi="仿宋" w:eastAsia="仿宋" w:cs="仿宋"/>
          <w:bCs/>
          <w:sz w:val="32"/>
          <w:szCs w:val="32"/>
        </w:rPr>
        <w:t xml:space="preserve">严格执行“三重一大”重大事项民主决策和支部审议制度。 </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&lt;4&gt;</w:t>
      </w:r>
      <w:r>
        <w:rPr>
          <w:rFonts w:hint="eastAsia" w:ascii="仿宋" w:hAnsi="仿宋" w:eastAsia="仿宋" w:cs="仿宋"/>
          <w:bCs/>
          <w:sz w:val="32"/>
          <w:szCs w:val="32"/>
        </w:rPr>
        <w:t>配合相关部门积极治理校园周边环境，营造良好育人氛围。</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&lt;5&gt;</w:t>
      </w:r>
      <w:r>
        <w:rPr>
          <w:rFonts w:hint="eastAsia" w:ascii="仿宋" w:hAnsi="仿宋" w:eastAsia="仿宋" w:cs="仿宋"/>
          <w:bCs/>
          <w:sz w:val="32"/>
          <w:szCs w:val="32"/>
        </w:rPr>
        <w:t>遵守中央八项规定，继续落实“作风纪律深化年”相关要求，远离红线，坚守底线，禁碰高压线。</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&lt;6&gt;</w:t>
      </w:r>
      <w:r>
        <w:rPr>
          <w:rFonts w:hint="eastAsia" w:ascii="仿宋" w:hAnsi="仿宋" w:eastAsia="仿宋" w:cs="仿宋"/>
          <w:bCs/>
          <w:sz w:val="32"/>
          <w:szCs w:val="32"/>
        </w:rPr>
        <w:t>杜绝有偿补课、微商、推销教辅等违禁行为。</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&lt;7&gt;</w:t>
      </w:r>
      <w:r>
        <w:rPr>
          <w:rFonts w:hint="eastAsia" w:ascii="仿宋" w:hAnsi="仿宋" w:eastAsia="仿宋" w:cs="仿宋"/>
          <w:bCs/>
          <w:sz w:val="32"/>
          <w:szCs w:val="32"/>
        </w:rPr>
        <w:t>关爱学生，良心从教，杜绝体罚、变相体罚等行为。</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59" w:name="_Toc8114"/>
      <w:bookmarkStart w:id="60" w:name="_Toc32516"/>
      <w:r>
        <w:rPr>
          <w:rFonts w:hint="eastAsia" w:ascii="仿宋" w:hAnsi="仿宋" w:eastAsia="仿宋" w:cs="仿宋"/>
          <w:b w:val="0"/>
          <w:bCs w:val="0"/>
          <w:sz w:val="32"/>
          <w:szCs w:val="32"/>
          <w:lang w:val="en-US" w:eastAsia="zh-CN"/>
        </w:rPr>
        <w:t>9、</w:t>
      </w:r>
      <w:r>
        <w:rPr>
          <w:rFonts w:hint="eastAsia" w:ascii="仿宋" w:hAnsi="仿宋" w:eastAsia="仿宋" w:cs="仿宋"/>
          <w:b w:val="0"/>
          <w:bCs w:val="0"/>
          <w:sz w:val="32"/>
          <w:szCs w:val="32"/>
        </w:rPr>
        <w:t>后勤管理</w:t>
      </w:r>
      <w:bookmarkEnd w:id="59"/>
      <w:bookmarkEnd w:id="60"/>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兵马未动，粮草先行。后勤工作是学校教育教学工作顺利实施的基础和保障，学校将进一步规范后勤管理，继续发扬“有求必应，不厌其烦”的服务宗旨。开源节流，按合法程序购物；加强食品安全卫生工作，积极预防流行疾病，确保师生身心饮食健康；规范财务管理，做好账务报表，坚持基建、购物等大事商议决策；定时开展</w:t>
      </w:r>
      <w:r>
        <w:rPr>
          <w:rFonts w:hint="eastAsia" w:ascii="仿宋" w:hAnsi="仿宋" w:eastAsia="仿宋" w:cs="仿宋"/>
          <w:kern w:val="0"/>
          <w:sz w:val="32"/>
          <w:szCs w:val="32"/>
          <w:lang w:eastAsia="zh-CN"/>
        </w:rPr>
        <w:t>教学</w:t>
      </w:r>
      <w:r>
        <w:rPr>
          <w:rFonts w:hint="eastAsia" w:ascii="仿宋" w:hAnsi="仿宋" w:eastAsia="仿宋" w:cs="仿宋"/>
          <w:kern w:val="0"/>
          <w:sz w:val="32"/>
          <w:szCs w:val="32"/>
        </w:rPr>
        <w:t>设备维护工作，保障教育教学顺利开展。</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&lt;1&gt;</w:t>
      </w:r>
      <w:r>
        <w:rPr>
          <w:rFonts w:hint="eastAsia" w:ascii="仿宋" w:hAnsi="仿宋" w:eastAsia="仿宋" w:cs="仿宋"/>
          <w:kern w:val="0"/>
          <w:sz w:val="32"/>
          <w:szCs w:val="32"/>
        </w:rPr>
        <w:t>树立后勤为教学服务的思想，吃苦耐劳，竭诚服务师生。</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kern w:val="0"/>
          <w:sz w:val="32"/>
          <w:szCs w:val="32"/>
        </w:rPr>
        <w:t>依法依规经营</w:t>
      </w:r>
      <w:r>
        <w:rPr>
          <w:rFonts w:hint="eastAsia" w:ascii="仿宋" w:hAnsi="仿宋" w:eastAsia="仿宋" w:cs="仿宋"/>
          <w:sz w:val="32"/>
          <w:szCs w:val="32"/>
        </w:rPr>
        <w:t>食堂，严格执行师生同餐、同价，零利润。</w:t>
      </w:r>
    </w:p>
    <w:p>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加强卫生工作，定期消杀，做好结核病、季节性传染病的防治工作，确保师生健康</w:t>
      </w:r>
      <w:r>
        <w:rPr>
          <w:rFonts w:hint="eastAsia" w:ascii="仿宋" w:hAnsi="仿宋" w:eastAsia="仿宋" w:cs="仿宋"/>
          <w:kern w:val="0"/>
          <w:sz w:val="32"/>
          <w:szCs w:val="32"/>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按教育局的要求实施原材料的采购，保质、保量、保价。</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开源节流，养成勤俭节约好习惯。</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大宗物品采购民主决策。</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&lt;7&gt;</w:t>
      </w:r>
      <w:r>
        <w:rPr>
          <w:rFonts w:hint="eastAsia" w:ascii="仿宋" w:hAnsi="仿宋" w:eastAsia="仿宋" w:cs="仿宋"/>
          <w:sz w:val="32"/>
          <w:szCs w:val="32"/>
        </w:rPr>
        <w:t>严格实施热水澡工程计划，让学生身心都温暖。</w:t>
      </w:r>
    </w:p>
    <w:p>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1"/>
        <w:rPr>
          <w:rFonts w:hint="eastAsia" w:ascii="仿宋" w:hAnsi="仿宋" w:eastAsia="仿宋" w:cs="仿宋"/>
          <w:b w:val="0"/>
          <w:bCs w:val="0"/>
          <w:sz w:val="32"/>
          <w:szCs w:val="32"/>
          <w:lang w:eastAsia="zh-CN"/>
        </w:rPr>
      </w:pPr>
      <w:bookmarkStart w:id="61" w:name="_Toc5782"/>
      <w:bookmarkStart w:id="62" w:name="_Toc21621"/>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特色发展</w:t>
      </w:r>
      <w:bookmarkEnd w:id="61"/>
      <w:bookmarkEnd w:id="62"/>
      <w:r>
        <w:rPr>
          <w:rFonts w:hint="eastAsia" w:ascii="仿宋" w:hAnsi="仿宋" w:eastAsia="仿宋" w:cs="仿宋"/>
          <w:b w:val="0"/>
          <w:bCs w:val="0"/>
          <w:sz w:val="32"/>
          <w:szCs w:val="32"/>
          <w:lang w:eastAsia="zh-CN"/>
        </w:rPr>
        <w:t>。</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深化“传统经典文化进校园活动”，有计划地让学生诵读传统经典名篇，并开展演讲、讲故事、朗诵等比赛。</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深化“文明礼仪伴我行”活动。把活动作为一种常态化的工作来抓，建立相关档案。实行每学期一表彰的制度。</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打造快乐大课间活动品牌，尽可能让所有学生在活动中获取自信，全面发展，感受幸福。</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坚持“优势求生存，特色求发展”的工作思路，组织开展“发扬红军精神，做时代新人”红色教育活动,活动,制定规划，扎实推进，全面提升学校文化内涵和学生素质。</w:t>
      </w:r>
    </w:p>
    <w:p>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校教育工作要认真落实教育局的要求，全面贯彻党的教育方针，坚持解放思想，科学谋划，强化管理，提高质量，切实把学校建成一个让人民满意的服务型、廉洁型、学习型、文明和谐型的校园，真正实现学校持续健康发展。</w:t>
      </w:r>
    </w:p>
    <w:p>
      <w:pPr>
        <w:pStyle w:val="2"/>
        <w:numPr>
          <w:ilvl w:val="0"/>
          <w:numId w:val="1"/>
        </w:numPr>
        <w:bidi w:val="0"/>
        <w:rPr>
          <w:rFonts w:hint="eastAsia"/>
          <w:lang w:val="en-US" w:eastAsia="zh-CN"/>
        </w:rPr>
      </w:pPr>
      <w:bookmarkStart w:id="63" w:name="_Toc21306"/>
      <w:bookmarkStart w:id="64" w:name="_Toc31606"/>
      <w:r>
        <w:rPr>
          <w:rFonts w:hint="eastAsia"/>
          <w:lang w:val="en-US" w:eastAsia="zh-CN"/>
        </w:rPr>
        <w:t>部门预算单位构成</w:t>
      </w:r>
      <w:bookmarkEnd w:id="63"/>
      <w:bookmarkEnd w:id="6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pPr>
        <w:pStyle w:val="2"/>
        <w:numPr>
          <w:ilvl w:val="0"/>
          <w:numId w:val="1"/>
        </w:numPr>
        <w:bidi w:val="0"/>
        <w:rPr>
          <w:rFonts w:hint="eastAsia"/>
          <w:lang w:val="en-US" w:eastAsia="zh-CN"/>
        </w:rPr>
      </w:pPr>
      <w:bookmarkStart w:id="65" w:name="_Toc2049"/>
      <w:bookmarkStart w:id="66" w:name="_Toc31019"/>
      <w:r>
        <w:rPr>
          <w:rFonts w:hint="eastAsia"/>
          <w:lang w:val="en-US" w:eastAsia="zh-CN"/>
        </w:rPr>
        <w:t>收支预算情况说明</w:t>
      </w:r>
      <w:bookmarkEnd w:id="65"/>
      <w:bookmarkEnd w:id="6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太公中学所有收入和支出均纳入部门预算管理。收入包括：一般公共预算拨款收入；支出包括：教育支出。太公中学2024年收支预算总数657.78万元,比2023年收支预算总数增加27.59万元，主要原因是基本支出增加。</w:t>
      </w:r>
    </w:p>
    <w:p>
      <w:pPr>
        <w:pStyle w:val="3"/>
        <w:numPr>
          <w:ilvl w:val="0"/>
          <w:numId w:val="2"/>
        </w:numPr>
        <w:bidi w:val="0"/>
        <w:rPr>
          <w:rFonts w:hint="eastAsia"/>
          <w:lang w:val="en-US" w:eastAsia="zh-CN"/>
        </w:rPr>
      </w:pPr>
      <w:bookmarkStart w:id="67" w:name="_Toc29765"/>
      <w:r>
        <w:rPr>
          <w:rFonts w:hint="eastAsia"/>
          <w:lang w:val="en-US" w:eastAsia="zh-CN"/>
        </w:rPr>
        <w:t>收入预算情况</w:t>
      </w:r>
      <w:bookmarkEnd w:id="6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太公中学2024年收入预算657.78万元，其中：一般公共预算拨款收入657.78万元，占100%。</w:t>
      </w:r>
    </w:p>
    <w:p>
      <w:pPr>
        <w:pStyle w:val="3"/>
        <w:numPr>
          <w:ilvl w:val="0"/>
          <w:numId w:val="2"/>
        </w:numPr>
        <w:bidi w:val="0"/>
        <w:rPr>
          <w:rFonts w:hint="eastAsia"/>
          <w:lang w:val="en-US" w:eastAsia="zh-CN"/>
        </w:rPr>
      </w:pPr>
      <w:bookmarkStart w:id="68" w:name="_Toc291"/>
      <w:r>
        <w:rPr>
          <w:rFonts w:hint="eastAsia"/>
          <w:lang w:val="en-US" w:eastAsia="zh-CN"/>
        </w:rPr>
        <w:t>支出预算情况</w:t>
      </w:r>
      <w:bookmarkEnd w:id="6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太公中学2024年支出预算657.78万元，其中：基本支出616.08万元，占93.66%；项目支出41.7万元，占6.34%</w:t>
      </w:r>
      <w:r>
        <w:rPr>
          <w:rFonts w:hint="eastAsia" w:ascii="仿宋_GB2312" w:hAnsi="仿宋_GB2312" w:eastAsia="仿宋_GB2312" w:cs="仿宋_GB2312"/>
          <w:b w:val="0"/>
          <w:bCs w:val="0"/>
          <w:sz w:val="32"/>
          <w:szCs w:val="32"/>
          <w:lang w:val="en-US" w:eastAsia="zh-CN"/>
        </w:rPr>
        <w:t>。</w:t>
      </w:r>
    </w:p>
    <w:p>
      <w:pPr>
        <w:pStyle w:val="2"/>
        <w:numPr>
          <w:ilvl w:val="0"/>
          <w:numId w:val="1"/>
        </w:numPr>
        <w:bidi w:val="0"/>
        <w:rPr>
          <w:rFonts w:hint="eastAsia"/>
          <w:lang w:val="en-US" w:eastAsia="zh-CN"/>
        </w:rPr>
      </w:pPr>
      <w:bookmarkStart w:id="69" w:name="_Toc14093"/>
      <w:bookmarkStart w:id="70" w:name="_Toc20794"/>
      <w:r>
        <w:rPr>
          <w:rFonts w:hint="eastAsia"/>
          <w:lang w:val="en-US" w:eastAsia="zh-CN"/>
        </w:rPr>
        <w:t>财政拨款收支预算情况说明</w:t>
      </w:r>
      <w:bookmarkEnd w:id="69"/>
      <w:bookmarkEnd w:id="7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太公中学2024年财政拨款收支预算总数657.78万元,比2023年财政拨款收支预算总数增加27.59万元，主要原因是基本支出增加。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收入包括：本年一般公共预算拨款收入657.78万元；支出包括：教育支出657.78万元。</w:t>
      </w:r>
    </w:p>
    <w:p>
      <w:pPr>
        <w:pStyle w:val="2"/>
        <w:numPr>
          <w:ilvl w:val="0"/>
          <w:numId w:val="1"/>
        </w:numPr>
        <w:bidi w:val="0"/>
        <w:rPr>
          <w:rFonts w:hint="eastAsia"/>
          <w:lang w:val="en-US" w:eastAsia="zh-CN"/>
        </w:rPr>
      </w:pPr>
      <w:bookmarkStart w:id="71" w:name="_Toc26964"/>
      <w:bookmarkStart w:id="72" w:name="_Toc22866"/>
      <w:r>
        <w:rPr>
          <w:rFonts w:hint="eastAsia"/>
          <w:lang w:val="en-US" w:eastAsia="zh-CN"/>
        </w:rPr>
        <w:t>一般公共预算当年拨款情况说明</w:t>
      </w:r>
      <w:bookmarkEnd w:id="71"/>
      <w:bookmarkEnd w:id="72"/>
    </w:p>
    <w:p>
      <w:pPr>
        <w:pStyle w:val="3"/>
        <w:numPr>
          <w:ilvl w:val="0"/>
          <w:numId w:val="3"/>
        </w:numPr>
        <w:bidi w:val="0"/>
        <w:rPr>
          <w:rFonts w:hint="eastAsia"/>
          <w:lang w:val="en-US" w:eastAsia="zh-CN"/>
        </w:rPr>
      </w:pPr>
      <w:bookmarkStart w:id="73" w:name="_Toc664"/>
      <w:r>
        <w:rPr>
          <w:rFonts w:hint="eastAsia"/>
          <w:lang w:val="en-US" w:eastAsia="zh-CN"/>
        </w:rPr>
        <w:t>一般公共预算当年拨款规模变化情况</w:t>
      </w:r>
      <w:bookmarkEnd w:id="7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太公中学2024年一般公共预算当年拨款657.78万元，比2023年预算数增加27.59万元，主要原因是基本支出增加。</w:t>
      </w:r>
    </w:p>
    <w:p>
      <w:pPr>
        <w:pStyle w:val="3"/>
        <w:numPr>
          <w:ilvl w:val="0"/>
          <w:numId w:val="3"/>
        </w:numPr>
        <w:bidi w:val="0"/>
        <w:rPr>
          <w:rFonts w:hint="eastAsia"/>
          <w:lang w:val="en-US" w:eastAsia="zh-CN"/>
        </w:rPr>
      </w:pPr>
      <w:bookmarkStart w:id="74" w:name="_Toc25091"/>
      <w:r>
        <w:rPr>
          <w:rFonts w:hint="eastAsia"/>
          <w:lang w:val="en-US" w:eastAsia="zh-CN"/>
        </w:rPr>
        <w:t>一般公共预算当年拨款结构情况</w:t>
      </w:r>
      <w:bookmarkEnd w:id="7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教育支出657.78万元，占100%。</w:t>
      </w:r>
    </w:p>
    <w:p>
      <w:pPr>
        <w:pStyle w:val="3"/>
        <w:numPr>
          <w:ilvl w:val="0"/>
          <w:numId w:val="3"/>
        </w:numPr>
        <w:bidi w:val="0"/>
        <w:rPr>
          <w:rFonts w:hint="eastAsia"/>
          <w:lang w:val="en-US" w:eastAsia="zh-CN"/>
        </w:rPr>
      </w:pPr>
      <w:bookmarkStart w:id="75" w:name="_Toc4688"/>
      <w:r>
        <w:rPr>
          <w:rFonts w:hint="eastAsia"/>
          <w:lang w:val="en-US" w:eastAsia="zh-CN"/>
        </w:rPr>
        <w:t>一般公共预算当年拨款具体使用情况</w:t>
      </w:r>
      <w:bookmarkEnd w:id="7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Times New Roman"/>
          <w:color w:val="000000"/>
          <w:sz w:val="32"/>
          <w:szCs w:val="32"/>
        </w:rPr>
        <w:t>教育支出（类）普通教育（款）初中教育（项）</w:t>
      </w:r>
      <w:r>
        <w:rPr>
          <w:rFonts w:hint="eastAsia" w:ascii="仿宋_GB2312" w:hAnsi="仿宋_GB2312" w:eastAsia="仿宋_GB2312" w:cs="仿宋_GB2312"/>
          <w:sz w:val="32"/>
          <w:szCs w:val="32"/>
          <w:lang w:val="en-US" w:eastAsia="zh-CN"/>
        </w:rPr>
        <w:t>2024年预算数为657.78万元，主要用于：本单位基本支出，包括基本工资、津贴补贴、基础绩效奖等人员经费以及机构运行所需的办公费、印刷费、维修（护）费、工会经费等运行补助经费。</w:t>
      </w:r>
    </w:p>
    <w:p>
      <w:pPr>
        <w:pStyle w:val="2"/>
        <w:numPr>
          <w:ilvl w:val="0"/>
          <w:numId w:val="1"/>
        </w:numPr>
        <w:bidi w:val="0"/>
        <w:rPr>
          <w:rFonts w:hint="eastAsia"/>
          <w:lang w:val="en-US" w:eastAsia="zh-CN"/>
        </w:rPr>
      </w:pPr>
      <w:bookmarkStart w:id="76" w:name="_Toc25905"/>
      <w:bookmarkStart w:id="77" w:name="_Toc7158"/>
      <w:r>
        <w:rPr>
          <w:rFonts w:hint="eastAsia"/>
          <w:lang w:val="en-US" w:eastAsia="zh-CN"/>
        </w:rPr>
        <w:t>一般公共预算基本支出情况说明</w:t>
      </w:r>
      <w:bookmarkEnd w:id="76"/>
      <w:bookmarkEnd w:id="7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太公中学2024年一般公共预算基本支出616.08万元，其中：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人员经费616.08万元，主要包括：基本工资、津贴补贴、奖金、社会保障缴费、住房公积金等支出。</w:t>
      </w:r>
    </w:p>
    <w:p>
      <w:pPr>
        <w:pStyle w:val="2"/>
        <w:numPr>
          <w:ilvl w:val="0"/>
          <w:numId w:val="1"/>
        </w:numPr>
        <w:bidi w:val="0"/>
        <w:rPr>
          <w:rFonts w:hint="eastAsia"/>
          <w:lang w:val="en-US" w:eastAsia="zh-CN"/>
        </w:rPr>
      </w:pPr>
      <w:bookmarkStart w:id="78" w:name="_Toc4835"/>
      <w:bookmarkStart w:id="79" w:name="_Toc28836"/>
      <w:r>
        <w:rPr>
          <w:rFonts w:hint="eastAsia"/>
          <w:lang w:val="en-US" w:eastAsia="zh-CN"/>
        </w:rPr>
        <w:t>“三公”经费财政拨款预算安排情况说明</w:t>
      </w:r>
      <w:bookmarkEnd w:id="78"/>
      <w:bookmarkEnd w:id="7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太公中学2024年“三公”经费财政拨款预算数0万元。</w:t>
      </w:r>
    </w:p>
    <w:p>
      <w:pPr>
        <w:pStyle w:val="3"/>
        <w:numPr>
          <w:ilvl w:val="0"/>
          <w:numId w:val="4"/>
        </w:numPr>
        <w:bidi w:val="0"/>
        <w:rPr>
          <w:rFonts w:hint="eastAsia"/>
          <w:lang w:val="en-US" w:eastAsia="zh-CN"/>
        </w:rPr>
      </w:pPr>
      <w:bookmarkStart w:id="80" w:name="_Toc25019"/>
      <w:r>
        <w:rPr>
          <w:rFonts w:hint="eastAsia"/>
          <w:lang w:val="en-US" w:eastAsia="zh-CN"/>
        </w:rPr>
        <w:t>公务接待费</w:t>
      </w:r>
      <w:bookmarkEnd w:id="8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Times New Roman"/>
          <w:color w:val="000000"/>
          <w:sz w:val="32"/>
          <w:szCs w:val="32"/>
        </w:rPr>
      </w:pPr>
      <w:r>
        <w:rPr>
          <w:rFonts w:hint="eastAsia" w:ascii="仿宋_GB2312" w:hAnsi="仿宋_GB2312" w:eastAsia="仿宋_GB2312" w:cs="仿宋_GB2312"/>
          <w:sz w:val="32"/>
          <w:szCs w:val="32"/>
          <w:lang w:val="en-US" w:eastAsia="zh-CN"/>
        </w:rPr>
        <w:t>公务接待费与2023年预算相比下降，主要原因是</w:t>
      </w:r>
      <w:r>
        <w:rPr>
          <w:rFonts w:hint="eastAsia" w:ascii="仿宋" w:hAnsi="仿宋" w:eastAsia="仿宋" w:cs="Times New Roman"/>
          <w:color w:val="000000"/>
          <w:sz w:val="32"/>
          <w:szCs w:val="32"/>
          <w:lang w:val="en-US" w:eastAsia="zh-CN"/>
        </w:rPr>
        <w:t>奉行节约，严格执行三公经费压减政策</w:t>
      </w:r>
      <w:r>
        <w:rPr>
          <w:rFonts w:hint="eastAsia" w:ascii="仿宋" w:hAnsi="仿宋" w:eastAsia="仿宋" w:cs="Times New Roman"/>
          <w:color w:val="000000"/>
          <w:sz w:val="32"/>
          <w:szCs w:val="32"/>
        </w:rPr>
        <w:t>。</w:t>
      </w:r>
    </w:p>
    <w:p>
      <w:pPr>
        <w:pStyle w:val="3"/>
        <w:numPr>
          <w:ilvl w:val="0"/>
          <w:numId w:val="5"/>
        </w:numPr>
        <w:bidi w:val="0"/>
        <w:rPr>
          <w:rFonts w:hint="eastAsia"/>
          <w:lang w:val="en-US" w:eastAsia="zh-CN"/>
        </w:rPr>
      </w:pPr>
      <w:bookmarkStart w:id="81" w:name="_Toc19610"/>
      <w:r>
        <w:rPr>
          <w:rFonts w:hint="eastAsia"/>
          <w:lang w:val="en-US" w:eastAsia="zh-CN"/>
        </w:rPr>
        <w:t>公务用车购置及运行维护费</w:t>
      </w:r>
      <w:bookmarkEnd w:id="81"/>
    </w:p>
    <w:p>
      <w:pPr>
        <w:ind w:firstLine="640" w:firstLineChars="200"/>
        <w:rPr>
          <w:rFonts w:hint="eastAsia" w:ascii="仿宋_GB2312" w:hAnsi="仿宋_GB2312" w:eastAsia="仿宋_GB2312" w:cs="仿宋_GB2312"/>
          <w:sz w:val="32"/>
          <w:szCs w:val="32"/>
          <w:lang w:val="en-US" w:eastAsia="zh-CN"/>
        </w:rPr>
      </w:pPr>
      <w:r>
        <w:rPr>
          <w:rFonts w:hint="eastAsia" w:ascii="仿宋" w:hAnsi="仿宋" w:eastAsia="仿宋" w:cs="Times New Roman"/>
          <w:color w:val="000000"/>
          <w:sz w:val="32"/>
          <w:szCs w:val="32"/>
          <w:lang w:val="en-US" w:eastAsia="zh-CN"/>
        </w:rPr>
        <w:t>公务用车购置及运行维护费与2023年预算相比持平</w:t>
      </w:r>
      <w:r>
        <w:rPr>
          <w:rFonts w:hint="eastAsia" w:ascii="仿宋_GB2312" w:hAnsi="仿宋_GB2312" w:eastAsia="仿宋_GB2312" w:cs="仿宋_GB2312"/>
          <w:sz w:val="32"/>
          <w:szCs w:val="32"/>
          <w:lang w:val="en-US" w:eastAsia="zh-CN"/>
        </w:rPr>
        <w:t>。</w:t>
      </w:r>
    </w:p>
    <w:p>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单位现有公务用车0辆。</w:t>
      </w:r>
    </w:p>
    <w:p>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2024年未安排公务用车购置费。</w:t>
      </w:r>
    </w:p>
    <w:p>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2024年安排公务用车运行维护费0万元。</w:t>
      </w:r>
    </w:p>
    <w:p>
      <w:pPr>
        <w:pStyle w:val="3"/>
        <w:numPr>
          <w:ilvl w:val="0"/>
          <w:numId w:val="5"/>
        </w:numPr>
        <w:bidi w:val="0"/>
        <w:rPr>
          <w:rFonts w:hint="eastAsia"/>
          <w:lang w:val="en-US" w:eastAsia="zh-CN"/>
        </w:rPr>
      </w:pPr>
      <w:bookmarkStart w:id="82" w:name="_Toc10299"/>
      <w:r>
        <w:rPr>
          <w:rFonts w:hint="eastAsia"/>
          <w:lang w:val="en-US" w:eastAsia="zh-CN"/>
        </w:rPr>
        <w:t>因公出国（境）经费</w:t>
      </w:r>
      <w:bookmarkEnd w:id="82"/>
    </w:p>
    <w:p>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因公出国（境）与2023年预算相比持平</w:t>
      </w:r>
      <w:r>
        <w:rPr>
          <w:rFonts w:hint="eastAsia" w:ascii="仿宋_GB2312" w:hAnsi="仿宋_GB2312" w:eastAsia="仿宋_GB2312" w:cs="仿宋_GB2312"/>
          <w:sz w:val="32"/>
          <w:szCs w:val="32"/>
          <w:lang w:val="en-US" w:eastAsia="zh-CN"/>
        </w:rPr>
        <w:t>。</w:t>
      </w:r>
    </w:p>
    <w:p>
      <w:pPr>
        <w:pStyle w:val="2"/>
        <w:numPr>
          <w:ilvl w:val="0"/>
          <w:numId w:val="1"/>
        </w:numPr>
        <w:bidi w:val="0"/>
        <w:rPr>
          <w:rFonts w:hint="eastAsia"/>
          <w:lang w:val="en-US" w:eastAsia="zh-CN"/>
        </w:rPr>
      </w:pPr>
      <w:bookmarkStart w:id="83" w:name="_Toc4599"/>
      <w:bookmarkStart w:id="84" w:name="_Toc6478"/>
      <w:r>
        <w:rPr>
          <w:rFonts w:hint="eastAsia"/>
          <w:lang w:val="en-US" w:eastAsia="zh-CN"/>
        </w:rPr>
        <w:t>政府性基金预算支出情况说明</w:t>
      </w:r>
      <w:bookmarkEnd w:id="83"/>
      <w:bookmarkEnd w:id="8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太公中学2024年政府性基金预算拨款安排支出0万元。</w:t>
      </w:r>
    </w:p>
    <w:p>
      <w:pPr>
        <w:pStyle w:val="2"/>
        <w:numPr>
          <w:ilvl w:val="0"/>
          <w:numId w:val="1"/>
        </w:numPr>
        <w:bidi w:val="0"/>
        <w:rPr>
          <w:rFonts w:hint="eastAsia"/>
          <w:lang w:val="en-US" w:eastAsia="zh-CN"/>
        </w:rPr>
      </w:pPr>
      <w:bookmarkStart w:id="85" w:name="_Toc12374"/>
      <w:bookmarkStart w:id="86" w:name="_Toc28711"/>
      <w:r>
        <w:rPr>
          <w:rFonts w:hint="eastAsia"/>
          <w:lang w:val="en-US" w:eastAsia="zh-CN"/>
        </w:rPr>
        <w:t>国有资本经营预算支出情况说明</w:t>
      </w:r>
      <w:bookmarkEnd w:id="85"/>
      <w:bookmarkEnd w:id="8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太公中学2024年无国有资本经营预算拨款安排的支出。</w:t>
      </w:r>
    </w:p>
    <w:p>
      <w:pPr>
        <w:pStyle w:val="2"/>
        <w:numPr>
          <w:ilvl w:val="0"/>
          <w:numId w:val="1"/>
        </w:numPr>
        <w:bidi w:val="0"/>
        <w:rPr>
          <w:rFonts w:hint="eastAsia"/>
          <w:lang w:val="en-US" w:eastAsia="zh-CN"/>
        </w:rPr>
      </w:pPr>
      <w:bookmarkStart w:id="87" w:name="_Toc27874"/>
      <w:bookmarkStart w:id="88" w:name="_Toc2966"/>
      <w:r>
        <w:rPr>
          <w:rFonts w:hint="eastAsia"/>
          <w:lang w:val="en-US" w:eastAsia="zh-CN"/>
        </w:rPr>
        <w:t>其他重要事项的情况说明</w:t>
      </w:r>
      <w:bookmarkEnd w:id="87"/>
      <w:bookmarkEnd w:id="88"/>
    </w:p>
    <w:p>
      <w:pPr>
        <w:pStyle w:val="3"/>
        <w:numPr>
          <w:ilvl w:val="0"/>
          <w:numId w:val="6"/>
        </w:numPr>
        <w:bidi w:val="0"/>
        <w:rPr>
          <w:rFonts w:hint="eastAsia"/>
          <w:lang w:val="en-US" w:eastAsia="zh-CN"/>
        </w:rPr>
      </w:pPr>
      <w:bookmarkStart w:id="89" w:name="_Toc16072"/>
      <w:r>
        <w:rPr>
          <w:rFonts w:hint="eastAsia"/>
          <w:lang w:val="en-US" w:eastAsia="zh-CN"/>
        </w:rPr>
        <w:t>机关运行经费</w:t>
      </w:r>
      <w:bookmarkEnd w:id="8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2024年，太公中学</w:t>
      </w:r>
      <w:r>
        <w:rPr>
          <w:rFonts w:hint="eastAsia" w:ascii="仿宋" w:hAnsi="仿宋" w:eastAsia="仿宋" w:cs="Times New Roman"/>
          <w:color w:val="000000"/>
          <w:sz w:val="32"/>
          <w:szCs w:val="32"/>
          <w:lang w:val="en-US" w:eastAsia="zh-CN"/>
        </w:rPr>
        <w:t>属于公益一类事业单位，</w:t>
      </w:r>
      <w:bookmarkStart w:id="97" w:name="_GoBack"/>
      <w:bookmarkEnd w:id="97"/>
      <w:r>
        <w:rPr>
          <w:rFonts w:hint="eastAsia" w:ascii="仿宋" w:hAnsi="仿宋" w:eastAsia="仿宋" w:cs="Times New Roman"/>
          <w:color w:val="000000"/>
          <w:sz w:val="32"/>
          <w:szCs w:val="32"/>
          <w:lang w:val="en-US" w:eastAsia="zh-CN"/>
        </w:rPr>
        <w:t>无机关运行经费。</w:t>
      </w:r>
    </w:p>
    <w:p>
      <w:pPr>
        <w:pStyle w:val="3"/>
        <w:numPr>
          <w:ilvl w:val="0"/>
          <w:numId w:val="6"/>
        </w:numPr>
        <w:bidi w:val="0"/>
        <w:rPr>
          <w:rFonts w:hint="eastAsia"/>
          <w:lang w:val="en-US" w:eastAsia="zh-CN"/>
        </w:rPr>
      </w:pPr>
      <w:bookmarkStart w:id="90" w:name="_Toc9312"/>
      <w:r>
        <w:rPr>
          <w:rFonts w:hint="eastAsia"/>
          <w:lang w:val="en-US" w:eastAsia="zh-CN"/>
        </w:rPr>
        <w:t>政府采购情况</w:t>
      </w:r>
      <w:bookmarkEnd w:id="90"/>
    </w:p>
    <w:p>
      <w:pPr>
        <w:ind w:firstLine="640" w:firstLineChars="200"/>
        <w:rPr>
          <w:rFonts w:hint="eastAsia" w:ascii="仿宋" w:hAnsi="仿宋" w:eastAsia="仿宋" w:cs="Times New Roman"/>
          <w:color w:val="000000"/>
          <w:sz w:val="32"/>
          <w:szCs w:val="32"/>
          <w:lang w:eastAsia="zh-CN"/>
        </w:rPr>
      </w:pPr>
      <w:r>
        <w:rPr>
          <w:rFonts w:hint="eastAsia" w:ascii="仿宋_GB2312" w:hAnsi="仿宋_GB2312" w:eastAsia="仿宋_GB2312" w:cs="仿宋_GB2312"/>
          <w:sz w:val="32"/>
          <w:szCs w:val="32"/>
          <w:lang w:val="en-US" w:eastAsia="zh-CN"/>
        </w:rPr>
        <w:t>2024年</w:t>
      </w:r>
      <w:r>
        <w:rPr>
          <w:rFonts w:hint="eastAsia" w:ascii="仿宋" w:hAnsi="仿宋" w:eastAsia="仿宋" w:cs="Times New Roman"/>
          <w:color w:val="000000"/>
          <w:sz w:val="32"/>
          <w:szCs w:val="32"/>
        </w:rPr>
        <w:t>，</w:t>
      </w:r>
      <w:r>
        <w:rPr>
          <w:rFonts w:hint="eastAsia" w:ascii="仿宋" w:hAnsi="仿宋" w:eastAsia="仿宋" w:cs="Times New Roman"/>
          <w:color w:val="000000"/>
          <w:sz w:val="32"/>
          <w:szCs w:val="32"/>
          <w:lang w:val="en-US" w:eastAsia="zh-CN"/>
        </w:rPr>
        <w:t>太公中学未安排</w:t>
      </w:r>
      <w:r>
        <w:rPr>
          <w:rFonts w:hint="eastAsia" w:ascii="仿宋" w:hAnsi="仿宋" w:eastAsia="仿宋" w:cs="Times New Roman"/>
          <w:color w:val="000000"/>
          <w:sz w:val="32"/>
          <w:szCs w:val="32"/>
        </w:rPr>
        <w:t>政府采购预算。</w:t>
      </w:r>
    </w:p>
    <w:p>
      <w:pPr>
        <w:pStyle w:val="3"/>
        <w:numPr>
          <w:ilvl w:val="0"/>
          <w:numId w:val="6"/>
        </w:numPr>
        <w:bidi w:val="0"/>
        <w:rPr>
          <w:rFonts w:hint="eastAsia"/>
          <w:lang w:val="en-US" w:eastAsia="zh-CN"/>
        </w:rPr>
      </w:pPr>
      <w:bookmarkStart w:id="91" w:name="_Toc1787"/>
      <w:r>
        <w:rPr>
          <w:rFonts w:hint="eastAsia"/>
          <w:lang w:val="en-US" w:eastAsia="zh-CN"/>
        </w:rPr>
        <w:t>国有资产占有使用情况</w:t>
      </w:r>
      <w:bookmarkEnd w:id="91"/>
    </w:p>
    <w:p>
      <w:pPr>
        <w:ind w:firstLine="640" w:firstLineChars="200"/>
        <w:rPr>
          <w:rFonts w:hint="eastAsia"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截至2023年底，太公中学共有车辆0辆，单位无价值200万元以上的大型设备。</w:t>
      </w:r>
    </w:p>
    <w:p>
      <w:pPr>
        <w:ind w:firstLine="640" w:firstLineChars="200"/>
        <w:rPr>
          <w:rFonts w:hint="eastAsia" w:ascii="仿宋" w:hAnsi="仿宋" w:eastAsia="仿宋" w:cs="Times New Roman"/>
          <w:color w:val="000000"/>
          <w:sz w:val="32"/>
          <w:szCs w:val="32"/>
        </w:rPr>
      </w:pPr>
      <w:r>
        <w:rPr>
          <w:rFonts w:hint="eastAsia" w:ascii="仿宋" w:hAnsi="仿宋" w:eastAsia="仿宋" w:cs="Times New Roman"/>
          <w:color w:val="000000"/>
          <w:sz w:val="32"/>
          <w:szCs w:val="32"/>
          <w:lang w:val="en-US" w:eastAsia="zh-CN"/>
        </w:rPr>
        <w:t>2024年单位预算未安排购置车辆及单位价值200万元以上的大型设备。</w:t>
      </w:r>
    </w:p>
    <w:p>
      <w:pPr>
        <w:pStyle w:val="3"/>
        <w:numPr>
          <w:ilvl w:val="0"/>
          <w:numId w:val="6"/>
        </w:numPr>
        <w:bidi w:val="0"/>
        <w:rPr>
          <w:rFonts w:hint="eastAsia"/>
          <w:lang w:val="en-US" w:eastAsia="zh-CN"/>
        </w:rPr>
      </w:pPr>
      <w:bookmarkStart w:id="92" w:name="_Toc12853"/>
      <w:r>
        <w:rPr>
          <w:rFonts w:hint="eastAsia"/>
          <w:lang w:val="en-US" w:eastAsia="zh-CN"/>
        </w:rPr>
        <w:t>绩效目标设置情况</w:t>
      </w:r>
      <w:bookmarkEnd w:id="9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2024年太公中学开展绩效目标管理的项目3个，涉及预算41.7万元。其中：人员类项目0个，涉及预算 0万元；运转类项目3个，涉及预算41.7万元。特定目标类项目0个，涉及预算0万元。因部分项目内容涉密，不予公开。</w:t>
      </w:r>
    </w:p>
    <w:p>
      <w:pPr>
        <w:pStyle w:val="2"/>
        <w:numPr>
          <w:ilvl w:val="0"/>
          <w:numId w:val="1"/>
        </w:numPr>
        <w:bidi w:val="0"/>
        <w:rPr>
          <w:rFonts w:hint="eastAsia"/>
          <w:lang w:val="en-US" w:eastAsia="zh-CN"/>
        </w:rPr>
      </w:pPr>
      <w:bookmarkStart w:id="93" w:name="_Toc21559"/>
      <w:bookmarkStart w:id="94" w:name="_Toc20438"/>
      <w:r>
        <w:rPr>
          <w:rFonts w:hint="eastAsia"/>
          <w:lang w:val="en-US" w:eastAsia="zh-CN"/>
        </w:rPr>
        <w:t>名词解释</w:t>
      </w:r>
      <w:bookmarkEnd w:id="93"/>
      <w:bookmarkEnd w:id="9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（二）教育支出（类）普通教育（款）初中教育（项）</w:t>
      </w:r>
      <w:r>
        <w:rPr>
          <w:rFonts w:hint="eastAsia" w:ascii="仿宋_GB2312" w:hAnsi="仿宋_GB2312" w:eastAsia="仿宋_GB2312" w:cs="仿宋_GB2312"/>
          <w:sz w:val="32"/>
          <w:szCs w:val="32"/>
          <w:lang w:val="en-US" w:eastAsia="zh-CN"/>
        </w:rPr>
        <w:t>：指本单位的基本支出，包括基本工资、津贴补贴等人员经费以及办公费、印刷费、水电费等日常公用经费。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r>
        <w:rPr>
          <w:rFonts w:hint="eastAsia" w:ascii="仿宋_GB2312" w:hAnsi="仿宋_GB2312" w:eastAsia="仿宋_GB2312" w:cs="仿宋_GB2312"/>
          <w:sz w:val="32"/>
          <w:szCs w:val="32"/>
          <w:lang w:val="en-US" w:eastAsia="zh-CN"/>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附件：1.预算公开表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95" w:name="_Toc4026"/>
      <w:bookmarkStart w:id="96" w:name="_Toc23425"/>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sz w:val="32"/>
          <w:szCs w:val="32"/>
          <w:lang w:val="en-US" w:eastAsia="zh-CN"/>
        </w:rPr>
        <w:t>项目支出绩效目标表</w:t>
      </w:r>
      <w:bookmarkEnd w:id="95"/>
      <w:bookmarkEnd w:id="9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2CDEA"/>
    <w:multiLevelType w:val="singleLevel"/>
    <w:tmpl w:val="9A72CDEA"/>
    <w:lvl w:ilvl="0" w:tentative="0">
      <w:start w:val="2"/>
      <w:numFmt w:val="chineseCounting"/>
      <w:suff w:val="nothing"/>
      <w:lvlText w:val="%1、"/>
      <w:lvlJc w:val="left"/>
      <w:rPr>
        <w:rFonts w:hint="eastAsia"/>
      </w:rPr>
    </w:lvl>
  </w:abstractNum>
  <w:abstractNum w:abstractNumId="1">
    <w:nsid w:val="A4D2C953"/>
    <w:multiLevelType w:val="singleLevel"/>
    <w:tmpl w:val="A4D2C953"/>
    <w:lvl w:ilvl="0" w:tentative="0">
      <w:start w:val="1"/>
      <w:numFmt w:val="chineseCounting"/>
      <w:suff w:val="nothing"/>
      <w:lvlText w:val="（%1）"/>
      <w:lvlJc w:val="left"/>
      <w:rPr>
        <w:rFonts w:hint="eastAsia"/>
      </w:rPr>
    </w:lvl>
  </w:abstractNum>
  <w:abstractNum w:abstractNumId="2">
    <w:nsid w:val="F294BD12"/>
    <w:multiLevelType w:val="singleLevel"/>
    <w:tmpl w:val="F294BD12"/>
    <w:lvl w:ilvl="0" w:tentative="0">
      <w:start w:val="1"/>
      <w:numFmt w:val="chineseCounting"/>
      <w:suff w:val="nothing"/>
      <w:lvlText w:val="（%1）"/>
      <w:lvlJc w:val="left"/>
      <w:rPr>
        <w:rFonts w:hint="eastAsia"/>
      </w:rPr>
    </w:lvl>
  </w:abstractNum>
  <w:abstractNum w:abstractNumId="3">
    <w:nsid w:val="5BFCE1D6"/>
    <w:multiLevelType w:val="singleLevel"/>
    <w:tmpl w:val="5BFCE1D6"/>
    <w:lvl w:ilvl="0" w:tentative="0">
      <w:start w:val="2"/>
      <w:numFmt w:val="chineseCounting"/>
      <w:suff w:val="nothing"/>
      <w:lvlText w:val="（%1）"/>
      <w:lvlJc w:val="left"/>
      <w:rPr>
        <w:rFonts w:hint="eastAsia"/>
      </w:rPr>
    </w:lvl>
  </w:abstractNum>
  <w:abstractNum w:abstractNumId="4">
    <w:nsid w:val="62B0FE7A"/>
    <w:multiLevelType w:val="singleLevel"/>
    <w:tmpl w:val="62B0FE7A"/>
    <w:lvl w:ilvl="0" w:tentative="0">
      <w:start w:val="1"/>
      <w:numFmt w:val="chineseCounting"/>
      <w:suff w:val="nothing"/>
      <w:lvlText w:val="（%1）"/>
      <w:lvlJc w:val="left"/>
      <w:rPr>
        <w:rFonts w:hint="eastAsia"/>
      </w:rPr>
    </w:lvl>
  </w:abstractNum>
  <w:abstractNum w:abstractNumId="5">
    <w:nsid w:val="7650FAA7"/>
    <w:multiLevelType w:val="singleLevel"/>
    <w:tmpl w:val="7650FAA7"/>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CB6ACC"/>
    <w:rsid w:val="05526700"/>
    <w:rsid w:val="09F20A4F"/>
    <w:rsid w:val="0B512FB6"/>
    <w:rsid w:val="0CA97547"/>
    <w:rsid w:val="110F4990"/>
    <w:rsid w:val="156F6E5A"/>
    <w:rsid w:val="1764287E"/>
    <w:rsid w:val="17AC5F9D"/>
    <w:rsid w:val="17B07683"/>
    <w:rsid w:val="1820331E"/>
    <w:rsid w:val="1C3B5CE8"/>
    <w:rsid w:val="1F7BF06F"/>
    <w:rsid w:val="1FEE4B73"/>
    <w:rsid w:val="23CE9849"/>
    <w:rsid w:val="25F71B02"/>
    <w:rsid w:val="2B416467"/>
    <w:rsid w:val="315E630D"/>
    <w:rsid w:val="3756532C"/>
    <w:rsid w:val="39F304DD"/>
    <w:rsid w:val="3DCF587C"/>
    <w:rsid w:val="517D3BB6"/>
    <w:rsid w:val="54244390"/>
    <w:rsid w:val="54662A63"/>
    <w:rsid w:val="57F115D1"/>
    <w:rsid w:val="58064E12"/>
    <w:rsid w:val="592A111E"/>
    <w:rsid w:val="59D06566"/>
    <w:rsid w:val="5BFEE015"/>
    <w:rsid w:val="62C36DDC"/>
    <w:rsid w:val="63EDCF55"/>
    <w:rsid w:val="63FBFBCF"/>
    <w:rsid w:val="669360FD"/>
    <w:rsid w:val="68452D1A"/>
    <w:rsid w:val="68FF6A83"/>
    <w:rsid w:val="6FBBC9CF"/>
    <w:rsid w:val="72BDE561"/>
    <w:rsid w:val="77A12B09"/>
    <w:rsid w:val="77F10756"/>
    <w:rsid w:val="78462278"/>
    <w:rsid w:val="796E21A2"/>
    <w:rsid w:val="7997EA6C"/>
    <w:rsid w:val="7AEAE675"/>
    <w:rsid w:val="7BAFCE5D"/>
    <w:rsid w:val="7C523723"/>
    <w:rsid w:val="7D46598C"/>
    <w:rsid w:val="7D6C2834"/>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link w:val="21"/>
    <w:qFormat/>
    <w:uiPriority w:val="0"/>
    <w:pPr>
      <w:keepNext/>
      <w:keepLines/>
      <w:spacing w:beforeLines="0" w:beforeAutospacing="0" w:afterLines="0" w:afterAutospacing="0" w:line="576" w:lineRule="exact"/>
      <w:ind w:firstLine="880" w:firstLineChars="200"/>
      <w:outlineLvl w:val="0"/>
    </w:pPr>
    <w:rPr>
      <w:rFonts w:eastAsia="黑体"/>
      <w:kern w:val="44"/>
      <w:sz w:val="32"/>
    </w:rPr>
  </w:style>
  <w:style w:type="paragraph" w:styleId="3">
    <w:name w:val="heading 2"/>
    <w:basedOn w:val="1"/>
    <w:next w:val="1"/>
    <w:link w:val="22"/>
    <w:unhideWhenUsed/>
    <w:qFormat/>
    <w:uiPriority w:val="0"/>
    <w:pPr>
      <w:keepNext/>
      <w:keepLines/>
      <w:spacing w:beforeLines="0" w:beforeAutospacing="0" w:afterLines="0" w:afterAutospacing="0" w:line="576" w:lineRule="exact"/>
      <w:ind w:firstLine="880" w:firstLineChars="200"/>
      <w:outlineLvl w:val="1"/>
    </w:pPr>
    <w:rPr>
      <w:rFonts w:ascii="Arial" w:hAnsi="Arial" w:eastAsia="楷体"/>
      <w:sz w:val="32"/>
    </w:rPr>
  </w:style>
  <w:style w:type="character" w:default="1" w:styleId="14">
    <w:name w:val="Default Paragraph Font"/>
    <w:autoRedefine/>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caption"/>
    <w:basedOn w:val="1"/>
    <w:autoRedefine/>
    <w:qFormat/>
    <w:uiPriority w:val="0"/>
    <w:pPr>
      <w:widowControl w:val="0"/>
      <w:suppressLineNumbers/>
      <w:suppressAutoHyphens/>
      <w:spacing w:before="120" w:after="120"/>
    </w:pPr>
    <w:rPr>
      <w:i/>
      <w:iCs/>
      <w:sz w:val="24"/>
      <w:szCs w:val="24"/>
    </w:rPr>
  </w:style>
  <w:style w:type="paragraph" w:styleId="5">
    <w:name w:val="Body Text"/>
    <w:basedOn w:val="1"/>
    <w:autoRedefine/>
    <w:qFormat/>
    <w:uiPriority w:val="0"/>
    <w:pPr>
      <w:spacing w:before="0" w:after="140" w:line="276" w:lineRule="auto"/>
    </w:pPr>
  </w:style>
  <w:style w:type="paragraph" w:styleId="6">
    <w:name w:val="toc 3"/>
    <w:basedOn w:val="1"/>
    <w:next w:val="1"/>
    <w:autoRedefine/>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List"/>
    <w:basedOn w:val="5"/>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qFormat/>
    <w:uiPriority w:val="0"/>
    <w:rPr>
      <w:sz w:val="24"/>
    </w:rPr>
  </w:style>
  <w:style w:type="character" w:customStyle="1" w:styleId="15">
    <w:name w:val="默认段落字体1"/>
    <w:autoRedefine/>
    <w:qFormat/>
    <w:uiPriority w:val="0"/>
  </w:style>
  <w:style w:type="paragraph" w:customStyle="1" w:styleId="16">
    <w:name w:val="Heading"/>
    <w:basedOn w:val="1"/>
    <w:next w:val="5"/>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WPSOffice手动目录 1"/>
    <w:autoRedefine/>
    <w:qFormat/>
    <w:uiPriority w:val="0"/>
    <w:pPr>
      <w:ind w:leftChars="0"/>
    </w:pPr>
    <w:rPr>
      <w:rFonts w:ascii="Times New Roman" w:hAnsi="Times New Roman" w:eastAsia="宋体" w:cs="Times New Roman"/>
      <w:sz w:val="20"/>
      <w:szCs w:val="20"/>
    </w:rPr>
  </w:style>
  <w:style w:type="paragraph" w:customStyle="1" w:styleId="19">
    <w:name w:val="WPSOffice手动目录 2"/>
    <w:autoRedefine/>
    <w:qFormat/>
    <w:uiPriority w:val="0"/>
    <w:pPr>
      <w:ind w:leftChars="200"/>
    </w:pPr>
    <w:rPr>
      <w:rFonts w:ascii="Times New Roman" w:hAnsi="Times New Roman" w:eastAsia="宋体" w:cs="Times New Roman"/>
      <w:sz w:val="20"/>
      <w:szCs w:val="20"/>
    </w:rPr>
  </w:style>
  <w:style w:type="paragraph" w:customStyle="1" w:styleId="20">
    <w:name w:val="WPSOffice手动目录 3"/>
    <w:autoRedefine/>
    <w:qFormat/>
    <w:uiPriority w:val="0"/>
    <w:pPr>
      <w:ind w:leftChars="400"/>
    </w:pPr>
    <w:rPr>
      <w:rFonts w:ascii="Times New Roman" w:hAnsi="Times New Roman" w:eastAsia="宋体" w:cs="Times New Roman"/>
      <w:sz w:val="20"/>
      <w:szCs w:val="20"/>
    </w:rPr>
  </w:style>
  <w:style w:type="character" w:customStyle="1" w:styleId="21">
    <w:name w:val="标题 1 Char"/>
    <w:link w:val="2"/>
    <w:uiPriority w:val="0"/>
    <w:rPr>
      <w:rFonts w:eastAsia="黑体"/>
      <w:kern w:val="44"/>
      <w:sz w:val="32"/>
    </w:rPr>
  </w:style>
  <w:style w:type="character" w:customStyle="1" w:styleId="22">
    <w:name w:val="标题 2 Char"/>
    <w:link w:val="3"/>
    <w:autoRedefine/>
    <w:qFormat/>
    <w:uiPriority w:val="0"/>
    <w:rPr>
      <w:rFonts w:ascii="Arial" w:hAnsi="Arial" w:eastAsia="楷体"/>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2024-04-09T07:13:14Z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