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广元市昭化区教育局（机关）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81016"/>
        <w15:color w:val="DBDBDB"/>
        <w:docPartObj>
          <w:docPartGallery w:val="Table of Contents"/>
          <w:docPartUnique/>
        </w:docPartObj>
      </w:sdtPr>
      <w:sdtEndPr>
        <w:rPr>
          <w:rFonts w:hint="eastAsia" w:ascii="仿宋_GB2312" w:hAnsi="仿宋_GB2312" w:eastAsia="仿宋_GB2312" w:cs="仿宋_GB2312"/>
          <w:b/>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_Toc21606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一、基本职能及主要工作</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_Toc21606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_Toc16123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sz w:val="32"/>
              <w:szCs w:val="32"/>
              <w:lang w:val="en-US" w:eastAsia="zh-CN"/>
            </w:rPr>
            <w:t>区教育局</w:t>
          </w:r>
          <w:r>
            <w:rPr>
              <w:rFonts w:hint="eastAsia" w:ascii="方正仿宋_GB2312" w:hAnsi="方正仿宋_GB2312" w:eastAsia="方正仿宋_GB2312" w:cs="方正仿宋_GB2312"/>
              <w:sz w:val="32"/>
              <w:szCs w:val="32"/>
            </w:rPr>
            <w:t>职能简介</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_Toc16123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_Toc17870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rPr>
            <w:t>（二）</w:t>
          </w:r>
          <w:r>
            <w:rPr>
              <w:rFonts w:hint="eastAsia" w:ascii="方正仿宋_GB2312" w:hAnsi="方正仿宋_GB2312" w:eastAsia="方正仿宋_GB2312" w:cs="方正仿宋_GB2312"/>
              <w:sz w:val="32"/>
              <w:szCs w:val="32"/>
              <w:lang w:val="en-US" w:eastAsia="zh-CN"/>
            </w:rPr>
            <w:t>区教育局</w:t>
          </w:r>
          <w:r>
            <w:rPr>
              <w:rFonts w:hint="eastAsia" w:ascii="方正仿宋_GB2312" w:hAnsi="方正仿宋_GB2312" w:eastAsia="方正仿宋_GB2312" w:cs="方正仿宋_GB2312"/>
              <w:sz w:val="32"/>
              <w:szCs w:val="32"/>
              <w:lang w:val="en-US"/>
            </w:rPr>
            <w:t>2024</w:t>
          </w:r>
          <w:r>
            <w:rPr>
              <w:rFonts w:hint="eastAsia" w:ascii="方正仿宋_GB2312" w:hAnsi="方正仿宋_GB2312" w:eastAsia="方正仿宋_GB2312" w:cs="方正仿宋_GB2312"/>
              <w:sz w:val="32"/>
              <w:szCs w:val="32"/>
            </w:rPr>
            <w:t>年重点工作</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_Toc17870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_Toc26323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二、部门预算单位构成</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_Toc26323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12</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_Toc1977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三、收支预算情况说明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_Toc1977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12</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_Toc27607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lang w:val="en-US" w:eastAsia="zh-CN"/>
            </w:rPr>
            <w:t>（一）收入预算情况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_Toc27607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_Toc13051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lang w:val="en-US" w:eastAsia="zh-CN"/>
            </w:rPr>
            <w:t>（二）支出预算情况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_Toc13051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_Toc27464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四、财政拨款收支预算情况说明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_Toc27464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_Toc8351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五、一般公共预算当年拨款情况说明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_Toc8351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13</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_Toc3983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lang w:val="en-US" w:eastAsia="zh-CN"/>
            </w:rPr>
            <w:t>（一）一般公共预算当年拨款规模变化情况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_Toc3983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_Toc22740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lang w:val="en-US" w:eastAsia="zh-CN"/>
            </w:rPr>
            <w:t>（二）一般公共预算当年拨款结构情况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_Toc22740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instrText xml:space="preserve"> HYPERLINK \l _Toc12792 </w:instrText>
          </w:r>
          <w:r>
            <w:rPr>
              <w:rFonts w:hint="eastAsia" w:ascii="方正仿宋_GB2312" w:hAnsi="方正仿宋_GB2312" w:eastAsia="方正仿宋_GB2312" w:cs="方正仿宋_GB2312"/>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sz w:val="32"/>
              <w:szCs w:val="32"/>
              <w:lang w:val="en-US" w:eastAsia="zh-CN"/>
            </w:rPr>
            <w:t>（三）一般公共预算当年拨款具体使用情况</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_Toc12792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_Toc25123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六、一般公共预算基本支出情况说明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_Toc25123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14</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_Toc20372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七、“三公”经费财政拨款预算安排情况说明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_Toc20372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14</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_Toc29402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八、政府性基金预算支出情况说明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_Toc29402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_Toc21242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九、国有资本经营预算支出情况说明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_Toc21242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_Toc31219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十、其他重要事项的情况说明</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_Toc31219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15</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instrText xml:space="preserve"> HYPERLINK \l _Toc1552 </w:instrText>
          </w:r>
          <w:r>
            <w:rPr>
              <w:rFonts w:hint="eastAsia" w:ascii="方正仿宋_GB2312" w:hAnsi="方正仿宋_GB2312" w:eastAsia="方正仿宋_GB2312" w:cs="方正仿宋_GB2312"/>
              <w:b/>
              <w:i w:val="0"/>
              <w:caps w:val="0"/>
              <w:spacing w:val="0"/>
              <w:kern w:val="0"/>
              <w:sz w:val="32"/>
              <w:szCs w:val="32"/>
              <w:highlight w:val="none"/>
              <w:shd w:val="clear" w:color="auto" w:fill="FFFFFF"/>
              <w:lang w:val="en-US" w:eastAsia="zh-CN" w:bidi="ar"/>
            </w:rPr>
            <w:fldChar w:fldCharType="separate"/>
          </w:r>
          <w:r>
            <w:rPr>
              <w:rFonts w:hint="eastAsia" w:ascii="方正仿宋_GB2312" w:hAnsi="方正仿宋_GB2312" w:eastAsia="方正仿宋_GB2312" w:cs="方正仿宋_GB2312"/>
              <w:b/>
              <w:sz w:val="32"/>
              <w:szCs w:val="32"/>
              <w:lang w:val="en-US" w:eastAsia="zh-CN"/>
            </w:rPr>
            <w:t>十一、名词解释</w:t>
          </w:r>
          <w:r>
            <w:rPr>
              <w:rFonts w:hint="eastAsia" w:ascii="方正仿宋_GB2312" w:hAnsi="方正仿宋_GB2312" w:eastAsia="方正仿宋_GB2312" w:cs="方正仿宋_GB2312"/>
              <w:b/>
              <w:sz w:val="32"/>
              <w:szCs w:val="32"/>
            </w:rPr>
            <w:tab/>
          </w:r>
          <w:r>
            <w:rPr>
              <w:rFonts w:hint="eastAsia" w:ascii="方正仿宋_GB2312" w:hAnsi="方正仿宋_GB2312" w:eastAsia="方正仿宋_GB2312" w:cs="方正仿宋_GB2312"/>
              <w:b/>
              <w:sz w:val="32"/>
              <w:szCs w:val="32"/>
            </w:rPr>
            <w:fldChar w:fldCharType="begin"/>
          </w:r>
          <w:r>
            <w:rPr>
              <w:rFonts w:hint="eastAsia" w:ascii="方正仿宋_GB2312" w:hAnsi="方正仿宋_GB2312" w:eastAsia="方正仿宋_GB2312" w:cs="方正仿宋_GB2312"/>
              <w:b/>
              <w:sz w:val="32"/>
              <w:szCs w:val="32"/>
            </w:rPr>
            <w:instrText xml:space="preserve"> PAGEREF _Toc1552 \h </w:instrText>
          </w:r>
          <w:r>
            <w:rPr>
              <w:rFonts w:hint="eastAsia" w:ascii="方正仿宋_GB2312" w:hAnsi="方正仿宋_GB2312" w:eastAsia="方正仿宋_GB2312" w:cs="方正仿宋_GB2312"/>
              <w:b/>
              <w:sz w:val="32"/>
              <w:szCs w:val="32"/>
            </w:rPr>
            <w:fldChar w:fldCharType="separate"/>
          </w:r>
          <w:r>
            <w:rPr>
              <w:rFonts w:hint="eastAsia" w:ascii="方正仿宋_GB2312" w:hAnsi="方正仿宋_GB2312" w:eastAsia="方正仿宋_GB2312" w:cs="方正仿宋_GB2312"/>
              <w:b/>
              <w:sz w:val="32"/>
              <w:szCs w:val="32"/>
            </w:rPr>
            <w:t>16</w:t>
          </w:r>
          <w:r>
            <w:rPr>
              <w:rFonts w:hint="eastAsia" w:ascii="方正仿宋_GB2312" w:hAnsi="方正仿宋_GB2312" w:eastAsia="方正仿宋_GB2312" w:cs="方正仿宋_GB2312"/>
              <w:b/>
              <w:sz w:val="32"/>
              <w:szCs w:val="32"/>
            </w:rPr>
            <w:fldChar w:fldCharType="end"/>
          </w: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方正仿宋_GB2312" w:hAnsi="方正仿宋_GB2312" w:eastAsia="方正仿宋_GB2312" w:cs="方正仿宋_GB2312"/>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0" w:firstLineChars="0"/>
        <w:jc w:val="left"/>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21606"/>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6123"/>
      <w:r>
        <w:rPr>
          <w:rFonts w:hint="eastAsia" w:ascii="楷体_GB2312" w:hAnsi="楷体_GB2312" w:eastAsia="楷体_GB2312" w:cs="楷体_GB2312"/>
          <w:sz w:val="32"/>
          <w:szCs w:val="32"/>
        </w:rPr>
        <w:t>（一）</w:t>
      </w:r>
      <w:r>
        <w:rPr>
          <w:rFonts w:hint="eastAsia" w:ascii="楷体_GB2312" w:hAnsi="楷体_GB2312" w:eastAsia="楷体_GB2312" w:cs="楷体_GB2312"/>
          <w:color w:val="auto"/>
          <w:sz w:val="32"/>
          <w:szCs w:val="32"/>
          <w:lang w:val="en-US" w:eastAsia="zh-CN"/>
        </w:rPr>
        <w:t>区教育局</w:t>
      </w:r>
      <w:r>
        <w:rPr>
          <w:rFonts w:hint="eastAsia" w:ascii="楷体_GB2312" w:hAnsi="楷体_GB2312" w:eastAsia="楷体_GB2312" w:cs="楷体_GB2312"/>
          <w:sz w:val="32"/>
          <w:szCs w:val="32"/>
        </w:rPr>
        <w:t>职能简介</w:t>
      </w:r>
      <w:bookmarkEnd w:id="1"/>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bookmarkStart w:id="2" w:name="_Toc26323"/>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1.贯彻执行中央、省、市有关教育方针政策和法律法规，提出全区教育发展战略，制定教育政策性、规范性文件并监督执行。</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2.编制全区教育事业的发展规划和年度计划并组织实施；确定教育事业发展重点、规模和速度。</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3.综合管理全区的教育事业，负责全区幼儿教育、基础教育、成人教育、职业教育和社会力量办学工作；指导各类学校的思想政治工作、教学工作、体育卫生工作、法治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水平、加强学校干部队伍建设。</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5.统筹和指导全区教育督导工作，负责对中等及中等以下教育、扫除青壮年文盲工作的督导检查和评估验收工作，指导基础教育水平和质量的监测工作。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6.主管全区教师工作。会同有关部门规定教育系统人事管理工作的有关政策和规章制度；根据中央、省、市制定的各类学校编制标准管理学校的编制；根据国家、省、市教育发展规划纲要和有关文件规定，组织实施，负责教师的招聘、调配交流、工资福利、考核奖惩工作，负责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7.贯彻执行国家语言文字工作的方针政策，拟订语言文字工作中长期规划和工作计划，指导普通话推广和普通话师资培训工作。承担元坝区语言文字工作委员会的具体工作。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8.负责全区大中专学校招生考试和高等教育自学考试工作。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9.统一管理本部门的经费。参与制定教育经费、拨款和基建投资的政策和措施；具体组织实施经区财政预算的教育经费计划；会同物价、财政等部门制定教育收费项目及标准；协助教育费附加的征收和管理；管理国家、省、市对我区教育项目的拨款经费；管理国内外对我区教育的援助资金和贷款。负责教育后勤与产业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10.负责全区教育管理资料统计、档案及信息系统的开发和建设工作；指导教育方针政策的宣传和舆论监督工作。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11.管理区教育局直属事业单位；指导全区教育系统社团和群团组织的管理工作。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楷体_GB2312" w:hAnsi="楷体_GB2312" w:eastAsia="楷体_GB2312" w:cs="楷体_GB2312"/>
          <w:color w:val="auto"/>
          <w:sz w:val="32"/>
          <w:szCs w:val="32"/>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12.承办区政府公布的有关行政审批事项和交办的其它事项。</w:t>
      </w:r>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仿宋"/>
          <w:b w:val="0"/>
          <w:bCs w:val="0"/>
          <w:color w:val="auto"/>
          <w:sz w:val="32"/>
          <w:szCs w:val="32"/>
          <w:lang w:eastAsia="zh-CN"/>
        </w:rPr>
      </w:pPr>
      <w:r>
        <w:rPr>
          <w:rFonts w:hint="eastAsia" w:ascii="Times New Roman" w:hAnsi="Times New Roman" w:eastAsia="楷体_GB2312" w:cs="Times New Roman"/>
          <w:b/>
          <w:bCs/>
          <w:color w:val="auto"/>
          <w:kern w:val="2"/>
          <w:sz w:val="32"/>
          <w:szCs w:val="32"/>
          <w:lang w:val="en-US" w:eastAsia="zh-CN" w:bidi="ar-SA"/>
        </w:rPr>
        <w:t>1.强化党建核心引领作用。</w:t>
      </w:r>
      <w:r>
        <w:rPr>
          <w:rFonts w:hint="eastAsia" w:ascii="仿宋" w:hAnsi="仿宋" w:eastAsia="仿宋" w:cs="仿宋"/>
          <w:b w:val="0"/>
          <w:bCs w:val="0"/>
          <w:color w:val="auto"/>
          <w:sz w:val="32"/>
          <w:szCs w:val="32"/>
          <w:lang w:val="en-US" w:eastAsia="zh-CN"/>
        </w:rPr>
        <w:t>深入学习贯彻</w:t>
      </w:r>
      <w:r>
        <w:rPr>
          <w:rFonts w:hint="eastAsia" w:ascii="仿宋" w:hAnsi="仿宋" w:eastAsia="仿宋" w:cs="仿宋"/>
          <w:b w:val="0"/>
          <w:bCs w:val="0"/>
          <w:color w:val="auto"/>
          <w:sz w:val="32"/>
          <w:szCs w:val="32"/>
          <w:lang w:eastAsia="zh-CN"/>
        </w:rPr>
        <w:t>习近平新时代中国特色社会主义思想、习近平总书记来川来广视察重要指示</w:t>
      </w:r>
      <w:r>
        <w:rPr>
          <w:rFonts w:hint="eastAsia" w:ascii="仿宋" w:hAnsi="仿宋" w:eastAsia="仿宋" w:cs="仿宋"/>
          <w:b w:val="0"/>
          <w:bCs w:val="0"/>
          <w:color w:val="auto"/>
          <w:sz w:val="32"/>
          <w:szCs w:val="32"/>
          <w:lang w:val="en-US" w:eastAsia="zh-CN"/>
        </w:rPr>
        <w:t>和党的二十大精神，加强党员干部思想政治教育，以党的创新理论最新成果武装头脑、指导实践、推动工作</w:t>
      </w:r>
      <w:r>
        <w:rPr>
          <w:rFonts w:hint="eastAsia" w:ascii="仿宋_GB2312" w:hAnsi="仿宋_GB2312" w:eastAsia="仿宋_GB2312" w:cs="仿宋_GB2312"/>
          <w:color w:val="auto"/>
          <w:kern w:val="2"/>
          <w:sz w:val="32"/>
          <w:szCs w:val="32"/>
          <w:lang w:val="en-US" w:eastAsia="zh-CN" w:bidi="ar-SA"/>
        </w:rPr>
        <w:t>。</w:t>
      </w:r>
      <w:r>
        <w:rPr>
          <w:rFonts w:hint="eastAsia" w:ascii="仿宋" w:hAnsi="仿宋" w:eastAsia="仿宋" w:cs="仿宋"/>
          <w:b w:val="0"/>
          <w:bCs w:val="0"/>
          <w:color w:val="auto"/>
          <w:sz w:val="32"/>
          <w:szCs w:val="32"/>
          <w:lang w:eastAsia="zh-CN"/>
        </w:rPr>
        <w:t>推动完善区委教育工作领导小组的议事决策和督查落实机制，以确保党中央、省市区委教育重大决策的顺利实施。</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rPr>
      </w:pPr>
      <w:r>
        <w:rPr>
          <w:rFonts w:hint="eastAsia" w:ascii="Times New Roman" w:hAnsi="Times New Roman" w:eastAsia="楷体_GB2312" w:cs="Times New Roman"/>
          <w:b/>
          <w:bCs/>
          <w:color w:val="auto"/>
          <w:sz w:val="32"/>
          <w:szCs w:val="32"/>
          <w:lang w:val="en-US" w:eastAsia="zh-CN"/>
        </w:rPr>
        <w:t>2.夯实基层党组织基础。</w:t>
      </w:r>
      <w:r>
        <w:rPr>
          <w:rFonts w:hint="default" w:ascii="Times New Roman" w:hAnsi="Times New Roman" w:eastAsia="仿宋_GB2312" w:cs="Times New Roman"/>
          <w:color w:val="auto"/>
          <w:sz w:val="32"/>
          <w:szCs w:val="32"/>
        </w:rPr>
        <w:t>巩固</w:t>
      </w:r>
      <w:r>
        <w:rPr>
          <w:rFonts w:hint="eastAsia" w:ascii="Times New Roman" w:hAnsi="Times New Roman" w:eastAsia="仿宋_GB2312" w:cs="Times New Roman"/>
          <w:color w:val="auto"/>
          <w:sz w:val="32"/>
          <w:szCs w:val="32"/>
          <w:lang w:val="en-US" w:eastAsia="zh-CN"/>
        </w:rPr>
        <w:t>提升</w:t>
      </w:r>
      <w:r>
        <w:rPr>
          <w:rFonts w:hint="default" w:ascii="Times New Roman" w:hAnsi="Times New Roman" w:eastAsia="仿宋_GB2312" w:cs="Times New Roman"/>
          <w:color w:val="auto"/>
          <w:sz w:val="32"/>
          <w:szCs w:val="32"/>
        </w:rPr>
        <w:t>党支部标准化规范化建设</w:t>
      </w:r>
      <w:r>
        <w:rPr>
          <w:rFonts w:hint="eastAsia" w:ascii="Times New Roman" w:hAnsi="Times New Roman" w:eastAsia="仿宋_GB2312" w:cs="Times New Roman"/>
          <w:color w:val="auto"/>
          <w:sz w:val="32"/>
          <w:szCs w:val="32"/>
          <w:lang w:val="en-US" w:eastAsia="zh-CN"/>
        </w:rPr>
        <w:t>成果</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规范组织生活，提高</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三会一课</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质量，落实民主评议党员和主题党日等制度。指导</w:t>
      </w:r>
      <w:r>
        <w:rPr>
          <w:rFonts w:hint="eastAsia" w:ascii="Times New Roman" w:hAnsi="Times New Roman" w:eastAsia="仿宋_GB2312" w:cs="Times New Roman"/>
          <w:color w:val="auto"/>
          <w:sz w:val="32"/>
          <w:szCs w:val="32"/>
          <w:lang w:val="en-US" w:eastAsia="zh-CN"/>
        </w:rPr>
        <w:t>系统内各党组织</w:t>
      </w:r>
      <w:r>
        <w:rPr>
          <w:rFonts w:hint="default" w:ascii="Times New Roman" w:hAnsi="Times New Roman" w:eastAsia="仿宋_GB2312" w:cs="Times New Roman"/>
          <w:color w:val="auto"/>
          <w:sz w:val="32"/>
          <w:szCs w:val="32"/>
        </w:rPr>
        <w:t>找准党建与业务深度融合切入点，</w:t>
      </w:r>
      <w:r>
        <w:rPr>
          <w:rFonts w:hint="eastAsia" w:ascii="Times New Roman" w:hAnsi="Times New Roman" w:eastAsia="仿宋_GB2312" w:cs="Times New Roman"/>
          <w:color w:val="auto"/>
          <w:sz w:val="32"/>
          <w:szCs w:val="32"/>
          <w:lang w:val="en-US" w:eastAsia="zh-CN"/>
        </w:rPr>
        <w:t>切实提高党建工作水平</w:t>
      </w:r>
      <w:r>
        <w:rPr>
          <w:rFonts w:hint="default" w:ascii="Times New Roman" w:hAnsi="Times New Roman" w:eastAsia="仿宋_GB2312" w:cs="Times New Roman"/>
          <w:color w:val="auto"/>
          <w:sz w:val="32"/>
          <w:szCs w:val="32"/>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eastAsia="zh-CN"/>
        </w:rPr>
      </w:pPr>
      <w:r>
        <w:rPr>
          <w:rFonts w:hint="eastAsia" w:ascii="Times New Roman" w:hAnsi="Times New Roman" w:eastAsia="楷体_GB2312" w:cs="Times New Roman"/>
          <w:b/>
          <w:bCs/>
          <w:color w:val="auto"/>
          <w:sz w:val="32"/>
          <w:szCs w:val="32"/>
        </w:rPr>
        <w:t xml:space="preserve"> </w:t>
      </w:r>
      <w:r>
        <w:rPr>
          <w:rFonts w:hint="eastAsia" w:ascii="Times New Roman" w:hAnsi="Times New Roman" w:eastAsia="楷体_GB2312" w:cs="Times New Roman"/>
          <w:b/>
          <w:bCs/>
          <w:color w:val="auto"/>
          <w:sz w:val="32"/>
          <w:szCs w:val="32"/>
          <w:lang w:val="en-US" w:eastAsia="zh-CN"/>
        </w:rPr>
        <w:t>3.</w:t>
      </w:r>
      <w:r>
        <w:rPr>
          <w:rFonts w:hint="eastAsia" w:ascii="Times New Roman" w:hAnsi="Times New Roman" w:eastAsia="楷体_GB2312" w:cs="Times New Roman"/>
          <w:b/>
          <w:bCs/>
          <w:color w:val="auto"/>
          <w:sz w:val="32"/>
          <w:szCs w:val="32"/>
        </w:rPr>
        <w:t>推进全面从严治党。</w:t>
      </w:r>
      <w:r>
        <w:rPr>
          <w:rFonts w:hint="eastAsia" w:ascii="仿宋_GB2312" w:hAnsi="仿宋_GB2312" w:eastAsia="仿宋_GB2312" w:cs="仿宋_GB2312"/>
          <w:color w:val="auto"/>
          <w:sz w:val="32"/>
          <w:szCs w:val="32"/>
        </w:rPr>
        <w:t>认真落实全面从严治党主体责任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压实压紧责任链条</w:t>
      </w:r>
      <w:r>
        <w:rPr>
          <w:rFonts w:hint="default" w:ascii="Times New Roman" w:hAnsi="Times New Roman" w:eastAsia="仿宋_GB2312" w:cs="Times New Roman"/>
          <w:color w:val="auto"/>
          <w:sz w:val="32"/>
          <w:szCs w:val="32"/>
          <w:lang w:eastAsia="zh-CN"/>
        </w:rPr>
        <w:t>，推动“四责协同”一体联动。坚持正向引导和反面警示相结合，增强警示教育针对性、震慑力和实效性</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eastAsia="zh-CN"/>
        </w:rPr>
        <w:t>强化廉洁自律意识，</w:t>
      </w:r>
      <w:r>
        <w:rPr>
          <w:rFonts w:hint="eastAsia" w:ascii="Times New Roman" w:hAnsi="Times New Roman" w:eastAsia="仿宋_GB2312" w:cs="Times New Roman"/>
          <w:color w:val="auto"/>
          <w:sz w:val="32"/>
          <w:szCs w:val="32"/>
          <w:lang w:val="en-US" w:eastAsia="zh-CN"/>
        </w:rPr>
        <w:t>引导</w:t>
      </w:r>
      <w:r>
        <w:rPr>
          <w:rFonts w:hint="default" w:ascii="Times New Roman" w:hAnsi="Times New Roman" w:eastAsia="仿宋_GB2312" w:cs="Times New Roman"/>
          <w:color w:val="auto"/>
          <w:sz w:val="32"/>
          <w:szCs w:val="32"/>
          <w:lang w:eastAsia="zh-CN"/>
        </w:rPr>
        <w:t>党员干部知敬畏、存戒惧、守底线</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推动清廉校园建设</w:t>
      </w:r>
      <w:r>
        <w:rPr>
          <w:rFonts w:hint="default" w:ascii="Times New Roman" w:hAnsi="Times New Roman" w:eastAsia="仿宋_GB2312" w:cs="Times New Roman"/>
          <w:color w:val="auto"/>
          <w:sz w:val="32"/>
          <w:szCs w:val="32"/>
          <w:lang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rPr>
      </w:pPr>
      <w:r>
        <w:rPr>
          <w:rFonts w:hint="eastAsia" w:ascii="Times New Roman" w:hAnsi="Times New Roman" w:eastAsia="楷体_GB2312" w:cs="Times New Roman"/>
          <w:b/>
          <w:bCs/>
          <w:color w:val="auto"/>
          <w:sz w:val="32"/>
          <w:szCs w:val="32"/>
          <w:lang w:val="en-US" w:eastAsia="zh-CN"/>
        </w:rPr>
        <w:t>4.提升意识形态工作实效</w:t>
      </w:r>
      <w:r>
        <w:rPr>
          <w:rFonts w:hint="eastAsia" w:ascii="Times New Roman" w:hAnsi="Times New Roman" w:eastAsia="楷体_GB2312" w:cs="Times New Roman"/>
          <w:b/>
          <w:bCs/>
          <w:color w:val="auto"/>
          <w:sz w:val="32"/>
          <w:szCs w:val="32"/>
        </w:rPr>
        <w:t>。</w:t>
      </w:r>
      <w:r>
        <w:rPr>
          <w:rFonts w:hint="default" w:ascii="Times New Roman" w:hAnsi="Times New Roman" w:eastAsia="仿宋_GB2312" w:cs="Times New Roman"/>
          <w:color w:val="auto"/>
          <w:sz w:val="32"/>
          <w:szCs w:val="32"/>
          <w:lang w:eastAsia="zh-CN"/>
        </w:rPr>
        <w:t>定期</w:t>
      </w:r>
      <w:r>
        <w:rPr>
          <w:rFonts w:hint="eastAsia" w:ascii="Times New Roman" w:hAnsi="Times New Roman" w:eastAsia="仿宋_GB2312" w:cs="Times New Roman"/>
          <w:color w:val="auto"/>
          <w:sz w:val="32"/>
          <w:szCs w:val="32"/>
          <w:lang w:val="en-US" w:eastAsia="zh-CN"/>
        </w:rPr>
        <w:t>进行教育系统</w:t>
      </w:r>
      <w:r>
        <w:rPr>
          <w:rFonts w:hint="default" w:ascii="Times New Roman" w:hAnsi="Times New Roman" w:eastAsia="仿宋_GB2312" w:cs="Times New Roman"/>
          <w:color w:val="auto"/>
          <w:sz w:val="32"/>
          <w:szCs w:val="32"/>
          <w:lang w:eastAsia="zh-CN"/>
        </w:rPr>
        <w:t>意识形态</w:t>
      </w:r>
      <w:r>
        <w:rPr>
          <w:rFonts w:hint="eastAsia" w:ascii="Times New Roman" w:hAnsi="Times New Roman" w:eastAsia="仿宋_GB2312" w:cs="Times New Roman"/>
          <w:color w:val="auto"/>
          <w:sz w:val="32"/>
          <w:szCs w:val="32"/>
          <w:lang w:val="en-US" w:eastAsia="zh-CN"/>
        </w:rPr>
        <w:t>工作研判</w:t>
      </w:r>
      <w:r>
        <w:rPr>
          <w:rFonts w:hint="default" w:ascii="Times New Roman" w:hAnsi="Times New Roman" w:eastAsia="仿宋_GB2312" w:cs="Times New Roman"/>
          <w:color w:val="auto"/>
          <w:sz w:val="32"/>
          <w:szCs w:val="32"/>
          <w:lang w:eastAsia="zh-CN"/>
        </w:rPr>
        <w:t>，做好社</w:t>
      </w:r>
      <w:r>
        <w:rPr>
          <w:rFonts w:hint="eastAsia" w:ascii="Times New Roman" w:hAnsi="Times New Roman" w:eastAsia="仿宋_GB2312" w:cs="Times New Roman"/>
          <w:color w:val="auto"/>
          <w:sz w:val="32"/>
          <w:szCs w:val="32"/>
          <w:lang w:val="en-US" w:eastAsia="zh-CN"/>
        </w:rPr>
        <w:t>会</w:t>
      </w:r>
      <w:r>
        <w:rPr>
          <w:rFonts w:hint="default" w:ascii="Times New Roman" w:hAnsi="Times New Roman" w:eastAsia="仿宋_GB2312" w:cs="Times New Roman"/>
          <w:color w:val="auto"/>
          <w:sz w:val="32"/>
          <w:szCs w:val="32"/>
          <w:lang w:eastAsia="zh-CN"/>
        </w:rPr>
        <w:t>舆情热点信息监测，严格管控微博、微信、QQ等网络社交平台使用。</w:t>
      </w:r>
      <w:r>
        <w:rPr>
          <w:rFonts w:hint="eastAsia" w:ascii="仿宋_GB2312" w:hAnsi="仿宋_GB2312" w:eastAsia="仿宋_GB2312" w:cs="仿宋_GB2312"/>
          <w:color w:val="auto"/>
          <w:sz w:val="32"/>
          <w:szCs w:val="32"/>
        </w:rPr>
        <w:t>优化对外宣传工作机制，拓宽传播渠道、丰富发布形式，</w:t>
      </w:r>
      <w:r>
        <w:rPr>
          <w:rFonts w:hint="eastAsia" w:ascii="仿宋_GB2312" w:hAnsi="仿宋_GB2312" w:eastAsia="仿宋_GB2312" w:cs="仿宋_GB2312"/>
          <w:color w:val="auto"/>
          <w:sz w:val="32"/>
          <w:szCs w:val="32"/>
          <w:lang w:val="en-US" w:eastAsia="zh-CN"/>
        </w:rPr>
        <w:t>及时</w:t>
      </w:r>
      <w:r>
        <w:rPr>
          <w:rFonts w:hint="eastAsia" w:ascii="仿宋_GB2312" w:hAnsi="仿宋_GB2312" w:eastAsia="仿宋_GB2312" w:cs="仿宋_GB2312"/>
          <w:color w:val="auto"/>
          <w:sz w:val="32"/>
          <w:szCs w:val="32"/>
        </w:rPr>
        <w:t>传播</w:t>
      </w:r>
      <w:r>
        <w:rPr>
          <w:rFonts w:hint="eastAsia" w:ascii="仿宋_GB2312" w:hAnsi="仿宋_GB2312" w:eastAsia="仿宋_GB2312" w:cs="仿宋_GB2312"/>
          <w:color w:val="auto"/>
          <w:sz w:val="32"/>
          <w:szCs w:val="32"/>
          <w:lang w:val="en-US" w:eastAsia="zh-CN"/>
        </w:rPr>
        <w:t>昭化</w:t>
      </w:r>
      <w:r>
        <w:rPr>
          <w:rFonts w:hint="eastAsia" w:ascii="仿宋_GB2312" w:hAnsi="仿宋_GB2312" w:eastAsia="仿宋_GB2312" w:cs="仿宋_GB2312"/>
          <w:color w:val="auto"/>
          <w:sz w:val="32"/>
          <w:szCs w:val="32"/>
        </w:rPr>
        <w:t>教育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好声音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rPr>
      </w:pPr>
      <w:r>
        <w:rPr>
          <w:rFonts w:hint="eastAsia" w:ascii="Times New Roman" w:hAnsi="Times New Roman" w:eastAsia="楷体_GB2312" w:cs="Times New Roman"/>
          <w:b/>
          <w:bCs/>
          <w:color w:val="auto"/>
          <w:sz w:val="32"/>
          <w:szCs w:val="32"/>
          <w:lang w:val="en-US" w:eastAsia="zh-CN"/>
        </w:rPr>
        <w:t>5.</w:t>
      </w:r>
      <w:r>
        <w:rPr>
          <w:rFonts w:hint="eastAsia" w:ascii="Times New Roman" w:hAnsi="Times New Roman" w:eastAsia="楷体_GB2312" w:cs="Times New Roman"/>
          <w:b/>
          <w:bCs/>
          <w:color w:val="auto"/>
          <w:sz w:val="32"/>
          <w:szCs w:val="32"/>
        </w:rPr>
        <w:t>牢牢把握培根铸魂</w:t>
      </w:r>
      <w:r>
        <w:rPr>
          <w:rFonts w:hint="eastAsia" w:ascii="Times New Roman" w:hAnsi="Times New Roman" w:eastAsia="楷体_GB2312" w:cs="Times New Roman"/>
          <w:b/>
          <w:bCs/>
          <w:color w:val="auto"/>
          <w:sz w:val="32"/>
          <w:szCs w:val="32"/>
          <w:lang w:eastAsia="zh-CN"/>
        </w:rPr>
        <w:t>的</w:t>
      </w:r>
      <w:r>
        <w:rPr>
          <w:rFonts w:hint="eastAsia" w:ascii="Times New Roman" w:hAnsi="Times New Roman" w:eastAsia="楷体_GB2312" w:cs="Times New Roman"/>
          <w:b/>
          <w:bCs/>
          <w:color w:val="auto"/>
          <w:sz w:val="32"/>
          <w:szCs w:val="32"/>
        </w:rPr>
        <w:t>正确方向。</w:t>
      </w:r>
      <w:r>
        <w:rPr>
          <w:rFonts w:hint="default" w:ascii="Times New Roman" w:hAnsi="Times New Roman" w:eastAsia="仿宋_GB2312" w:cs="Times New Roman"/>
          <w:color w:val="auto"/>
          <w:sz w:val="32"/>
          <w:szCs w:val="32"/>
          <w:lang w:val="en-US" w:eastAsia="zh-CN"/>
        </w:rPr>
        <w:t>推动学校家庭社会共同育人，构建德智体美劳全面</w:t>
      </w:r>
      <w:r>
        <w:rPr>
          <w:rFonts w:hint="eastAsia" w:ascii="Times New Roman" w:hAnsi="Times New Roman" w:eastAsia="仿宋_GB2312" w:cs="Times New Roman"/>
          <w:color w:val="auto"/>
          <w:sz w:val="32"/>
          <w:szCs w:val="32"/>
          <w:lang w:val="en-US" w:eastAsia="zh-CN"/>
        </w:rPr>
        <w:t>育人</w:t>
      </w:r>
      <w:r>
        <w:rPr>
          <w:rFonts w:hint="default" w:ascii="Times New Roman" w:hAnsi="Times New Roman" w:eastAsia="仿宋_GB2312" w:cs="Times New Roman"/>
          <w:color w:val="auto"/>
          <w:sz w:val="32"/>
          <w:szCs w:val="32"/>
          <w:lang w:val="en-US" w:eastAsia="zh-CN"/>
        </w:rPr>
        <w:t>体系。</w:t>
      </w:r>
      <w:r>
        <w:rPr>
          <w:rFonts w:hint="default" w:ascii="Times New Roman" w:hAnsi="Times New Roman" w:eastAsia="仿宋_GB2312" w:cs="Times New Roman"/>
          <w:color w:val="auto"/>
          <w:sz w:val="32"/>
          <w:szCs w:val="32"/>
        </w:rPr>
        <w:t>落实《中小学德育工作指南》，</w:t>
      </w:r>
      <w:r>
        <w:rPr>
          <w:rFonts w:hint="eastAsia" w:ascii="Times New Roman" w:hAnsi="Times New Roman" w:eastAsia="仿宋_GB2312" w:cs="Times New Roman"/>
          <w:color w:val="auto"/>
          <w:sz w:val="32"/>
          <w:szCs w:val="32"/>
          <w:lang w:val="en-US" w:eastAsia="zh-CN"/>
        </w:rPr>
        <w:t>实施时代新人铸魂工程，</w:t>
      </w:r>
      <w:r>
        <w:rPr>
          <w:rFonts w:hint="default" w:ascii="Times New Roman" w:hAnsi="Times New Roman" w:eastAsia="仿宋_GB2312" w:cs="Times New Roman"/>
          <w:color w:val="auto"/>
          <w:sz w:val="32"/>
          <w:szCs w:val="32"/>
        </w:rPr>
        <w:t>推进习近平新时代中国特色社会主义思想</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党的二十大精神、社会主义核心价值观</w:t>
      </w:r>
      <w:r>
        <w:rPr>
          <w:rFonts w:hint="default" w:ascii="Times New Roman" w:hAnsi="Times New Roman" w:eastAsia="仿宋_GB2312" w:cs="Times New Roman"/>
          <w:color w:val="auto"/>
          <w:sz w:val="32"/>
          <w:szCs w:val="32"/>
        </w:rPr>
        <w:t>进教材进课堂进头脑。统筹推进中小</w:t>
      </w:r>
      <w:r>
        <w:rPr>
          <w:rFonts w:hint="eastAsia" w:ascii="Times New Roman" w:hAnsi="Times New Roman" w:eastAsia="仿宋_GB2312" w:cs="Times New Roman"/>
          <w:color w:val="auto"/>
          <w:sz w:val="32"/>
          <w:szCs w:val="32"/>
          <w:lang w:val="en-US" w:eastAsia="zh-CN"/>
        </w:rPr>
        <w:t>幼</w:t>
      </w:r>
      <w:r>
        <w:rPr>
          <w:rFonts w:hint="default" w:ascii="Times New Roman" w:hAnsi="Times New Roman" w:eastAsia="仿宋_GB2312" w:cs="Times New Roman"/>
          <w:color w:val="auto"/>
          <w:sz w:val="32"/>
          <w:szCs w:val="32"/>
        </w:rPr>
        <w:t>思政一体化建设，深化</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四</w:t>
      </w:r>
      <w:r>
        <w:rPr>
          <w:rFonts w:hint="default" w:ascii="Times New Roman" w:hAnsi="Times New Roman" w:eastAsia="仿宋_GB2312" w:cs="Times New Roman"/>
          <w:color w:val="auto"/>
          <w:sz w:val="32"/>
          <w:szCs w:val="32"/>
        </w:rPr>
        <w:t>史</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教育</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探索构建网络思政新格局。开展文明校园、温馨校园创建。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6.</w:t>
      </w:r>
      <w:r>
        <w:rPr>
          <w:rFonts w:hint="eastAsia" w:ascii="Times New Roman" w:hAnsi="Times New Roman" w:eastAsia="楷体_GB2312"/>
          <w:b/>
          <w:bCs/>
          <w:color w:val="auto"/>
          <w:sz w:val="32"/>
          <w:szCs w:val="32"/>
        </w:rPr>
        <w:t>普及普惠发展学前教育。</w:t>
      </w:r>
      <w:r>
        <w:rPr>
          <w:rFonts w:hint="default" w:ascii="Times New Roman" w:hAnsi="Times New Roman" w:eastAsia="仿宋_GB2312" w:cs="Times New Roman"/>
          <w:color w:val="auto"/>
          <w:sz w:val="32"/>
          <w:szCs w:val="32"/>
          <w:lang w:val="en-US" w:eastAsia="zh-CN"/>
        </w:rPr>
        <w:t>落实</w:t>
      </w:r>
      <w:r>
        <w:rPr>
          <w:rFonts w:hint="default" w:ascii="Times New Roman" w:hAnsi="Times New Roman" w:eastAsia="仿宋_GB2312" w:cs="Times New Roman"/>
          <w:color w:val="auto"/>
          <w:sz w:val="32"/>
          <w:szCs w:val="32"/>
        </w:rPr>
        <w:t>《昭化区“十四五”学前教育发展提升行动计划》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规范民办园、小学附属园保教行为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健全幼儿园保教质量评估体系，完善区域教研和园本教研制度，</w:t>
      </w:r>
      <w:r>
        <w:rPr>
          <w:rFonts w:hint="eastAsia" w:ascii="Times New Roman" w:hAnsi="Times New Roman" w:eastAsia="仿宋_GB2312" w:cs="Times New Roman"/>
          <w:color w:val="auto"/>
          <w:sz w:val="32"/>
          <w:szCs w:val="32"/>
          <w:lang w:val="en-US" w:eastAsia="zh-CN"/>
        </w:rPr>
        <w:t>持续</w:t>
      </w:r>
      <w:r>
        <w:rPr>
          <w:rFonts w:hint="default" w:ascii="Times New Roman" w:hAnsi="Times New Roman" w:eastAsia="仿宋_GB2312" w:cs="Times New Roman"/>
          <w:color w:val="auto"/>
          <w:sz w:val="32"/>
          <w:szCs w:val="32"/>
          <w:lang w:val="en-US" w:eastAsia="zh-CN"/>
        </w:rPr>
        <w:t>推进星级幼儿园创建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促进城乡园协同发展。加大普惠性民办幼儿园认定和扶持力度，巩固提升“80·50”计划实施成果</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推进国家学前教育普及普惠发展县（区）创建工作。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7.</w:t>
      </w:r>
      <w:r>
        <w:rPr>
          <w:rFonts w:hint="eastAsia" w:ascii="Times New Roman" w:hAnsi="Times New Roman" w:eastAsia="楷体_GB2312"/>
          <w:b/>
          <w:bCs/>
          <w:color w:val="auto"/>
          <w:sz w:val="32"/>
          <w:szCs w:val="32"/>
        </w:rPr>
        <w:t>优质均衡发展义务教育。</w:t>
      </w:r>
      <w:r>
        <w:rPr>
          <w:rFonts w:hint="eastAsia" w:ascii="Times New Roman" w:hAnsi="Times New Roman" w:eastAsia="仿宋_GB2312" w:cs="Times New Roman"/>
          <w:color w:val="auto"/>
          <w:sz w:val="32"/>
          <w:szCs w:val="32"/>
          <w:lang w:val="en-US" w:eastAsia="zh-CN"/>
        </w:rPr>
        <w:t>持续深化基础教育学校布局调整，推进闲置教育资源转化利用。深入推进</w:t>
      </w:r>
      <w:r>
        <w:rPr>
          <w:rFonts w:hint="default" w:ascii="Times New Roman" w:hAnsi="Times New Roman" w:eastAsia="仿宋_GB2312" w:cs="Times New Roman"/>
          <w:color w:val="auto"/>
          <w:sz w:val="32"/>
          <w:szCs w:val="32"/>
          <w:lang w:val="en-US" w:eastAsia="zh-CN"/>
        </w:rPr>
        <w:t>学区制改革</w:t>
      </w:r>
      <w:r>
        <w:rPr>
          <w:rFonts w:hint="eastAsia"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lang w:val="en-US" w:eastAsia="zh-CN"/>
        </w:rPr>
        <w:t>集团</w:t>
      </w:r>
      <w:r>
        <w:rPr>
          <w:rFonts w:hint="eastAsia" w:ascii="Times New Roman" w:hAnsi="Times New Roman" w:eastAsia="仿宋_GB2312" w:cs="Times New Roman"/>
          <w:color w:val="auto"/>
          <w:sz w:val="32"/>
          <w:szCs w:val="32"/>
          <w:lang w:val="en-US" w:eastAsia="zh-CN"/>
        </w:rPr>
        <w:t>化办学，加强城乡学校共同体建设。</w:t>
      </w:r>
      <w:r>
        <w:rPr>
          <w:rFonts w:hint="default" w:ascii="Times New Roman" w:hAnsi="Times New Roman" w:eastAsia="仿宋_GB2312" w:cs="Times New Roman"/>
          <w:color w:val="auto"/>
          <w:sz w:val="32"/>
          <w:szCs w:val="32"/>
          <w:lang w:val="en-US" w:eastAsia="zh-CN"/>
        </w:rPr>
        <w:t>制定《义务教育新优质学校成长发展规划》，培育一批新优质学校</w:t>
      </w:r>
      <w:r>
        <w:rPr>
          <w:rFonts w:hint="eastAsia" w:ascii="Times New Roman" w:hAnsi="Times New Roman" w:eastAsia="仿宋_GB2312" w:cs="Times New Roman"/>
          <w:color w:val="auto"/>
          <w:sz w:val="32"/>
          <w:szCs w:val="32"/>
          <w:lang w:val="en-US" w:eastAsia="zh-CN"/>
        </w:rPr>
        <w:t>，深化城区中小学特色塑造。</w:t>
      </w:r>
      <w:r>
        <w:rPr>
          <w:rFonts w:hint="default" w:ascii="Times New Roman" w:hAnsi="Times New Roman" w:eastAsia="仿宋_GB2312" w:cs="Times New Roman"/>
          <w:color w:val="auto"/>
          <w:sz w:val="32"/>
          <w:szCs w:val="32"/>
          <w:lang w:val="en-US" w:eastAsia="zh-CN"/>
        </w:rPr>
        <w:t>健全控辍保学常态</w:t>
      </w:r>
      <w:r>
        <w:rPr>
          <w:rFonts w:hint="eastAsia" w:ascii="Times New Roman" w:hAnsi="Times New Roman" w:eastAsia="仿宋_GB2312" w:cs="Times New Roman"/>
          <w:color w:val="auto"/>
          <w:sz w:val="32"/>
          <w:szCs w:val="32"/>
          <w:lang w:val="en-US" w:eastAsia="zh-CN"/>
        </w:rPr>
        <w:t>化</w:t>
      </w:r>
      <w:r>
        <w:rPr>
          <w:rFonts w:hint="default" w:ascii="Times New Roman" w:hAnsi="Times New Roman" w:eastAsia="仿宋_GB2312" w:cs="Times New Roman"/>
          <w:color w:val="auto"/>
          <w:sz w:val="32"/>
          <w:szCs w:val="32"/>
          <w:lang w:val="en-US" w:eastAsia="zh-CN"/>
        </w:rPr>
        <w:t>机制，全面规范中小学校招生入学管理，做好进城务工人员随迁子女就学工作。巩固深化</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双减双规</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五项管理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工作，切实减轻学生课业负担，提升课后服务质量。</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8.深入实施高中提升计划</w:t>
      </w:r>
      <w:r>
        <w:rPr>
          <w:rFonts w:hint="eastAsia" w:ascii="Times New Roman" w:hAnsi="Times New Roman" w:eastAsia="楷体_GB2312"/>
          <w:b/>
          <w:bCs/>
          <w:color w:val="auto"/>
          <w:sz w:val="32"/>
          <w:szCs w:val="32"/>
        </w:rPr>
        <w:t>。</w:t>
      </w:r>
      <w:r>
        <w:rPr>
          <w:rFonts w:hint="eastAsia" w:ascii="Times New Roman" w:hAnsi="Times New Roman" w:eastAsia="仿宋_GB2312" w:cs="Times New Roman"/>
          <w:color w:val="auto"/>
          <w:sz w:val="32"/>
          <w:szCs w:val="32"/>
          <w:lang w:val="en-US" w:eastAsia="zh-CN"/>
        </w:rPr>
        <w:t>大力实施高中提升计划，并出台《普通高中优质发展多样化特色发展实施方案》。构建小初高生源稳控联动机制，开展拔尖人才早期识别工作，完善拔尖创新人才培养体系。</w:t>
      </w:r>
      <w:r>
        <w:rPr>
          <w:rFonts w:hint="default" w:ascii="Times New Roman" w:hAnsi="Times New Roman" w:eastAsia="仿宋_GB2312" w:cs="Times New Roman"/>
          <w:color w:val="auto"/>
          <w:sz w:val="32"/>
          <w:szCs w:val="32"/>
          <w:lang w:val="en-US" w:eastAsia="zh-CN"/>
        </w:rPr>
        <w:t>深化公民办合作办学，推动元坝中学“文化+艺体”错位发展，加快德育、教科研、课堂教学改革</w:t>
      </w:r>
      <w:r>
        <w:rPr>
          <w:rFonts w:hint="eastAsia" w:ascii="Times New Roman" w:hAnsi="Times New Roman" w:eastAsia="仿宋_GB2312" w:cs="Times New Roman"/>
          <w:color w:val="auto"/>
          <w:sz w:val="32"/>
          <w:szCs w:val="32"/>
          <w:lang w:val="en-US" w:eastAsia="zh-CN"/>
        </w:rPr>
        <w:t>，构建高效管理模块</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加强</w:t>
      </w:r>
      <w:r>
        <w:rPr>
          <w:rFonts w:hint="default" w:ascii="Times New Roman" w:hAnsi="Times New Roman" w:eastAsia="仿宋_GB2312" w:cs="Times New Roman"/>
          <w:color w:val="auto"/>
          <w:sz w:val="32"/>
          <w:szCs w:val="32"/>
          <w:lang w:val="en-US" w:eastAsia="zh-CN"/>
        </w:rPr>
        <w:t>高考</w:t>
      </w:r>
      <w:r>
        <w:rPr>
          <w:rFonts w:hint="eastAsia" w:ascii="Times New Roman" w:hAnsi="Times New Roman" w:eastAsia="仿宋_GB2312" w:cs="Times New Roman"/>
          <w:color w:val="auto"/>
          <w:sz w:val="32"/>
          <w:szCs w:val="32"/>
          <w:lang w:val="en-US" w:eastAsia="zh-CN"/>
        </w:rPr>
        <w:t>政策宣传和研究，旨在进一步提高高考质量</w:t>
      </w:r>
      <w:r>
        <w:rPr>
          <w:rFonts w:hint="default" w:ascii="Times New Roman" w:hAnsi="Times New Roman" w:eastAsia="仿宋_GB2312" w:cs="Times New Roman"/>
          <w:color w:val="auto"/>
          <w:sz w:val="32"/>
          <w:szCs w:val="32"/>
          <w:lang w:val="en-US"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9</w:t>
      </w:r>
      <w:r>
        <w:rPr>
          <w:rFonts w:ascii="Times New Roman" w:hAnsi="Times New Roman" w:eastAsia="楷体_GB2312"/>
          <w:b/>
          <w:bCs/>
          <w:color w:val="auto"/>
          <w:sz w:val="32"/>
          <w:szCs w:val="32"/>
        </w:rPr>
        <w:t>.</w:t>
      </w:r>
      <w:r>
        <w:rPr>
          <w:rFonts w:hint="eastAsia" w:ascii="Times New Roman" w:hAnsi="Times New Roman" w:eastAsia="楷体_GB2312"/>
          <w:b/>
          <w:bCs/>
          <w:color w:val="auto"/>
          <w:sz w:val="32"/>
          <w:szCs w:val="32"/>
          <w:lang w:val="en-US" w:eastAsia="zh-CN"/>
        </w:rPr>
        <w:t>突破性发展职业教育</w:t>
      </w:r>
      <w:r>
        <w:rPr>
          <w:rFonts w:hint="eastAsia" w:ascii="Times New Roman" w:hAnsi="Times New Roman" w:eastAsia="楷体_GB2312"/>
          <w:b/>
          <w:bCs/>
          <w:color w:val="auto"/>
          <w:sz w:val="32"/>
          <w:szCs w:val="32"/>
        </w:rPr>
        <w:t>。</w:t>
      </w:r>
      <w:r>
        <w:rPr>
          <w:rFonts w:hint="eastAsia" w:ascii="Times New Roman" w:hAnsi="Times New Roman" w:eastAsia="仿宋_GB2312" w:cs="Times New Roman"/>
          <w:color w:val="auto"/>
          <w:sz w:val="32"/>
          <w:szCs w:val="32"/>
          <w:lang w:val="en-US" w:eastAsia="zh-CN"/>
        </w:rPr>
        <w:t>完善校企合作拓展生源渠道办法，巩固壮大昭化职中办学规模</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深化产教融合、校企合作，主动对标全市17个重点产业、对接重点企业。</w:t>
      </w:r>
      <w:r>
        <w:rPr>
          <w:rFonts w:hint="default" w:ascii="Times New Roman" w:hAnsi="Times New Roman" w:eastAsia="仿宋_GB2312" w:cs="Times New Roman"/>
          <w:color w:val="auto"/>
          <w:sz w:val="32"/>
          <w:szCs w:val="32"/>
          <w:lang w:val="en-US" w:eastAsia="zh-CN"/>
        </w:rPr>
        <w:t>推动专业共建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深化联合办学，建强家具设计与制作专业，壮大数控技术应用</w:t>
      </w:r>
      <w:r>
        <w:rPr>
          <w:rFonts w:hint="eastAsia" w:ascii="Times New Roman" w:hAnsi="Times New Roman" w:eastAsia="仿宋_GB2312" w:cs="Times New Roman"/>
          <w:color w:val="auto"/>
          <w:sz w:val="32"/>
          <w:szCs w:val="32"/>
          <w:lang w:val="en-US" w:eastAsia="zh-CN"/>
        </w:rPr>
        <w:t>专业</w:t>
      </w:r>
      <w:r>
        <w:rPr>
          <w:rFonts w:hint="default" w:ascii="Times New Roman" w:hAnsi="Times New Roman" w:eastAsia="仿宋_GB2312" w:cs="Times New Roman"/>
          <w:color w:val="auto"/>
          <w:sz w:val="32"/>
          <w:szCs w:val="32"/>
          <w:lang w:val="en-US" w:eastAsia="zh-CN"/>
        </w:rPr>
        <w:t>、计算机网络技术专业</w:t>
      </w:r>
      <w:r>
        <w:rPr>
          <w:rFonts w:hint="eastAsia" w:ascii="Times New Roman" w:hAnsi="Times New Roman" w:eastAsia="仿宋_GB2312" w:cs="Times New Roman"/>
          <w:color w:val="auto"/>
          <w:sz w:val="32"/>
          <w:szCs w:val="32"/>
          <w:lang w:val="en-US" w:eastAsia="zh-CN"/>
        </w:rPr>
        <w:t>。做好中高职</w:t>
      </w:r>
      <w:r>
        <w:rPr>
          <w:rFonts w:hint="default" w:ascii="Times New Roman" w:hAnsi="Times New Roman" w:eastAsia="仿宋_GB2312" w:cs="Times New Roman"/>
          <w:color w:val="auto"/>
          <w:sz w:val="32"/>
          <w:szCs w:val="32"/>
          <w:lang w:val="en-US" w:eastAsia="zh-CN"/>
        </w:rPr>
        <w:t>“3+2”贯通培养</w:t>
      </w:r>
      <w:r>
        <w:rPr>
          <w:rFonts w:hint="eastAsia" w:ascii="Times New Roman" w:hAnsi="Times New Roman" w:eastAsia="仿宋_GB2312" w:cs="Times New Roman"/>
          <w:color w:val="auto"/>
          <w:sz w:val="32"/>
          <w:szCs w:val="32"/>
          <w:lang w:val="en-US" w:eastAsia="zh-CN"/>
        </w:rPr>
        <w:t>试点工作，积极参加各类职业技能大赛</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推动学历教育、社区教育和老年教育高质量融合发展，同时</w:t>
      </w:r>
      <w:r>
        <w:rPr>
          <w:rFonts w:hint="default" w:ascii="Times New Roman" w:hAnsi="Times New Roman" w:eastAsia="仿宋_GB2312" w:cs="Times New Roman"/>
          <w:color w:val="auto"/>
          <w:sz w:val="32"/>
          <w:szCs w:val="32"/>
          <w:lang w:val="en-US" w:eastAsia="zh-CN"/>
        </w:rPr>
        <w:t>开展</w:t>
      </w:r>
      <w:r>
        <w:rPr>
          <w:rFonts w:hint="eastAsia" w:ascii="Times New Roman" w:hAnsi="Times New Roman" w:eastAsia="仿宋_GB2312" w:cs="Times New Roman"/>
          <w:color w:val="auto"/>
          <w:sz w:val="32"/>
          <w:szCs w:val="32"/>
          <w:lang w:val="en-US" w:eastAsia="zh-CN"/>
        </w:rPr>
        <w:t>全民终身学习活动周，推进学习型社会建设。</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10.</w:t>
      </w:r>
      <w:r>
        <w:rPr>
          <w:rFonts w:hint="eastAsia" w:ascii="Times New Roman" w:hAnsi="Times New Roman" w:eastAsia="楷体_GB2312"/>
          <w:b/>
          <w:bCs/>
          <w:color w:val="auto"/>
          <w:sz w:val="32"/>
          <w:szCs w:val="32"/>
        </w:rPr>
        <w:t>提升特殊教育发展水平。</w:t>
      </w:r>
      <w:r>
        <w:rPr>
          <w:rFonts w:hint="eastAsia" w:ascii="Times New Roman" w:hAnsi="Times New Roman" w:eastAsia="仿宋_GB2312" w:cs="Times New Roman"/>
          <w:color w:val="auto"/>
          <w:sz w:val="32"/>
          <w:szCs w:val="32"/>
          <w:lang w:val="en-US" w:eastAsia="zh-CN"/>
        </w:rPr>
        <w:t>全面落实《广元市</w:t>
      </w:r>
      <w:r>
        <w:rPr>
          <w:rFonts w:hint="default" w:ascii="Times New Roman" w:hAnsi="Times New Roman" w:eastAsia="仿宋_GB2312" w:cs="Times New Roman"/>
          <w:color w:val="auto"/>
          <w:sz w:val="32"/>
          <w:szCs w:val="32"/>
          <w:lang w:val="en-US" w:eastAsia="zh-CN"/>
        </w:rPr>
        <w:t>“十四五”特殊教育发展提升</w:t>
      </w:r>
      <w:r>
        <w:rPr>
          <w:rFonts w:hint="eastAsia" w:ascii="Times New Roman" w:hAnsi="Times New Roman" w:eastAsia="仿宋_GB2312" w:cs="Times New Roman"/>
          <w:color w:val="auto"/>
          <w:sz w:val="32"/>
          <w:szCs w:val="32"/>
          <w:lang w:val="en-US" w:eastAsia="zh-CN"/>
        </w:rPr>
        <w:t>实施方案》</w:t>
      </w:r>
      <w:r>
        <w:rPr>
          <w:rFonts w:hint="default" w:ascii="Times New Roman" w:hAnsi="Times New Roman" w:eastAsia="仿宋_GB2312" w:cs="Times New Roman"/>
          <w:color w:val="auto"/>
          <w:sz w:val="32"/>
          <w:szCs w:val="32"/>
          <w:lang w:val="en-US" w:eastAsia="zh-CN"/>
        </w:rPr>
        <w:t>，“一人一案”</w:t>
      </w:r>
      <w:r>
        <w:rPr>
          <w:rFonts w:hint="eastAsia" w:ascii="Times New Roman" w:hAnsi="Times New Roman" w:eastAsia="仿宋_GB2312" w:cs="Times New Roman"/>
          <w:color w:val="auto"/>
          <w:sz w:val="32"/>
          <w:szCs w:val="32"/>
          <w:lang w:val="en-US" w:eastAsia="zh-CN"/>
        </w:rPr>
        <w:t>开展送教上门服务。持续</w:t>
      </w:r>
      <w:r>
        <w:rPr>
          <w:rFonts w:hint="default" w:ascii="Times New Roman" w:hAnsi="Times New Roman" w:eastAsia="仿宋_GB2312" w:cs="Times New Roman"/>
          <w:color w:val="auto"/>
          <w:sz w:val="32"/>
          <w:szCs w:val="32"/>
          <w:lang w:val="en-US" w:eastAsia="zh-CN"/>
        </w:rPr>
        <w:t>提高残疾儿童少年义务教育</w:t>
      </w:r>
      <w:r>
        <w:rPr>
          <w:rFonts w:hint="eastAsia" w:ascii="Times New Roman" w:hAnsi="Times New Roman" w:eastAsia="仿宋_GB2312" w:cs="Times New Roman"/>
          <w:color w:val="auto"/>
          <w:sz w:val="32"/>
          <w:szCs w:val="32"/>
          <w:lang w:val="en-US" w:eastAsia="zh-CN"/>
        </w:rPr>
        <w:t>普及水平和质量，逐步</w:t>
      </w:r>
      <w:r>
        <w:rPr>
          <w:rFonts w:hint="default" w:ascii="Times New Roman" w:hAnsi="Times New Roman" w:eastAsia="仿宋_GB2312" w:cs="Times New Roman"/>
          <w:color w:val="auto"/>
          <w:sz w:val="32"/>
          <w:szCs w:val="32"/>
          <w:lang w:val="en-US" w:eastAsia="zh-CN"/>
        </w:rPr>
        <w:t>扩大残疾学生高中阶段就学比例。新改扩建</w:t>
      </w:r>
      <w:r>
        <w:rPr>
          <w:rFonts w:hint="eastAsia" w:ascii="Times New Roman" w:hAnsi="Times New Roman" w:eastAsia="仿宋_GB2312" w:cs="Times New Roman"/>
          <w:color w:val="auto"/>
          <w:sz w:val="32"/>
          <w:szCs w:val="32"/>
          <w:lang w:val="en-US" w:eastAsia="zh-CN"/>
        </w:rPr>
        <w:t>区、校两级</w:t>
      </w:r>
      <w:r>
        <w:rPr>
          <w:rFonts w:hint="default" w:ascii="Times New Roman" w:hAnsi="Times New Roman" w:eastAsia="仿宋_GB2312" w:cs="Times New Roman"/>
          <w:color w:val="auto"/>
          <w:sz w:val="32"/>
          <w:szCs w:val="32"/>
          <w:lang w:val="en-US" w:eastAsia="zh-CN"/>
        </w:rPr>
        <w:t>特殊资源</w:t>
      </w:r>
      <w:r>
        <w:rPr>
          <w:rFonts w:hint="eastAsia" w:ascii="Times New Roman" w:hAnsi="Times New Roman" w:eastAsia="仿宋_GB2312" w:cs="Times New Roman"/>
          <w:color w:val="auto"/>
          <w:sz w:val="32"/>
          <w:szCs w:val="32"/>
          <w:lang w:val="en-US" w:eastAsia="zh-CN"/>
        </w:rPr>
        <w:t>中心，</w:t>
      </w:r>
      <w:r>
        <w:rPr>
          <w:rFonts w:hint="default" w:ascii="Times New Roman" w:hAnsi="Times New Roman" w:eastAsia="仿宋_GB2312" w:cs="Times New Roman"/>
          <w:color w:val="auto"/>
          <w:sz w:val="32"/>
          <w:szCs w:val="32"/>
          <w:lang w:val="en-US" w:eastAsia="zh-CN"/>
        </w:rPr>
        <w:t>加强无障碍环境建设</w:t>
      </w:r>
      <w:r>
        <w:rPr>
          <w:rFonts w:hint="eastAsia" w:ascii="Times New Roman" w:hAnsi="Times New Roman" w:eastAsia="仿宋_GB2312" w:cs="Times New Roman"/>
          <w:color w:val="auto"/>
          <w:sz w:val="32"/>
          <w:szCs w:val="32"/>
          <w:lang w:val="en-US" w:eastAsia="zh-CN"/>
        </w:rPr>
        <w:t>。加强留守儿童和困境儿童关爱保护工作</w:t>
      </w:r>
      <w:r>
        <w:rPr>
          <w:rFonts w:hint="default" w:ascii="Times New Roman" w:hAnsi="Times New Roman" w:eastAsia="仿宋_GB2312" w:cs="Times New Roman"/>
          <w:color w:val="auto"/>
          <w:sz w:val="32"/>
          <w:szCs w:val="32"/>
          <w:lang w:val="en-US" w:eastAsia="zh-CN"/>
        </w:rPr>
        <w:t>。</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Times New Roman"/>
          <w:color w:val="auto"/>
          <w:sz w:val="32"/>
          <w:szCs w:val="32"/>
          <w:lang w:val="en-US" w:eastAsia="zh-CN"/>
        </w:rPr>
      </w:pPr>
      <w:r>
        <w:rPr>
          <w:rFonts w:hint="eastAsia" w:ascii="Times New Roman" w:hAnsi="Times New Roman" w:eastAsia="楷体_GB2312"/>
          <w:b/>
          <w:bCs/>
          <w:color w:val="auto"/>
          <w:sz w:val="32"/>
          <w:szCs w:val="32"/>
          <w:lang w:val="en-US" w:eastAsia="zh-CN"/>
        </w:rPr>
        <w:t>11.</w:t>
      </w:r>
      <w:r>
        <w:rPr>
          <w:rFonts w:hint="eastAsia" w:ascii="Times New Roman" w:hAnsi="Times New Roman" w:eastAsia="楷体_GB2312"/>
          <w:b/>
          <w:bCs/>
          <w:color w:val="auto"/>
          <w:sz w:val="32"/>
          <w:szCs w:val="32"/>
        </w:rPr>
        <w:t>规范发展民办教育。</w:t>
      </w:r>
      <w:r>
        <w:rPr>
          <w:rFonts w:hint="default" w:ascii="仿宋_GB2312" w:hAnsi="Times New Roman" w:eastAsia="仿宋_GB2312" w:cs="Times New Roman"/>
          <w:color w:val="auto"/>
          <w:sz w:val="32"/>
          <w:szCs w:val="32"/>
          <w:lang w:val="en-US" w:eastAsia="zh-CN"/>
        </w:rPr>
        <w:t>推进民办学校分类登记改革、学校年检工作，探索民办教育大数据管理</w:t>
      </w:r>
      <w:r>
        <w:rPr>
          <w:rFonts w:hint="eastAsia" w:ascii="仿宋_GB2312" w:hAnsi="Times New Roman" w:eastAsia="仿宋_GB2312" w:cs="Times New Roman"/>
          <w:color w:val="auto"/>
          <w:sz w:val="32"/>
          <w:szCs w:val="32"/>
          <w:lang w:val="en-US" w:eastAsia="zh-CN"/>
        </w:rPr>
        <w:t>策略</w:t>
      </w:r>
      <w:r>
        <w:rPr>
          <w:rFonts w:hint="default" w:ascii="仿宋_GB2312" w:hAnsi="Times New Roman" w:eastAsia="仿宋_GB2312" w:cs="Times New Roman"/>
          <w:color w:val="auto"/>
          <w:sz w:val="32"/>
          <w:szCs w:val="32"/>
          <w:lang w:val="en-US" w:eastAsia="zh-CN"/>
        </w:rPr>
        <w:t>，构建信息共享、部门协作的管理体系和行业健康规范发展生态。</w:t>
      </w:r>
      <w:r>
        <w:rPr>
          <w:rFonts w:hint="eastAsia" w:ascii="仿宋_GB2312" w:hAnsi="Times New Roman" w:eastAsia="仿宋_GB2312" w:cs="Times New Roman"/>
          <w:color w:val="auto"/>
          <w:sz w:val="32"/>
          <w:szCs w:val="32"/>
          <w:lang w:val="en-US" w:eastAsia="zh-CN"/>
        </w:rPr>
        <w:t>发挥</w:t>
      </w:r>
      <w:r>
        <w:rPr>
          <w:rFonts w:hint="default" w:ascii="仿宋_GB2312" w:hAnsi="Times New Roman" w:eastAsia="仿宋_GB2312" w:cs="Times New Roman"/>
          <w:color w:val="auto"/>
          <w:sz w:val="32"/>
          <w:szCs w:val="32"/>
          <w:lang w:val="en-US" w:eastAsia="zh-CN"/>
        </w:rPr>
        <w:t>行业组织在</w:t>
      </w:r>
      <w:r>
        <w:rPr>
          <w:rFonts w:hint="eastAsia" w:ascii="仿宋_GB2312" w:hAnsi="Times New Roman" w:eastAsia="仿宋_GB2312" w:cs="Times New Roman"/>
          <w:color w:val="auto"/>
          <w:sz w:val="32"/>
          <w:szCs w:val="32"/>
          <w:lang w:val="en-US" w:eastAsia="zh-CN"/>
        </w:rPr>
        <w:t>民办教育</w:t>
      </w:r>
      <w:r>
        <w:rPr>
          <w:rFonts w:hint="default" w:ascii="仿宋_GB2312" w:hAnsi="Times New Roman" w:eastAsia="仿宋_GB2312" w:cs="Times New Roman"/>
          <w:color w:val="auto"/>
          <w:sz w:val="32"/>
          <w:szCs w:val="32"/>
          <w:lang w:val="en-US" w:eastAsia="zh-CN"/>
        </w:rPr>
        <w:t>管理中的积极作用，</w:t>
      </w:r>
      <w:r>
        <w:rPr>
          <w:rFonts w:hint="eastAsia" w:ascii="仿宋_GB2312" w:hAnsi="Times New Roman" w:eastAsia="仿宋_GB2312" w:cs="Times New Roman"/>
          <w:color w:val="auto"/>
          <w:sz w:val="32"/>
          <w:szCs w:val="32"/>
          <w:lang w:val="en-US" w:eastAsia="zh-CN"/>
        </w:rPr>
        <w:t>因地制宜</w:t>
      </w:r>
      <w:r>
        <w:rPr>
          <w:rFonts w:hint="default" w:ascii="仿宋_GB2312" w:hAnsi="Times New Roman" w:eastAsia="仿宋_GB2312" w:cs="Times New Roman"/>
          <w:color w:val="auto"/>
          <w:sz w:val="32"/>
          <w:szCs w:val="32"/>
          <w:lang w:val="en-US" w:eastAsia="zh-CN"/>
        </w:rPr>
        <w:t>培育民办教育优质品牌。</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12.提高智育水平。</w:t>
      </w:r>
      <w:r>
        <w:rPr>
          <w:rFonts w:hint="eastAsia" w:ascii="仿宋_GB2312" w:hAnsi="Times New Roman" w:eastAsia="仿宋_GB2312" w:cs="Times New Roman"/>
          <w:color w:val="auto"/>
          <w:sz w:val="32"/>
          <w:szCs w:val="32"/>
          <w:lang w:val="en-US" w:eastAsia="zh-CN"/>
        </w:rPr>
        <w:t>严格落实《昭化区中小学教学常规管理实施细则》和《昭化区中小学教育教学管理指导手册（试行）》，推进学校班子成员每月1次示范课活动，引领构建生本课堂。强化因材施教、分层教学，满足学生差异化、多样化学习需求。</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13.加强</w:t>
      </w:r>
      <w:r>
        <w:rPr>
          <w:rFonts w:hint="eastAsia" w:ascii="Times New Roman" w:hAnsi="Times New Roman" w:eastAsia="楷体_GB2312" w:cs="Times New Roman"/>
          <w:b/>
          <w:bCs/>
          <w:color w:val="auto"/>
          <w:sz w:val="32"/>
          <w:szCs w:val="32"/>
        </w:rPr>
        <w:t>体美劳教育。</w:t>
      </w:r>
      <w:r>
        <w:rPr>
          <w:rFonts w:hint="eastAsia" w:ascii="仿宋_GB2312" w:hAnsi="Times New Roman" w:eastAsia="仿宋_GB2312" w:cs="Times New Roman"/>
          <w:color w:val="auto"/>
          <w:sz w:val="32"/>
          <w:szCs w:val="32"/>
          <w:lang w:val="en-US" w:eastAsia="zh-CN"/>
        </w:rPr>
        <w:t>大力发展校园体育运动，严格落实中小学生每天1小时体育锻炼要求，开展学生体质健康测试，加强学校国防教育和学生军训工作，举办中小学生运动会、校园体育节。开齐开足上好美育课程，有序推进初中艺术类科目学业水平考试，举办校园艺术节。加强新时代中小学劳动教育，推进研学实践教育基地建设，组织学生开展综合实践、研学实践活动。</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14.</w:t>
      </w:r>
      <w:r>
        <w:rPr>
          <w:rFonts w:hint="eastAsia" w:ascii="Times New Roman" w:hAnsi="Times New Roman" w:eastAsia="楷体_GB2312" w:cs="Times New Roman"/>
          <w:b/>
          <w:bCs/>
          <w:color w:val="auto"/>
          <w:sz w:val="32"/>
          <w:szCs w:val="32"/>
        </w:rPr>
        <w:t>提升健康水平。</w:t>
      </w:r>
      <w:r>
        <w:rPr>
          <w:rFonts w:hint="eastAsia" w:ascii="Times New Roman" w:hAnsi="Times New Roman" w:eastAsia="仿宋_GB2312" w:cs="Times New Roman"/>
          <w:color w:val="auto"/>
          <w:sz w:val="32"/>
          <w:szCs w:val="32"/>
          <w:lang w:val="en-US" w:eastAsia="zh-CN"/>
        </w:rPr>
        <w:t>推动实施心理健康成长守护工程三年行动计划（2023-2025年），加强学校心理健康教育教师队伍和心理辅导站建设。加强家校共育、医校联动、社会协同，全覆盖开展学生心理健康筛查和“5.25”心理健康教育系列活动。开展近视防控宣传教育，落实学生视力普查干预工作。加强疫情防控工作，确保师生身体健康和生命安全。</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15.深化师德师风。</w:t>
      </w:r>
      <w:r>
        <w:rPr>
          <w:rFonts w:hint="eastAsia" w:ascii="仿宋_GB2312" w:hAnsi="仿宋_GB2312" w:eastAsia="仿宋_GB2312" w:cs="仿宋_GB2312"/>
          <w:color w:val="auto"/>
          <w:sz w:val="32"/>
          <w:szCs w:val="32"/>
          <w:lang w:val="en-US" w:eastAsia="zh-CN"/>
        </w:rPr>
        <w:t>深入开展“师德师风建设年”和“立德修身，行为世范”师德师风专题教育活动，落实师德师风问题“黑名单”制度，依法依规处理师德失范行为。选树宣传优秀教师典型，大力弘扬劳模精神、劳动精神、工匠精神，引导广大教职员工爱岗敬业。</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b/>
          <w:bCs/>
          <w:color w:val="auto"/>
          <w:sz w:val="32"/>
          <w:szCs w:val="32"/>
          <w:lang w:val="en-US" w:eastAsia="zh-CN"/>
        </w:rPr>
        <w:t>16.建优教师队伍。</w:t>
      </w:r>
      <w:r>
        <w:rPr>
          <w:rFonts w:hint="eastAsia" w:ascii="仿宋_GB2312" w:hAnsi="仿宋_GB2312" w:eastAsia="仿宋_GB2312" w:cs="仿宋_GB2312"/>
          <w:color w:val="auto"/>
          <w:sz w:val="32"/>
          <w:szCs w:val="32"/>
          <w:lang w:val="en-US" w:eastAsia="zh-CN"/>
        </w:rPr>
        <w:t>实施教师“136”（1年合格、3年骨干、6年优秀）成长计划，开展青年教师“传帮带”活动。落实“三区”人才支持计划，加强乡村青年教师培养。建立健全教师成长激励机制，统筹做好教师及管理干部培训工作。完善教师聘任和岗位管理制度，优化队伍结构。有序推进锻造“师德高尚，业务精湛”四有好老师改革试点工作。</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Times New Roman" w:hAnsi="Times New Roman" w:eastAsia="楷体_GB2312" w:cs="Times New Roman"/>
          <w:b/>
          <w:bCs/>
          <w:color w:val="auto"/>
          <w:sz w:val="32"/>
          <w:szCs w:val="32"/>
          <w:lang w:val="en-US" w:eastAsia="zh-CN"/>
        </w:rPr>
        <w:t xml:space="preserve">  17.建强干部队伍。</w:t>
      </w:r>
      <w:r>
        <w:rPr>
          <w:rFonts w:hint="eastAsia" w:ascii="仿宋_GB2312" w:hAnsi="仿宋_GB2312" w:eastAsia="仿宋_GB2312" w:cs="仿宋_GB2312"/>
          <w:color w:val="auto"/>
          <w:sz w:val="32"/>
          <w:szCs w:val="32"/>
          <w:lang w:val="en-US" w:eastAsia="zh-CN"/>
        </w:rPr>
        <w:t>落实中小学党组织领导的校长负责制，开展学校领导班子分析研判，优化学校领导班子结构。推行学校内部推选、外部选派、竞争（聘）上岗、公开选拔（聘）等相结合的学校领导人员选拔任用制度，推动干部合理流动。加强党外干部、年轻干部培养力度，选优配强学校干部队伍。</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eastAsia="仿宋_GB2312"/>
          <w:color w:val="auto"/>
          <w:sz w:val="32"/>
          <w:szCs w:val="36"/>
          <w:lang w:val="en-US" w:eastAsia="zh-CN"/>
        </w:rPr>
      </w:pPr>
      <w:r>
        <w:rPr>
          <w:rFonts w:hint="eastAsia" w:ascii="Times New Roman" w:hAnsi="Times New Roman" w:eastAsia="楷体_GB2312" w:cs="Times New Roman"/>
          <w:b/>
          <w:bCs/>
          <w:color w:val="auto"/>
          <w:sz w:val="32"/>
          <w:szCs w:val="32"/>
          <w:lang w:val="en-US" w:eastAsia="zh-CN"/>
        </w:rPr>
        <w:t>16.</w:t>
      </w:r>
      <w:r>
        <w:rPr>
          <w:rFonts w:hint="eastAsia" w:ascii="Times New Roman" w:hAnsi="Times New Roman" w:eastAsia="楷体_GB2312" w:cs="Times New Roman"/>
          <w:b/>
          <w:bCs/>
          <w:color w:val="auto"/>
          <w:sz w:val="32"/>
          <w:szCs w:val="32"/>
        </w:rPr>
        <w:t>推进教育资源增量扩容。</w:t>
      </w:r>
      <w:r>
        <w:rPr>
          <w:rFonts w:hint="eastAsia" w:ascii="仿宋_GB2312" w:hAnsi="仿宋_GB2312" w:eastAsia="仿宋_GB2312" w:cs="仿宋_GB2312"/>
          <w:color w:val="auto"/>
          <w:sz w:val="32"/>
          <w:szCs w:val="32"/>
          <w:lang w:val="en-US" w:eastAsia="zh-CN"/>
        </w:rPr>
        <w:t>聚焦重大规划，加强项目储备。加快推进元坝一小宿舍及食堂、卫子小学运动场、昭化初级中学等11所校（园）校舍改造，完成区实验小学学生宿舍、清水小学附属幼儿园建设、</w:t>
      </w:r>
      <w:r>
        <w:rPr>
          <w:rFonts w:hint="eastAsia" w:ascii="仿宋_GB2312" w:eastAsia="仿宋_GB2312"/>
          <w:color w:val="auto"/>
          <w:sz w:val="32"/>
          <w:szCs w:val="36"/>
        </w:rPr>
        <w:t>2023年义务教育薄弱环节与能力提升信息化设备采购项目</w:t>
      </w:r>
      <w:r>
        <w:rPr>
          <w:rFonts w:hint="eastAsia" w:ascii="仿宋_GB2312" w:eastAsia="仿宋_GB2312"/>
          <w:color w:val="auto"/>
          <w:sz w:val="32"/>
          <w:szCs w:val="36"/>
          <w:lang w:eastAsia="zh-CN"/>
        </w:rPr>
        <w:t>，</w:t>
      </w:r>
      <w:r>
        <w:rPr>
          <w:rFonts w:hint="eastAsia" w:ascii="仿宋_GB2312" w:eastAsia="仿宋_GB2312"/>
          <w:color w:val="auto"/>
          <w:sz w:val="32"/>
          <w:szCs w:val="36"/>
          <w:lang w:val="en-US" w:eastAsia="zh-CN"/>
        </w:rPr>
        <w:t>做好教育城域网管理维护工作。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17.提高教研实效。</w:t>
      </w:r>
      <w:r>
        <w:rPr>
          <w:rFonts w:hint="eastAsia" w:ascii="仿宋_GB2312" w:hAnsi="仿宋_GB2312" w:eastAsia="仿宋_GB2312" w:cs="仿宋_GB2312"/>
          <w:color w:val="auto"/>
          <w:sz w:val="32"/>
          <w:szCs w:val="32"/>
          <w:lang w:val="en-US" w:eastAsia="zh-CN"/>
        </w:rPr>
        <w:t>创新校本研修模式，</w:t>
      </w:r>
      <w:r>
        <w:rPr>
          <w:rFonts w:hint="eastAsia" w:ascii="华文仿宋" w:hAnsi="华文仿宋" w:eastAsia="华文仿宋" w:cs="华文仿宋"/>
          <w:color w:val="auto"/>
          <w:sz w:val="32"/>
          <w:szCs w:val="32"/>
          <w:lang w:eastAsia="zh-CN"/>
        </w:rPr>
        <w:t>深化高效课堂体系建设</w:t>
      </w:r>
      <w:r>
        <w:rPr>
          <w:rFonts w:hint="eastAsia" w:ascii="仿宋_GB2312" w:hAnsi="仿宋_GB2312" w:eastAsia="仿宋_GB2312" w:cs="仿宋_GB2312"/>
          <w:color w:val="auto"/>
          <w:sz w:val="32"/>
          <w:szCs w:val="32"/>
          <w:lang w:val="en-US" w:eastAsia="zh-CN"/>
        </w:rPr>
        <w:t>。落实学校每周1次教学研讨和每月1次主题研讨活动。加强教学视导，强化典型引领和诊断矫正。做好省市区规划课题研究，组织开展省市级论文、优质课、优秀教研成果、</w:t>
      </w:r>
      <w:r>
        <w:rPr>
          <w:rFonts w:hint="eastAsia" w:ascii="仿宋_GB2312" w:eastAsia="仿宋_GB2312"/>
          <w:color w:val="auto"/>
          <w:sz w:val="32"/>
          <w:szCs w:val="36"/>
        </w:rPr>
        <w:t>优秀案例</w:t>
      </w:r>
      <w:r>
        <w:rPr>
          <w:rFonts w:hint="eastAsia" w:ascii="仿宋_GB2312" w:hAnsi="仿宋_GB2312" w:eastAsia="仿宋_GB2312" w:cs="仿宋_GB2312"/>
          <w:color w:val="auto"/>
          <w:sz w:val="32"/>
          <w:szCs w:val="32"/>
          <w:lang w:val="en-US" w:eastAsia="zh-CN"/>
        </w:rPr>
        <w:t>推评工作。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18.</w:t>
      </w:r>
      <w:r>
        <w:rPr>
          <w:rFonts w:hint="eastAsia" w:ascii="楷体" w:hAnsi="楷体" w:eastAsia="楷体" w:cs="楷体"/>
          <w:b/>
          <w:bCs/>
          <w:i w:val="0"/>
          <w:iCs w:val="0"/>
          <w:caps w:val="0"/>
          <w:color w:val="auto"/>
          <w:spacing w:val="0"/>
          <w:sz w:val="32"/>
          <w:szCs w:val="32"/>
          <w:shd w:val="clear" w:fill="FFFFFF"/>
          <w:lang w:val="en-US" w:eastAsia="zh-CN"/>
        </w:rPr>
        <w:t>加强</w:t>
      </w:r>
      <w:r>
        <w:rPr>
          <w:rFonts w:hint="eastAsia" w:ascii="楷体" w:hAnsi="楷体" w:eastAsia="楷体" w:cs="楷体"/>
          <w:b/>
          <w:bCs/>
          <w:i w:val="0"/>
          <w:iCs w:val="0"/>
          <w:caps w:val="0"/>
          <w:color w:val="auto"/>
          <w:spacing w:val="0"/>
          <w:sz w:val="32"/>
          <w:szCs w:val="32"/>
          <w:shd w:val="clear" w:fill="FFFFFF"/>
        </w:rPr>
        <w:t>教育督导。</w:t>
      </w:r>
      <w:r>
        <w:rPr>
          <w:rFonts w:hint="eastAsia" w:ascii="仿宋_GB2312" w:hAnsi="仿宋_GB2312" w:eastAsia="仿宋_GB2312" w:cs="仿宋_GB2312"/>
          <w:color w:val="auto"/>
          <w:sz w:val="32"/>
          <w:szCs w:val="32"/>
          <w:lang w:val="en-US" w:eastAsia="zh-CN"/>
        </w:rPr>
        <w:t>强化常规督导、专项督导，规范学校办学行为。督促已评估园落实问题整改，完成12所幼儿园办园行为区级评估工作。开展校（园）长任期结束督导评估工作。做好义务教育均衡系数的监测。</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b/>
          <w:bCs/>
          <w:color w:val="auto"/>
          <w:sz w:val="32"/>
          <w:szCs w:val="32"/>
          <w:lang w:val="en-US" w:eastAsia="zh-CN"/>
        </w:rPr>
        <w:t>19.加强法治建设。</w:t>
      </w:r>
      <w:r>
        <w:rPr>
          <w:rFonts w:hint="eastAsia" w:ascii="仿宋_GB2312" w:hAnsi="仿宋_GB2312" w:eastAsia="仿宋_GB2312" w:cs="仿宋_GB2312"/>
          <w:color w:val="auto"/>
          <w:sz w:val="32"/>
          <w:szCs w:val="32"/>
          <w:lang w:val="en-US" w:eastAsia="zh-CN"/>
        </w:rPr>
        <w:t>强化依法治教，推进以办学章程为核心的现代学校制度建设，提高学校自主管理、自主办学能力。推进法治教育进学校进课堂，加强法治宣传教育实践，提升青少年法治素养。做好民办园、校外培训机构办学行为“双随机、一公开”监管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20.推进乡村振兴。</w:t>
      </w:r>
      <w:r>
        <w:rPr>
          <w:rFonts w:hint="eastAsia" w:ascii="仿宋_GB2312" w:hAnsi="仿宋_GB2312" w:eastAsia="仿宋_GB2312" w:cs="仿宋_GB2312"/>
          <w:color w:val="auto"/>
          <w:sz w:val="32"/>
          <w:szCs w:val="32"/>
          <w:lang w:val="en-US" w:eastAsia="zh-CN"/>
        </w:rPr>
        <w:t>全面落实各类学生资助政策，健全学生资助长效机制，落实控辍保学“六长”责任制，完善落实防止返贫监测和帮扶机制，用好教育救助基金，持续实施“爱·圆梦”“金秋助学”等助学项目，确保困难家庭学生应助尽助、应学尽学，义务教育适龄学生入学率、巩固率达100%。</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Times New Roman" w:hAnsi="Times New Roman" w:eastAsia="楷体_GB2312"/>
          <w:b/>
          <w:bCs/>
          <w:color w:val="auto"/>
          <w:sz w:val="32"/>
          <w:szCs w:val="32"/>
          <w:lang w:val="en-US" w:eastAsia="zh-CN"/>
        </w:rPr>
        <w:t>21.</w:t>
      </w:r>
      <w:r>
        <w:rPr>
          <w:rFonts w:hint="eastAsia" w:ascii="Times New Roman" w:hAnsi="Times New Roman" w:eastAsia="楷体_GB2312"/>
          <w:b/>
          <w:bCs/>
          <w:color w:val="auto"/>
          <w:sz w:val="32"/>
          <w:szCs w:val="32"/>
        </w:rPr>
        <w:t>规范后勤管理。</w:t>
      </w:r>
      <w:r>
        <w:rPr>
          <w:rFonts w:hint="eastAsia" w:ascii="仿宋_GB2312" w:hAnsi="仿宋_GB2312" w:eastAsia="仿宋_GB2312" w:cs="仿宋_GB2312"/>
          <w:color w:val="auto"/>
          <w:sz w:val="32"/>
          <w:szCs w:val="32"/>
          <w:lang w:val="en-US" w:eastAsia="zh-CN"/>
        </w:rPr>
        <w:t>实施办好师生满意学校食堂三年行动计划，全面完成学校食堂智能化建设，加强学校食堂精细化管理，实施好国家营养改善计划。推进学生宿舍（公寓）规范化管理、学校生态环境治理，扎实开展节能减排、“光盘行动”“一木环保”和垃圾分类等工作，建设生态文明校园。 </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楷体_GB2312" w:cs="Times New Roman"/>
          <w:b/>
          <w:bCs/>
          <w:color w:val="auto"/>
          <w:sz w:val="32"/>
          <w:szCs w:val="32"/>
          <w:lang w:val="en-US" w:eastAsia="zh-CN"/>
        </w:rPr>
        <w:t>22.</w:t>
      </w:r>
      <w:r>
        <w:rPr>
          <w:rFonts w:hint="eastAsia" w:ascii="Times New Roman" w:hAnsi="Times New Roman" w:eastAsia="楷体_GB2312"/>
          <w:b/>
          <w:bCs/>
          <w:color w:val="auto"/>
          <w:sz w:val="32"/>
          <w:szCs w:val="32"/>
        </w:rPr>
        <w:t>抓好招生考试。</w:t>
      </w:r>
      <w:r>
        <w:rPr>
          <w:rFonts w:hint="eastAsia" w:ascii="Times New Roman" w:hAnsi="Times New Roman" w:eastAsia="仿宋_GB2312" w:cs="Times New Roman"/>
          <w:color w:val="auto"/>
          <w:sz w:val="32"/>
          <w:szCs w:val="32"/>
          <w:lang w:eastAsia="zh-CN"/>
        </w:rPr>
        <w:t>加强新高考</w:t>
      </w:r>
      <w:r>
        <w:rPr>
          <w:rFonts w:hint="eastAsia" w:ascii="Times New Roman" w:hAnsi="Times New Roman" w:eastAsia="仿宋_GB2312" w:cs="Times New Roman"/>
          <w:color w:val="auto"/>
          <w:sz w:val="32"/>
          <w:szCs w:val="32"/>
          <w:lang w:val="en-US" w:eastAsia="zh-CN"/>
        </w:rPr>
        <w:t>政策宣传</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强化</w:t>
      </w:r>
      <w:r>
        <w:rPr>
          <w:rFonts w:hint="eastAsia" w:ascii="Times New Roman" w:hAnsi="Times New Roman" w:eastAsia="仿宋_GB2312" w:cs="Times New Roman"/>
          <w:color w:val="auto"/>
          <w:sz w:val="32"/>
          <w:szCs w:val="32"/>
          <w:lang w:eastAsia="zh-CN"/>
        </w:rPr>
        <w:t>“三大专项计划”</w:t>
      </w:r>
      <w:r>
        <w:rPr>
          <w:rFonts w:hint="eastAsia" w:ascii="Times New Roman" w:hAnsi="Times New Roman" w:eastAsia="仿宋_GB2312" w:cs="Times New Roman"/>
          <w:color w:val="auto"/>
          <w:sz w:val="32"/>
          <w:szCs w:val="32"/>
          <w:lang w:val="en-US" w:eastAsia="zh-CN"/>
        </w:rPr>
        <w:t>及各类特殊招生</w:t>
      </w:r>
      <w:r>
        <w:rPr>
          <w:rFonts w:hint="eastAsia" w:ascii="Times New Roman" w:hAnsi="Times New Roman" w:eastAsia="仿宋_GB2312" w:cs="Times New Roman"/>
          <w:color w:val="auto"/>
          <w:sz w:val="32"/>
          <w:szCs w:val="32"/>
          <w:lang w:eastAsia="zh-CN"/>
        </w:rPr>
        <w:t>资格审查。做好巡查系统高清升级和标准化考点硬件维护管理，</w:t>
      </w:r>
      <w:r>
        <w:rPr>
          <w:rFonts w:hint="eastAsia" w:ascii="Times New Roman" w:hAnsi="Times New Roman" w:eastAsia="仿宋_GB2312" w:cs="Times New Roman"/>
          <w:color w:val="auto"/>
          <w:sz w:val="32"/>
          <w:szCs w:val="32"/>
          <w:lang w:val="en-US" w:eastAsia="zh-CN"/>
        </w:rPr>
        <w:t>提升</w:t>
      </w:r>
      <w:r>
        <w:rPr>
          <w:rFonts w:hint="eastAsia" w:ascii="Times New Roman" w:hAnsi="Times New Roman" w:eastAsia="仿宋_GB2312" w:cs="Times New Roman"/>
          <w:color w:val="auto"/>
          <w:sz w:val="32"/>
          <w:szCs w:val="32"/>
          <w:lang w:eastAsia="zh-CN"/>
        </w:rPr>
        <w:t>突发事件应急处置</w:t>
      </w:r>
      <w:r>
        <w:rPr>
          <w:rFonts w:hint="eastAsia" w:ascii="Times New Roman" w:hAnsi="Times New Roman" w:eastAsia="仿宋_GB2312" w:cs="Times New Roman"/>
          <w:color w:val="auto"/>
          <w:sz w:val="32"/>
          <w:szCs w:val="32"/>
          <w:lang w:val="en-US" w:eastAsia="zh-CN"/>
        </w:rPr>
        <w:t>水平</w:t>
      </w:r>
      <w:r>
        <w:rPr>
          <w:rFonts w:hint="eastAsia" w:ascii="Times New Roman" w:hAnsi="Times New Roman" w:eastAsia="仿宋_GB2312" w:cs="Times New Roman"/>
          <w:color w:val="auto"/>
          <w:sz w:val="32"/>
          <w:szCs w:val="32"/>
          <w:lang w:eastAsia="zh-CN"/>
        </w:rPr>
        <w:t>，确保各类国家教育考试万无一失。</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23.</w:t>
      </w:r>
      <w:r>
        <w:rPr>
          <w:rFonts w:hint="eastAsia" w:ascii="Times New Roman" w:hAnsi="Times New Roman" w:eastAsia="楷体_GB2312" w:cs="Times New Roman"/>
          <w:b/>
          <w:bCs/>
          <w:color w:val="auto"/>
          <w:sz w:val="32"/>
          <w:szCs w:val="32"/>
        </w:rPr>
        <w:t>维护</w:t>
      </w:r>
      <w:r>
        <w:rPr>
          <w:rFonts w:hint="eastAsia" w:ascii="Times New Roman" w:hAnsi="Times New Roman" w:eastAsia="楷体_GB2312" w:cs="Times New Roman"/>
          <w:b/>
          <w:bCs/>
          <w:color w:val="auto"/>
          <w:sz w:val="32"/>
          <w:szCs w:val="32"/>
          <w:lang w:val="en-US" w:eastAsia="zh-CN"/>
        </w:rPr>
        <w:t>系统平安</w:t>
      </w:r>
      <w:r>
        <w:rPr>
          <w:rFonts w:hint="eastAsia" w:ascii="Times New Roman" w:hAnsi="Times New Roman" w:eastAsia="楷体_GB2312" w:cs="Times New Roman"/>
          <w:b/>
          <w:bCs/>
          <w:color w:val="auto"/>
          <w:sz w:val="32"/>
          <w:szCs w:val="32"/>
        </w:rPr>
        <w:t>。</w:t>
      </w:r>
      <w:r>
        <w:rPr>
          <w:rFonts w:hint="eastAsia" w:ascii="Times New Roman" w:hAnsi="Times New Roman" w:eastAsia="仿宋_GB2312" w:cs="Times New Roman"/>
          <w:color w:val="auto"/>
          <w:sz w:val="32"/>
          <w:szCs w:val="32"/>
          <w:lang w:eastAsia="zh-CN"/>
        </w:rPr>
        <w:t>健全学校“N+1” 安全教育管理体系，完善校园安全稳定工作“党政同责、一岗双责、齐抓共管、失职追责”责任体系。强化消防、森林防灭火、道路交通等安全教育、应急演练和安全风险隐患排查整治。实施校园安全校园守护、家庭监护、社会保护“三大护卫行动”，开展教育领域乱点乱象整治和打击侵害未成年人违法犯罪专项行动，深化校园周边环境综合治理。加强涉校矛盾纠纷动态排查，及时受理群众投诉，</w:t>
      </w:r>
      <w:r>
        <w:rPr>
          <w:rFonts w:hint="eastAsia" w:ascii="Times New Roman" w:hAnsi="Times New Roman" w:eastAsia="仿宋_GB2312" w:cs="Times New Roman"/>
          <w:color w:val="auto"/>
          <w:sz w:val="32"/>
          <w:szCs w:val="32"/>
          <w:lang w:val="en-US" w:eastAsia="zh-CN"/>
        </w:rPr>
        <w:t>确保系统稳定。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广元市昭化区教育局（机关）为正科级行政单位，本单位下属机构5个，设有内设机构7个。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1977"/>
      <w:r>
        <w:rPr>
          <w:rFonts w:hint="eastAsia" w:ascii="黑体" w:hAnsi="黑体" w:eastAsia="黑体" w:cs="黑体"/>
          <w:sz w:val="32"/>
          <w:szCs w:val="32"/>
          <w:lang w:val="en-US" w:eastAsia="zh-CN"/>
        </w:rPr>
        <w:t>三、收支预算情况说明</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区教育局（机关）所有收入和支出均纳入部门预算管理。收入包括：一般公共预算拨款收入；支出包括：教育支出。区教育局（机关）2024年收支预算总数2130.36万元,比2023年收支预算总数增加594.32万元，主要原因是项目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 w:name="_Toc27607"/>
      <w:r>
        <w:rPr>
          <w:rFonts w:hint="eastAsia" w:ascii="楷体_GB2312" w:hAnsi="楷体_GB2312" w:eastAsia="楷体_GB2312" w:cs="楷体_GB2312"/>
          <w:sz w:val="32"/>
          <w:szCs w:val="32"/>
          <w:lang w:val="en-US" w:eastAsia="zh-CN"/>
        </w:rPr>
        <w:t>（一）收入预算情况</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区教育局（机关）2024年收入预算2130.36万元，其中：一般公共预算拨款收入2130.36万元，占100%。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13051"/>
      <w:r>
        <w:rPr>
          <w:rFonts w:hint="eastAsia" w:ascii="楷体_GB2312" w:hAnsi="楷体_GB2312" w:eastAsia="楷体_GB2312" w:cs="楷体_GB2312"/>
          <w:sz w:val="32"/>
          <w:szCs w:val="32"/>
          <w:lang w:val="en-US" w:eastAsia="zh-CN"/>
        </w:rPr>
        <w:t>（二）支出预算情况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区教育局（机关）2024年支出预算2130.36元，其中：基本支出664.64万元，占31.2%；项目支出1465.72万元，占68.8%。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27464"/>
      <w:r>
        <w:rPr>
          <w:rFonts w:hint="eastAsia" w:ascii="黑体" w:hAnsi="黑体" w:eastAsia="黑体" w:cs="黑体"/>
          <w:sz w:val="32"/>
          <w:szCs w:val="32"/>
          <w:lang w:val="en-US" w:eastAsia="zh-CN"/>
        </w:rPr>
        <w:t>四、财政拨款收支预算情况说明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区教育局（机关）2024年财政拨款收支预算总数2130.36万元,比2023年财政拨款收支预算总数增加594.32万元，主要原因是项目支出预算增加。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收入包括：本年一般公共预算拨款收入2130.36万元。</w:t>
      </w:r>
    </w:p>
    <w:p>
      <w:pPr>
        <w:pStyle w:val="2"/>
        <w:ind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支出包括</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kern w:val="2"/>
          <w:sz w:val="32"/>
          <w:szCs w:val="32"/>
          <w:lang w:val="en-US" w:eastAsia="zh-CN" w:bidi="ar-SA"/>
        </w:rPr>
        <w:t>教育支出2130.36万元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8351"/>
      <w:r>
        <w:rPr>
          <w:rFonts w:hint="eastAsia" w:ascii="黑体" w:hAnsi="黑体" w:eastAsia="黑体" w:cs="黑体"/>
          <w:sz w:val="32"/>
          <w:szCs w:val="32"/>
          <w:lang w:val="en-US" w:eastAsia="zh-CN"/>
        </w:rPr>
        <w:t>五、一般公共预算当年拨款情况说明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3983"/>
      <w:r>
        <w:rPr>
          <w:rFonts w:hint="eastAsia" w:ascii="楷体_GB2312" w:hAnsi="楷体_GB2312" w:eastAsia="楷体_GB2312" w:cs="楷体_GB2312"/>
          <w:sz w:val="32"/>
          <w:szCs w:val="32"/>
          <w:lang w:val="en-US" w:eastAsia="zh-CN"/>
        </w:rPr>
        <w:t>（一）一般公共预算当年拨款规模变化情况</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区教育局（机关）2024年一般公共预算当年拨款2130.36万元，比2023年预算数增加594.32万元，主要原因是项目支出预算增加。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2740"/>
      <w:r>
        <w:rPr>
          <w:rFonts w:hint="eastAsia" w:ascii="楷体_GB2312" w:hAnsi="楷体_GB2312" w:eastAsia="楷体_GB2312" w:cs="楷体_GB2312"/>
          <w:sz w:val="32"/>
          <w:szCs w:val="32"/>
          <w:lang w:val="en-US" w:eastAsia="zh-CN"/>
        </w:rPr>
        <w:t>（二）一般公共预算当年拨款结构情况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教育支出2130.36万元，占100%。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2792"/>
      <w:r>
        <w:rPr>
          <w:rFonts w:hint="eastAsia" w:ascii="楷体_GB2312" w:hAnsi="楷体_GB2312" w:eastAsia="楷体_GB2312" w:cs="楷体_GB2312"/>
          <w:sz w:val="32"/>
          <w:szCs w:val="32"/>
          <w:lang w:val="en-US" w:eastAsia="zh-CN"/>
        </w:rPr>
        <w:t>（三）一般公共预算当年拨款具体使用情况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lang w:val="en-US" w:eastAsia="zh-CN"/>
        </w:rPr>
        <w:t>教育支出（类）教育管理事务（款）行政运行（项）2024年预算数为1393.34万元，主要用于：局机关正常运转的基本支出，包括基本工资、津贴补贴等人员经费以及办公费、印刷费、水电费等日常公用经费,保障部门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教育支出（类）普通教育（款）学前教育（项）2024年预算数为42.34万元，主要用于：全区学前教育机构的资助类经费和民办幼儿园运行补助经费。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教育支出（类）普通教育（款）小学教育（项）2024年预算数为14270.33万元，主要用于：全区小学教育机构的资助类经费和部分运转类经费。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sz w:val="32"/>
          <w:szCs w:val="32"/>
          <w:lang w:val="en-US" w:eastAsia="zh-CN"/>
        </w:rPr>
        <w:t>教育支出（类）普通教育（款） 其他普通教育支出（项）2024年预算数为606.53万元，主要用于：交纳各校（园）退休人员职业年金做实单位部分。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25123"/>
      <w:r>
        <w:rPr>
          <w:rFonts w:hint="eastAsia" w:ascii="黑体" w:hAnsi="黑体" w:eastAsia="黑体" w:cs="黑体"/>
          <w:sz w:val="32"/>
          <w:szCs w:val="32"/>
          <w:lang w:val="en-US" w:eastAsia="zh-CN"/>
        </w:rPr>
        <w:t>六、一般公共预算基本支出情况说明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区教育局（机关）2024年一般公共预算基本支出664.64万元，其中：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人员经费602.57万元，主要包括：基本工资、津贴补贴、奖金、绩效工资、社会保险缴费、生活补助等支出。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公用经费62.08万元，主要包括：办公费、印刷费、差旅费、维修（护）费、会议费、培训费、公务接待费、劳务费、工会经费、其他交通费用等支出。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0372"/>
      <w:r>
        <w:rPr>
          <w:rFonts w:hint="eastAsia" w:ascii="黑体" w:hAnsi="黑体" w:eastAsia="黑体" w:cs="黑体"/>
          <w:sz w:val="32"/>
          <w:szCs w:val="32"/>
          <w:lang w:val="en-US" w:eastAsia="zh-CN"/>
        </w:rPr>
        <w:t>七、“三公”经费财政拨款预算安排情况说明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区教育局（机关）2024年“三公”经费财政拨款预算数1.93万元，其中：公务接待费1.93万元，公务用车购置及运行维护费0万元，因公出国（境）经费0万元。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5191"/>
      <w:r>
        <w:rPr>
          <w:rFonts w:hint="eastAsia" w:ascii="楷体_GB2312" w:hAnsi="楷体_GB2312" w:eastAsia="楷体_GB2312" w:cs="楷体_GB2312"/>
          <w:sz w:val="32"/>
          <w:szCs w:val="32"/>
          <w:lang w:val="en-US" w:eastAsia="zh-CN"/>
        </w:rPr>
        <w:t>（一）公务接待费</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sz w:val="32"/>
          <w:szCs w:val="32"/>
          <w:lang w:val="en-US" w:eastAsia="zh-CN"/>
        </w:rPr>
        <w:t>公务接待费与2023年预算相比下降0.01万元，主要原因</w:t>
      </w:r>
      <w:r>
        <w:rPr>
          <w:rFonts w:hint="eastAsia" w:ascii="仿宋_GB2312" w:hAnsi="仿宋_GB2312" w:eastAsia="仿宋_GB2312" w:cs="仿宋_GB2312"/>
          <w:color w:val="auto"/>
          <w:sz w:val="32"/>
          <w:szCs w:val="32"/>
          <w:lang w:val="en-US" w:eastAsia="zh-CN"/>
        </w:rPr>
        <w:t>是</w:t>
      </w:r>
      <w:r>
        <w:rPr>
          <w:rFonts w:hint="eastAsia" w:ascii="仿宋" w:hAnsi="仿宋" w:eastAsia="仿宋" w:cs="仿宋"/>
          <w:color w:val="auto"/>
          <w:sz w:val="32"/>
          <w:szCs w:val="32"/>
          <w:lang w:val="en-US" w:eastAsia="zh-CN"/>
        </w:rPr>
        <w:t>奉行节约理念，严格执行三公经费压减政策。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4599"/>
      <w:r>
        <w:rPr>
          <w:rFonts w:hint="eastAsia" w:ascii="楷体_GB2312" w:hAnsi="楷体_GB2312" w:eastAsia="楷体_GB2312" w:cs="楷体_GB2312"/>
          <w:sz w:val="32"/>
          <w:szCs w:val="32"/>
          <w:lang w:val="en-US" w:eastAsia="zh-CN"/>
        </w:rPr>
        <w:t>公务用车购置及运行维护费</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5" w:name="_Toc2401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6" w:name="_Toc29402"/>
      <w:r>
        <w:rPr>
          <w:rFonts w:hint="eastAsia" w:ascii="黑体" w:hAnsi="黑体" w:eastAsia="黑体" w:cs="黑体"/>
          <w:sz w:val="32"/>
          <w:szCs w:val="32"/>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区教育局（机关）2024年无政府性基金预算拨款安排的支出。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1242"/>
      <w:r>
        <w:rPr>
          <w:rFonts w:hint="eastAsia" w:ascii="黑体" w:hAnsi="黑体" w:eastAsia="黑体" w:cs="黑体"/>
          <w:sz w:val="32"/>
          <w:szCs w:val="32"/>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区教育局（机关）2024年无国有资本经营预算拨款安排的支出。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31219"/>
      <w:r>
        <w:rPr>
          <w:rFonts w:hint="eastAsia" w:ascii="黑体" w:hAnsi="黑体" w:eastAsia="黑体" w:cs="黑体"/>
          <w:sz w:val="32"/>
          <w:szCs w:val="32"/>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32619"/>
      <w:r>
        <w:rPr>
          <w:rFonts w:hint="eastAsia" w:ascii="楷体_GB2312" w:hAnsi="楷体_GB2312" w:eastAsia="楷体_GB2312" w:cs="楷体_GB2312"/>
          <w:sz w:val="32"/>
          <w:szCs w:val="32"/>
          <w:lang w:val="en-US" w:eastAsia="zh-CN"/>
        </w:rPr>
        <w:t>（一）机关运行经费</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2024年，区教育局下属局机关1家行政单位，机关运行经费财政拨款预算为50.4万元，比2023年预算增加8.4万元，增长20%。主要原因相比去年人员增加6人。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0105"/>
      <w:r>
        <w:rPr>
          <w:rFonts w:hint="eastAsia" w:ascii="楷体_GB2312" w:hAnsi="楷体_GB2312" w:eastAsia="楷体_GB2312" w:cs="楷体_GB2312"/>
          <w:sz w:val="32"/>
          <w:szCs w:val="32"/>
          <w:lang w:val="en-US" w:eastAsia="zh-CN"/>
        </w:rPr>
        <w:t>（二）政府采购情况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2024年，区教育局（机关）安排政府采购预算。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777"/>
      <w:r>
        <w:rPr>
          <w:rFonts w:hint="eastAsia" w:ascii="楷体_GB2312" w:hAnsi="楷体_GB2312" w:eastAsia="楷体_GB2312" w:cs="楷体_GB2312"/>
          <w:sz w:val="32"/>
          <w:szCs w:val="32"/>
          <w:lang w:val="en-US" w:eastAsia="zh-CN"/>
        </w:rPr>
        <w:t>（三）国有资产占有使用情况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截至2023年底，区教育局（机关）共有车辆0辆。单位无价值200万元以上的大型设备。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2" w:name="_Toc25216"/>
      <w:r>
        <w:rPr>
          <w:rFonts w:hint="eastAsia" w:ascii="楷体_GB2312" w:hAnsi="楷体_GB2312" w:eastAsia="楷体_GB2312" w:cs="楷体_GB2312"/>
          <w:sz w:val="32"/>
          <w:szCs w:val="32"/>
          <w:lang w:val="en-US" w:eastAsia="zh-CN"/>
        </w:rPr>
        <w:t>（四）绩效目标设置情况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2024年区教育局（机关）开展绩效目标管理的项目19个，涉及预算1527.8万元。其中：人员类项目0个，涉及预算0</w:t>
      </w:r>
      <w:bookmarkStart w:id="24" w:name="_GoBack"/>
      <w:bookmarkEnd w:id="24"/>
      <w:r>
        <w:rPr>
          <w:rFonts w:hint="eastAsia" w:ascii="仿宋_GB2312" w:hAnsi="仿宋_GB2312" w:eastAsia="仿宋_GB2312" w:cs="仿宋_GB2312"/>
          <w:sz w:val="32"/>
          <w:szCs w:val="32"/>
          <w:lang w:val="en-US" w:eastAsia="zh-CN"/>
        </w:rPr>
        <w:t>万元；运转类项目16个，涉及预算1436.8万元；特定目标类项目3个，涉及预算91万元。因部分项目内容涉密，不予公开。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552"/>
      <w:r>
        <w:rPr>
          <w:rFonts w:hint="eastAsia" w:ascii="黑体" w:hAnsi="黑体" w:eastAsia="黑体" w:cs="黑体"/>
          <w:sz w:val="32"/>
          <w:szCs w:val="32"/>
          <w:lang w:val="en-US" w:eastAsia="zh-CN"/>
        </w:rPr>
        <w:t>十一、名词解释</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（一）财政拨款收入</w:t>
      </w:r>
      <w:r>
        <w:rPr>
          <w:rFonts w:hint="default" w:ascii="楷体_GB2312" w:hAnsi="楷体_GB2312" w:eastAsia="楷体_GB2312" w:cs="楷体_GB2312"/>
          <w:color w:val="auto"/>
          <w:sz w:val="32"/>
          <w:szCs w:val="32"/>
          <w:lang w:val="en-US" w:eastAsia="zh-CN"/>
        </w:rPr>
        <w:t>:</w:t>
      </w:r>
      <w:r>
        <w:rPr>
          <w:rFonts w:hint="eastAsia" w:ascii="仿宋_GB2312" w:hAnsi="仿宋_GB2312" w:eastAsia="仿宋_GB2312" w:cs="仿宋_GB2312"/>
          <w:color w:val="auto"/>
          <w:sz w:val="32"/>
          <w:szCs w:val="32"/>
          <w:lang w:val="en-US" w:eastAsia="zh-CN"/>
        </w:rPr>
        <w:t>指</w:t>
      </w:r>
      <w:r>
        <w:rPr>
          <w:rFonts w:hint="eastAsia" w:ascii="仿宋_GB2312" w:hAnsi="仿宋_GB2312" w:eastAsia="仿宋_GB2312" w:cs="仿宋_GB2312"/>
          <w:color w:val="auto"/>
          <w:sz w:val="32"/>
          <w:szCs w:val="32"/>
          <w:highlight w:val="none"/>
          <w:lang w:val="en-US" w:eastAsia="zh-CN"/>
        </w:rPr>
        <w:t>财政</w:t>
      </w:r>
      <w:r>
        <w:rPr>
          <w:rFonts w:hint="eastAsia" w:ascii="仿宋_GB2312" w:hAnsi="仿宋_GB2312" w:eastAsia="仿宋_GB2312" w:cs="仿宋_GB2312"/>
          <w:color w:val="auto"/>
          <w:sz w:val="32"/>
          <w:szCs w:val="32"/>
          <w:lang w:val="en-US" w:eastAsia="zh-CN"/>
        </w:rPr>
        <w:t>当年安排的财政预算收入。按现行管理制度</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楷体_GB2312" w:hAnsi="楷体_GB2312" w:eastAsia="楷体_GB2312" w:cs="楷体_GB2312"/>
          <w:color w:val="auto"/>
          <w:sz w:val="32"/>
          <w:szCs w:val="32"/>
          <w:lang w:val="en-US" w:eastAsia="zh-CN"/>
        </w:rPr>
        <w:t>（二）事业收入：</w:t>
      </w:r>
      <w:r>
        <w:rPr>
          <w:rFonts w:hint="eastAsia" w:ascii="仿宋_GB2312" w:hAnsi="仿宋_GB2312" w:eastAsia="仿宋_GB2312" w:cs="仿宋_GB2312"/>
          <w:color w:val="auto"/>
          <w:sz w:val="32"/>
          <w:szCs w:val="32"/>
          <w:lang w:val="en-US" w:eastAsia="zh-CN"/>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（三）其他收入：</w:t>
      </w:r>
      <w:r>
        <w:rPr>
          <w:rFonts w:hint="eastAsia" w:ascii="仿宋_GB2312" w:hAnsi="仿宋_GB2312" w:eastAsia="仿宋_GB2312" w:cs="仿宋_GB2312"/>
          <w:color w:val="auto"/>
          <w:sz w:val="32"/>
          <w:szCs w:val="32"/>
          <w:lang w:val="en-US" w:eastAsia="zh-CN"/>
        </w:rPr>
        <w:t>指除上述“一般公共预算拨款收入” “事业收入”等以外的收入。如银行存款利息收入、社会考试服务收入、课时收入等。</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color w:val="auto"/>
          <w:sz w:val="32"/>
          <w:szCs w:val="32"/>
          <w:lang w:val="en-US" w:eastAsia="zh-CN"/>
        </w:rPr>
        <w:t>（四）教育（类）教育管理事务（款）行政运行（项）：</w:t>
      </w:r>
      <w:r>
        <w:rPr>
          <w:rFonts w:hint="eastAsia" w:ascii="仿宋_GB2312" w:hAnsi="仿宋_GB2312" w:eastAsia="仿宋_GB2312" w:cs="仿宋_GB2312"/>
          <w:color w:val="auto"/>
          <w:sz w:val="32"/>
          <w:szCs w:val="32"/>
          <w:lang w:val="en-US" w:eastAsia="zh-CN"/>
        </w:rPr>
        <w:t>指教育局机关单位用于保障机构正常运行、开展日常工作的基本支出。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（五）教育支出（类）普通教育（款）学前教育（项）：</w:t>
      </w:r>
      <w:r>
        <w:rPr>
          <w:rFonts w:hint="eastAsia" w:ascii="仿宋_GB2312" w:hAnsi="仿宋_GB2312" w:eastAsia="仿宋_GB2312" w:cs="仿宋_GB2312"/>
          <w:color w:val="auto"/>
          <w:sz w:val="32"/>
          <w:szCs w:val="32"/>
          <w:lang w:val="en-US" w:eastAsia="zh-CN"/>
        </w:rPr>
        <w:t>指全区学前教育发展的基本支出，包括基本工资、津贴补贴等人员经费以及办公费、印刷费、水电费等日常公用经费。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（六）教育支出（类）普通教育（款）小学教育（项）：</w:t>
      </w:r>
      <w:r>
        <w:rPr>
          <w:rFonts w:hint="eastAsia" w:ascii="仿宋_GB2312" w:hAnsi="仿宋_GB2312" w:eastAsia="仿宋_GB2312" w:cs="仿宋_GB2312"/>
          <w:color w:val="auto"/>
          <w:sz w:val="32"/>
          <w:szCs w:val="32"/>
          <w:lang w:val="en-US" w:eastAsia="zh-CN"/>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lang w:val="en-US" w:eastAsia="zh-CN"/>
        </w:rPr>
        <w:t>（七）教育支出（类）普通教育（款）其他普通教育（项）：</w:t>
      </w:r>
      <w:r>
        <w:rPr>
          <w:rFonts w:hint="eastAsia" w:ascii="仿宋_GB2312" w:hAnsi="仿宋_GB2312" w:eastAsia="仿宋_GB2312" w:cs="仿宋_GB2312"/>
          <w:color w:val="auto"/>
          <w:sz w:val="32"/>
          <w:szCs w:val="32"/>
          <w:lang w:val="en-US" w:eastAsia="zh-CN"/>
        </w:rPr>
        <w:t>指除上述项目以外其他用于普通教育方面的支出。</w:t>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　　</w:t>
      </w:r>
      <w:r>
        <w:rPr>
          <w:rFonts w:hint="eastAsia" w:ascii="楷体_GB2312" w:hAnsi="楷体_GB2312" w:eastAsia="楷体_GB2312" w:cs="楷体_GB2312"/>
          <w:color w:val="auto"/>
          <w:sz w:val="32"/>
          <w:szCs w:val="32"/>
          <w:lang w:val="en-US" w:eastAsia="zh-CN"/>
        </w:rPr>
        <w:t>（</w:t>
      </w:r>
      <w:r>
        <w:rPr>
          <w:rFonts w:hint="eastAsia" w:ascii="楷体_GB2312" w:hAnsi="楷体_GB2312" w:eastAsia="楷体_GB2312" w:cs="楷体_GB2312"/>
          <w:color w:val="auto"/>
          <w:kern w:val="2"/>
          <w:sz w:val="32"/>
          <w:szCs w:val="32"/>
          <w:lang w:val="en-US" w:eastAsia="zh-CN" w:bidi="ar-SA"/>
        </w:rPr>
        <w:t>八</w:t>
      </w:r>
      <w:r>
        <w:rPr>
          <w:rFonts w:hint="eastAsia" w:ascii="楷体_GB2312" w:hAnsi="楷体_GB2312" w:eastAsia="楷体_GB2312" w:cs="楷体_GB2312"/>
          <w:color w:val="auto"/>
          <w:sz w:val="32"/>
          <w:szCs w:val="32"/>
          <w:lang w:val="en-US" w:eastAsia="zh-CN"/>
        </w:rPr>
        <w:t>）基本支出：</w:t>
      </w:r>
      <w:r>
        <w:rPr>
          <w:rFonts w:hint="eastAsia" w:ascii="仿宋_GB2312" w:hAnsi="仿宋_GB2312" w:eastAsia="仿宋_GB2312" w:cs="仿宋_GB2312"/>
          <w:color w:val="auto"/>
          <w:sz w:val="32"/>
          <w:szCs w:val="32"/>
          <w:lang w:val="en-US" w:eastAsia="zh-CN"/>
        </w:rPr>
        <w:t>指为保证机构正常运转，完成日常工作任务而发生的人员支出和公用支出。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（九）项目支出：</w:t>
      </w:r>
      <w:r>
        <w:rPr>
          <w:rFonts w:hint="eastAsia" w:ascii="仿宋_GB2312" w:hAnsi="仿宋_GB2312"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（十）“三公”经费：</w:t>
      </w:r>
      <w:r>
        <w:rPr>
          <w:rFonts w:hint="eastAsia" w:ascii="仿宋_GB2312" w:hAnsi="仿宋_GB2312" w:eastAsia="仿宋_GB2312" w:cs="仿宋_GB2312"/>
          <w:color w:val="auto"/>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color w:val="auto"/>
          <w:sz w:val="32"/>
          <w:szCs w:val="32"/>
          <w:lang w:val="en-US" w:eastAsia="zh-CN"/>
        </w:rPr>
        <w:t>（十一）机关运行经费：</w:t>
      </w:r>
      <w:r>
        <w:rPr>
          <w:rFonts w:hint="eastAsia" w:ascii="仿宋_GB2312" w:hAnsi="仿宋_GB2312" w:eastAsia="仿宋_GB2312" w:cs="仿宋_GB2312"/>
          <w:color w:val="auto"/>
          <w:sz w:val="32"/>
          <w:szCs w:val="32"/>
          <w:lang w:val="en-US" w:eastAsia="zh-CN"/>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 预算公开表</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19D650FA"/>
    <w:rsid w:val="1F7BF06F"/>
    <w:rsid w:val="1FEE4B73"/>
    <w:rsid w:val="23CE9849"/>
    <w:rsid w:val="28A23B9B"/>
    <w:rsid w:val="2F0E1E9B"/>
    <w:rsid w:val="2FAA2B11"/>
    <w:rsid w:val="3439314D"/>
    <w:rsid w:val="39F304DD"/>
    <w:rsid w:val="54244390"/>
    <w:rsid w:val="54662A63"/>
    <w:rsid w:val="58064E12"/>
    <w:rsid w:val="584C42BF"/>
    <w:rsid w:val="584E7AA9"/>
    <w:rsid w:val="5BFEE015"/>
    <w:rsid w:val="60A67F7D"/>
    <w:rsid w:val="63EDCF55"/>
    <w:rsid w:val="63FBFBCF"/>
    <w:rsid w:val="669360FD"/>
    <w:rsid w:val="68FF6A83"/>
    <w:rsid w:val="6FBBC9CF"/>
    <w:rsid w:val="719D7A27"/>
    <w:rsid w:val="72BDE561"/>
    <w:rsid w:val="78462278"/>
    <w:rsid w:val="7997EA6C"/>
    <w:rsid w:val="7AEAE675"/>
    <w:rsid w:val="7BAFCE5D"/>
    <w:rsid w:val="7BC175D4"/>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before="0" w:after="140" w:line="276" w:lineRule="auto"/>
    </w:pPr>
  </w:style>
  <w:style w:type="paragraph" w:styleId="3">
    <w:name w:val="caption"/>
    <w:basedOn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autoRedefine/>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autoRedefine/>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2024-04-09T03:52:03Z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