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3A9632">
      <w:pPr>
        <w:spacing w:line="600" w:lineRule="exact"/>
        <w:jc w:val="center"/>
        <w:outlineLvl w:val="0"/>
        <w:rPr>
          <w:rFonts w:ascii="方正小标宋简体" w:hAnsi="宋体" w:eastAsia="方正小标宋简体"/>
          <w:sz w:val="72"/>
          <w:szCs w:val="72"/>
        </w:rPr>
      </w:pPr>
      <w:bookmarkStart w:id="0" w:name="_Toc15306267"/>
    </w:p>
    <w:p w14:paraId="4AA1F06F">
      <w:pPr>
        <w:spacing w:line="600" w:lineRule="exact"/>
        <w:jc w:val="center"/>
        <w:outlineLvl w:val="0"/>
        <w:rPr>
          <w:rFonts w:ascii="方正小标宋简体" w:hAnsi="宋体" w:eastAsia="方正小标宋简体"/>
          <w:sz w:val="72"/>
          <w:szCs w:val="72"/>
        </w:rPr>
      </w:pPr>
    </w:p>
    <w:p w14:paraId="550459E4">
      <w:pPr>
        <w:spacing w:line="600" w:lineRule="exact"/>
        <w:jc w:val="center"/>
        <w:outlineLvl w:val="0"/>
        <w:rPr>
          <w:rFonts w:ascii="方正小标宋简体" w:hAnsi="宋体" w:eastAsia="方正小标宋简体"/>
          <w:sz w:val="72"/>
          <w:szCs w:val="72"/>
        </w:rPr>
      </w:pPr>
    </w:p>
    <w:p w14:paraId="67001F05">
      <w:pPr>
        <w:spacing w:line="600" w:lineRule="exact"/>
        <w:jc w:val="center"/>
        <w:outlineLvl w:val="0"/>
        <w:rPr>
          <w:rFonts w:ascii="方正小标宋简体" w:hAnsi="宋体" w:eastAsia="方正小标宋简体"/>
          <w:sz w:val="72"/>
          <w:szCs w:val="72"/>
        </w:rPr>
      </w:pPr>
    </w:p>
    <w:p w14:paraId="36684BF8">
      <w:pPr>
        <w:adjustRightInd w:val="0"/>
        <w:snapToGrid w:val="0"/>
        <w:spacing w:line="360" w:lineRule="auto"/>
        <w:jc w:val="center"/>
        <w:outlineLvl w:val="0"/>
        <w:rPr>
          <w:rFonts w:ascii="方正小标宋_GBK" w:hAnsi="方正小标宋_GBK" w:eastAsia="方正小标宋_GBK" w:cs="方正小标宋_GBK"/>
          <w:sz w:val="72"/>
          <w:szCs w:val="72"/>
        </w:rPr>
      </w:pPr>
      <w:bookmarkStart w:id="1" w:name="_Toc15378441"/>
      <w:bookmarkStart w:id="2" w:name="_Toc15396597"/>
      <w:bookmarkStart w:id="3" w:name="_Toc15396475"/>
      <w:bookmarkStart w:id="4" w:name="_Toc15377425"/>
      <w:bookmarkStart w:id="5" w:name="_Toc15377193"/>
      <w:r>
        <w:rPr>
          <w:rFonts w:hint="eastAsia" w:ascii="方正小标宋_GBK" w:hAnsi="方正小标宋_GBK" w:eastAsia="方正小标宋_GBK" w:cs="方正小标宋_GBK"/>
          <w:sz w:val="72"/>
          <w:szCs w:val="72"/>
        </w:rPr>
        <w:t>2021年度</w:t>
      </w:r>
      <w:bookmarkEnd w:id="1"/>
      <w:bookmarkEnd w:id="2"/>
      <w:bookmarkEnd w:id="3"/>
      <w:bookmarkEnd w:id="4"/>
      <w:bookmarkEnd w:id="5"/>
    </w:p>
    <w:p w14:paraId="08A88D15">
      <w:pPr>
        <w:adjustRightInd w:val="0"/>
        <w:snapToGrid w:val="0"/>
        <w:spacing w:line="360" w:lineRule="auto"/>
        <w:jc w:val="center"/>
        <w:outlineLvl w:val="0"/>
        <w:rPr>
          <w:rFonts w:ascii="方正小标宋_GBK" w:hAnsi="方正小标宋_GBK" w:eastAsia="方正小标宋_GBK" w:cs="方正小标宋_GBK"/>
          <w:sz w:val="72"/>
          <w:szCs w:val="72"/>
        </w:rPr>
      </w:pPr>
      <w:bookmarkStart w:id="6" w:name="_Toc15396476"/>
      <w:bookmarkStart w:id="7" w:name="_Toc15377194"/>
      <w:bookmarkStart w:id="8" w:name="_Toc15378442"/>
      <w:bookmarkStart w:id="9" w:name="_Toc15377426"/>
      <w:bookmarkStart w:id="10" w:name="_Toc15396598"/>
      <w:r>
        <w:rPr>
          <w:rFonts w:hint="eastAsia" w:ascii="方正小标宋_GBK" w:hAnsi="方正小标宋_GBK" w:eastAsia="方正小标宋_GBK" w:cs="方正小标宋_GBK"/>
          <w:sz w:val="72"/>
          <w:szCs w:val="72"/>
        </w:rPr>
        <w:t>四川省</w:t>
      </w:r>
      <w:bookmarkEnd w:id="0"/>
      <w:bookmarkStart w:id="11" w:name="_Toc15306268"/>
      <w:r>
        <w:rPr>
          <w:rFonts w:hint="eastAsia" w:ascii="方正小标宋_GBK" w:hAnsi="方正小标宋_GBK" w:eastAsia="方正小标宋_GBK" w:cs="方正小标宋_GBK"/>
          <w:sz w:val="72"/>
          <w:szCs w:val="72"/>
        </w:rPr>
        <w:t>广元市昭化区</w:t>
      </w:r>
      <w:r>
        <w:rPr>
          <w:rFonts w:hint="eastAsia" w:ascii="方正小标宋_GBK" w:hAnsi="方正小标宋_GBK" w:eastAsia="方正小标宋_GBK" w:cs="方正小标宋_GBK"/>
          <w:sz w:val="72"/>
          <w:szCs w:val="72"/>
          <w:lang w:eastAsia="zh-CN"/>
        </w:rPr>
        <w:t>民盟烛光中学</w:t>
      </w:r>
      <w:r>
        <w:rPr>
          <w:rFonts w:hint="eastAsia" w:ascii="方正小标宋_GBK" w:hAnsi="方正小标宋_GBK" w:eastAsia="方正小标宋_GBK" w:cs="方正小标宋_GBK"/>
          <w:sz w:val="72"/>
          <w:szCs w:val="72"/>
        </w:rPr>
        <w:t>单位决算</w:t>
      </w:r>
      <w:bookmarkEnd w:id="6"/>
      <w:bookmarkEnd w:id="7"/>
      <w:bookmarkEnd w:id="8"/>
      <w:bookmarkEnd w:id="9"/>
      <w:bookmarkEnd w:id="10"/>
      <w:bookmarkEnd w:id="11"/>
    </w:p>
    <w:p w14:paraId="432769B3">
      <w:pPr>
        <w:widowControl/>
        <w:jc w:val="center"/>
        <w:rPr>
          <w:rFonts w:ascii="黑体" w:hAnsi="黑体" w:eastAsia="黑体"/>
          <w:sz w:val="48"/>
          <w:szCs w:val="48"/>
        </w:rPr>
      </w:pPr>
      <w:r>
        <w:rPr>
          <w:rFonts w:ascii="方正小标宋简体" w:hAnsi="宋体" w:eastAsia="方正小标宋简体"/>
          <w:sz w:val="36"/>
          <w:szCs w:val="36"/>
        </w:rPr>
        <w:br w:type="page"/>
      </w:r>
      <w:r>
        <w:rPr>
          <w:rFonts w:hint="eastAsia" w:ascii="黑体" w:hAnsi="黑体" w:eastAsia="黑体"/>
          <w:sz w:val="48"/>
          <w:szCs w:val="48"/>
        </w:rPr>
        <w:t>目录</w:t>
      </w:r>
    </w:p>
    <w:p w14:paraId="5B0F18AF">
      <w:pPr>
        <w:pStyle w:val="13"/>
        <w:jc w:val="both"/>
      </w:pPr>
    </w:p>
    <w:p w14:paraId="149B3EE5"/>
    <w:p w14:paraId="30C8262B">
      <w:pPr>
        <w:pStyle w:val="13"/>
        <w:keepNext w:val="0"/>
        <w:keepLines w:val="0"/>
        <w:pageBreakBefore w:val="0"/>
        <w:widowControl w:val="0"/>
        <w:tabs>
          <w:tab w:val="right" w:leader="middleDot" w:pos="8296"/>
        </w:tabs>
        <w:kinsoku/>
        <w:wordWrap/>
        <w:overflowPunct/>
        <w:topLinePunct w:val="0"/>
        <w:autoSpaceDE/>
        <w:autoSpaceDN/>
        <w:bidi w:val="0"/>
        <w:adjustRightInd w:val="0"/>
        <w:snapToGrid w:val="0"/>
        <w:spacing w:before="0" w:line="440" w:lineRule="exact"/>
        <w:jc w:val="left"/>
        <w:textAlignment w:val="auto"/>
        <w:rPr>
          <w:rFonts w:hint="default" w:eastAsia="仿宋" w:cstheme="minorBidi"/>
          <w:color w:val="auto"/>
          <w:sz w:val="24"/>
          <w:szCs w:val="24"/>
          <w:highlight w:val="none"/>
          <w:lang w:val="en-US" w:eastAsia="zh-CN"/>
        </w:rPr>
      </w:pPr>
      <w:bookmarkStart w:id="12" w:name="_Toc15377196"/>
      <w:bookmarkStart w:id="13" w:name="_Toc15396599"/>
      <w:r>
        <w:rPr>
          <w:rFonts w:hint="eastAsia"/>
          <w:color w:val="auto"/>
          <w:sz w:val="24"/>
          <w:highlight w:val="none"/>
        </w:rPr>
        <w:t>第一部分</w:t>
      </w:r>
      <w:r>
        <w:rPr>
          <w:color w:val="auto"/>
          <w:sz w:val="24"/>
          <w:highlight w:val="none"/>
        </w:rPr>
        <w:t xml:space="preserve"> </w:t>
      </w:r>
      <w:r>
        <w:rPr>
          <w:rFonts w:hint="eastAsia"/>
          <w:color w:val="auto"/>
          <w:sz w:val="24"/>
          <w:highlight w:val="none"/>
          <w:lang w:eastAsia="zh-CN"/>
        </w:rPr>
        <w:t>单位</w:t>
      </w:r>
      <w:r>
        <w:rPr>
          <w:rFonts w:hint="eastAsia"/>
          <w:color w:val="auto"/>
          <w:sz w:val="24"/>
          <w:highlight w:val="none"/>
        </w:rPr>
        <w:t>概况</w:t>
      </w:r>
      <w:r>
        <w:rPr>
          <w:rFonts w:hint="eastAsia"/>
          <w:color w:val="auto"/>
          <w:sz w:val="24"/>
          <w:highlight w:val="none"/>
          <w:lang w:val="en-US" w:eastAsia="zh-CN"/>
        </w:rPr>
        <w:tab/>
      </w:r>
      <w:r>
        <w:rPr>
          <w:rFonts w:hint="eastAsia"/>
          <w:color w:val="auto"/>
          <w:sz w:val="24"/>
          <w:highlight w:val="none"/>
          <w:lang w:val="en-US" w:eastAsia="zh-CN"/>
        </w:rPr>
        <w:t>4</w:t>
      </w:r>
    </w:p>
    <w:p w14:paraId="375182A9">
      <w:pPr>
        <w:pStyle w:val="14"/>
        <w:adjustRightInd w:val="0"/>
        <w:snapToGrid w:val="0"/>
        <w:spacing w:line="440" w:lineRule="exact"/>
        <w:jc w:val="distribute"/>
        <w:rPr>
          <w:rFonts w:hint="default" w:eastAsia="宋体"/>
          <w:color w:val="auto"/>
          <w:sz w:val="24"/>
          <w:highlight w:val="none"/>
          <w:lang w:val="en-US" w:eastAsia="zh-CN"/>
        </w:rPr>
      </w:pPr>
      <w:r>
        <w:rPr>
          <w:rFonts w:hint="eastAsia"/>
          <w:color w:val="auto"/>
          <w:sz w:val="24"/>
          <w:highlight w:val="none"/>
        </w:rPr>
        <w:t>一、职能</w:t>
      </w:r>
      <w:r>
        <w:rPr>
          <w:rFonts w:hint="eastAsia"/>
          <w:color w:val="auto"/>
          <w:sz w:val="24"/>
          <w:highlight w:val="none"/>
          <w:lang w:eastAsia="zh-CN"/>
        </w:rPr>
        <w:t>简介</w:t>
      </w:r>
      <w:r>
        <w:rPr>
          <w:rFonts w:hint="eastAsia"/>
          <w:color w:val="auto"/>
          <w:sz w:val="24"/>
          <w:highlight w:val="none"/>
          <w:lang w:val="en-US" w:eastAsia="zh-CN"/>
        </w:rPr>
        <w:tab/>
      </w:r>
      <w:r>
        <w:rPr>
          <w:rFonts w:hint="eastAsia"/>
          <w:color w:val="auto"/>
          <w:sz w:val="24"/>
          <w:highlight w:val="none"/>
          <w:lang w:val="en-US" w:eastAsia="zh-CN"/>
        </w:rPr>
        <w:t>4</w:t>
      </w:r>
    </w:p>
    <w:p w14:paraId="2DAFF75B">
      <w:pPr>
        <w:pStyle w:val="14"/>
        <w:adjustRightInd w:val="0"/>
        <w:snapToGrid w:val="0"/>
        <w:spacing w:line="440" w:lineRule="exact"/>
        <w:jc w:val="distribute"/>
        <w:rPr>
          <w:rFonts w:hint="default"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eastAsia="zh-CN"/>
        </w:rPr>
        <w:t>二、</w:t>
      </w:r>
      <w:r>
        <w:rPr>
          <w:rFonts w:hint="eastAsia" w:asciiTheme="minorEastAsia" w:hAnsiTheme="minorEastAsia" w:eastAsiaTheme="minorEastAsia" w:cstheme="minorEastAsia"/>
          <w:color w:val="auto"/>
          <w:sz w:val="24"/>
          <w:highlight w:val="none"/>
          <w:lang w:val="en-US" w:eastAsia="zh-CN"/>
        </w:rPr>
        <w:t>2021年重点</w:t>
      </w:r>
      <w:r>
        <w:rPr>
          <w:rFonts w:hint="eastAsia" w:asciiTheme="minorEastAsia" w:hAnsiTheme="minorEastAsia" w:eastAsiaTheme="minorEastAsia" w:cstheme="minorEastAsia"/>
          <w:color w:val="auto"/>
          <w:sz w:val="24"/>
          <w:highlight w:val="none"/>
        </w:rPr>
        <w:t>工作</w:t>
      </w:r>
      <w:r>
        <w:rPr>
          <w:rFonts w:hint="eastAsia" w:asciiTheme="minorEastAsia" w:hAnsiTheme="minorEastAsia" w:eastAsiaTheme="minorEastAsia" w:cstheme="minorEastAsia"/>
          <w:color w:val="auto"/>
          <w:sz w:val="24"/>
          <w:highlight w:val="none"/>
          <w:lang w:eastAsia="zh-CN"/>
        </w:rPr>
        <w:t>完成情况</w:t>
      </w:r>
      <w:r>
        <w:rPr>
          <w:rFonts w:hint="eastAsia"/>
          <w:color w:val="auto"/>
          <w:sz w:val="24"/>
          <w:highlight w:val="none"/>
          <w:lang w:val="en-US" w:eastAsia="zh-CN"/>
        </w:rPr>
        <w:tab/>
      </w:r>
      <w:r>
        <w:rPr>
          <w:rFonts w:hint="eastAsia"/>
          <w:color w:val="auto"/>
          <w:sz w:val="24"/>
          <w:highlight w:val="none"/>
          <w:lang w:val="en-US" w:eastAsia="zh-CN"/>
        </w:rPr>
        <w:t>5</w:t>
      </w:r>
    </w:p>
    <w:p w14:paraId="164BD3D0">
      <w:pPr>
        <w:pStyle w:val="13"/>
        <w:adjustRightInd w:val="0"/>
        <w:snapToGrid w:val="0"/>
        <w:spacing w:before="0" w:line="440" w:lineRule="exact"/>
        <w:jc w:val="left"/>
        <w:rPr>
          <w:rFonts w:hint="default"/>
          <w:color w:val="auto"/>
          <w:sz w:val="24"/>
          <w:szCs w:val="24"/>
          <w:highlight w:val="none"/>
          <w:lang w:val="en-US"/>
        </w:rPr>
      </w:pPr>
      <w:r>
        <w:rPr>
          <w:rFonts w:hint="eastAsia"/>
          <w:color w:val="auto"/>
          <w:sz w:val="24"/>
          <w:highlight w:val="none"/>
        </w:rPr>
        <w:t>第二部分</w:t>
      </w:r>
      <w:r>
        <w:rPr>
          <w:rFonts w:hint="eastAsia"/>
          <w:color w:val="auto"/>
          <w:sz w:val="24"/>
          <w:highlight w:val="none"/>
          <w:lang w:val="en-US" w:eastAsia="zh-CN"/>
        </w:rPr>
        <w:t xml:space="preserve"> 2021年度</w:t>
      </w:r>
      <w:r>
        <w:rPr>
          <w:rFonts w:hint="eastAsia"/>
          <w:color w:val="auto"/>
          <w:sz w:val="24"/>
          <w:highlight w:val="none"/>
          <w:lang w:eastAsia="zh-CN"/>
        </w:rPr>
        <w:t>单位</w:t>
      </w:r>
      <w:r>
        <w:rPr>
          <w:rFonts w:hint="eastAsia"/>
          <w:color w:val="auto"/>
          <w:sz w:val="24"/>
          <w:highlight w:val="none"/>
        </w:rPr>
        <w:t>决算情况说明</w:t>
      </w:r>
      <w:r>
        <w:rPr>
          <w:rFonts w:hint="eastAsia"/>
          <w:color w:val="auto"/>
          <w:sz w:val="24"/>
          <w:highlight w:val="none"/>
          <w:lang w:val="en-US" w:eastAsia="zh-CN"/>
        </w:rPr>
        <w:tab/>
      </w:r>
      <w:r>
        <w:rPr>
          <w:rFonts w:hint="eastAsia"/>
          <w:color w:val="auto"/>
          <w:sz w:val="24"/>
          <w:highlight w:val="none"/>
          <w:lang w:val="en-US" w:eastAsia="zh-CN"/>
        </w:rPr>
        <w:t>12</w:t>
      </w:r>
    </w:p>
    <w:p w14:paraId="4EEC665D">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一、收入支出决算总体情况说明</w:t>
      </w:r>
      <w:r>
        <w:rPr>
          <w:rFonts w:hint="eastAsia"/>
          <w:color w:val="auto"/>
          <w:sz w:val="24"/>
          <w:highlight w:val="none"/>
          <w:lang w:val="en-US" w:eastAsia="zh-CN"/>
        </w:rPr>
        <w:tab/>
      </w:r>
      <w:r>
        <w:rPr>
          <w:rFonts w:hint="eastAsia"/>
          <w:color w:val="auto"/>
          <w:sz w:val="24"/>
          <w:highlight w:val="none"/>
          <w:lang w:val="en-US" w:eastAsia="zh-CN"/>
        </w:rPr>
        <w:t>12</w:t>
      </w:r>
    </w:p>
    <w:p w14:paraId="1F45FFC5">
      <w:pPr>
        <w:pStyle w:val="14"/>
        <w:adjustRightInd w:val="0"/>
        <w:snapToGrid w:val="0"/>
        <w:spacing w:line="440" w:lineRule="exact"/>
        <w:jc w:val="distribute"/>
        <w:rPr>
          <w:rFonts w:ascii="仿宋" w:hAnsi="仿宋" w:eastAsia="仿宋" w:cstheme="minorBidi"/>
          <w:color w:val="auto"/>
          <w:sz w:val="24"/>
          <w:highlight w:val="none"/>
        </w:rPr>
      </w:pPr>
      <w:r>
        <w:rPr>
          <w:rFonts w:hint="eastAsia"/>
          <w:color w:val="auto"/>
          <w:sz w:val="24"/>
          <w:highlight w:val="none"/>
        </w:rPr>
        <w:t>二、收入决算情况说明</w:t>
      </w:r>
      <w:r>
        <w:rPr>
          <w:rFonts w:hint="eastAsia"/>
          <w:color w:val="auto"/>
          <w:sz w:val="24"/>
          <w:highlight w:val="none"/>
          <w:lang w:val="en-US" w:eastAsia="zh-CN"/>
        </w:rPr>
        <w:tab/>
      </w:r>
      <w:r>
        <w:rPr>
          <w:rFonts w:hint="eastAsia"/>
          <w:color w:val="auto"/>
          <w:sz w:val="24"/>
          <w:highlight w:val="none"/>
          <w:lang w:val="en-US" w:eastAsia="zh-CN"/>
        </w:rPr>
        <w:t>12</w:t>
      </w:r>
    </w:p>
    <w:p w14:paraId="67F90418">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三、支出决算情况说明</w:t>
      </w:r>
      <w:r>
        <w:rPr>
          <w:rFonts w:hint="eastAsia"/>
          <w:color w:val="auto"/>
          <w:sz w:val="24"/>
          <w:highlight w:val="none"/>
          <w:lang w:val="en-US" w:eastAsia="zh-CN"/>
        </w:rPr>
        <w:tab/>
      </w:r>
      <w:r>
        <w:rPr>
          <w:rFonts w:hint="eastAsia"/>
          <w:color w:val="auto"/>
          <w:sz w:val="24"/>
          <w:highlight w:val="none"/>
          <w:lang w:val="en-US" w:eastAsia="zh-CN"/>
        </w:rPr>
        <w:t>12</w:t>
      </w:r>
    </w:p>
    <w:p w14:paraId="5D5EC07D">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四、财政拨款收入支出决算总体情况说明</w:t>
      </w:r>
      <w:r>
        <w:rPr>
          <w:rFonts w:hint="eastAsia"/>
          <w:color w:val="auto"/>
          <w:sz w:val="24"/>
          <w:highlight w:val="none"/>
          <w:lang w:val="en-US" w:eastAsia="zh-CN"/>
        </w:rPr>
        <w:tab/>
      </w:r>
      <w:r>
        <w:rPr>
          <w:rFonts w:hint="eastAsia"/>
          <w:color w:val="auto"/>
          <w:sz w:val="24"/>
          <w:highlight w:val="none"/>
          <w:lang w:val="en-US" w:eastAsia="zh-CN"/>
        </w:rPr>
        <w:t>13</w:t>
      </w:r>
    </w:p>
    <w:p w14:paraId="7364A121">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五、一般公共预算财政拨款支出决算情况说明</w:t>
      </w:r>
      <w:r>
        <w:rPr>
          <w:rFonts w:hint="eastAsia"/>
          <w:color w:val="auto"/>
          <w:sz w:val="24"/>
          <w:highlight w:val="none"/>
          <w:lang w:val="en-US" w:eastAsia="zh-CN"/>
        </w:rPr>
        <w:tab/>
      </w:r>
      <w:r>
        <w:rPr>
          <w:rFonts w:hint="eastAsia"/>
          <w:color w:val="auto"/>
          <w:sz w:val="24"/>
          <w:highlight w:val="none"/>
          <w:lang w:val="en-US" w:eastAsia="zh-CN"/>
        </w:rPr>
        <w:t>13</w:t>
      </w:r>
    </w:p>
    <w:p w14:paraId="36229617">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六、一般公共预算财政拨款基本支出决算情况说明</w:t>
      </w:r>
      <w:r>
        <w:rPr>
          <w:rFonts w:hint="eastAsia"/>
          <w:color w:val="auto"/>
          <w:sz w:val="24"/>
          <w:highlight w:val="none"/>
          <w:lang w:val="en-US" w:eastAsia="zh-CN"/>
        </w:rPr>
        <w:tab/>
      </w:r>
      <w:r>
        <w:rPr>
          <w:rFonts w:hint="eastAsia"/>
          <w:color w:val="auto"/>
          <w:sz w:val="24"/>
          <w:highlight w:val="none"/>
          <w:lang w:val="en-US" w:eastAsia="zh-CN"/>
        </w:rPr>
        <w:t>15</w:t>
      </w:r>
    </w:p>
    <w:p w14:paraId="40091A19">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七、</w:t>
      </w:r>
      <w:r>
        <w:rPr>
          <w:rFonts w:hint="eastAsia"/>
          <w:color w:val="auto"/>
          <w:sz w:val="24"/>
          <w:highlight w:val="none"/>
          <w:lang w:eastAsia="zh-CN"/>
        </w:rPr>
        <w:t>“</w:t>
      </w:r>
      <w:r>
        <w:rPr>
          <w:rFonts w:hint="eastAsia"/>
          <w:color w:val="auto"/>
          <w:sz w:val="24"/>
          <w:highlight w:val="none"/>
        </w:rPr>
        <w:t>三公”经费财政拨款支出决算情况说明</w:t>
      </w:r>
      <w:r>
        <w:rPr>
          <w:rFonts w:hint="eastAsia"/>
          <w:color w:val="auto"/>
          <w:sz w:val="24"/>
          <w:highlight w:val="none"/>
          <w:lang w:val="en-US" w:eastAsia="zh-CN"/>
        </w:rPr>
        <w:tab/>
      </w:r>
      <w:r>
        <w:rPr>
          <w:rFonts w:hint="eastAsia"/>
          <w:color w:val="auto"/>
          <w:sz w:val="24"/>
          <w:highlight w:val="none"/>
          <w:lang w:val="en-US" w:eastAsia="zh-CN"/>
        </w:rPr>
        <w:t>15</w:t>
      </w:r>
    </w:p>
    <w:p w14:paraId="3274CD9B">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八、政府性基金预算支出决算情况说明</w:t>
      </w:r>
      <w:r>
        <w:rPr>
          <w:rFonts w:hint="eastAsia"/>
          <w:color w:val="auto"/>
          <w:sz w:val="24"/>
          <w:highlight w:val="none"/>
          <w:lang w:val="en-US" w:eastAsia="zh-CN"/>
        </w:rPr>
        <w:tab/>
      </w:r>
      <w:r>
        <w:rPr>
          <w:rFonts w:hint="eastAsia"/>
          <w:color w:val="auto"/>
          <w:sz w:val="24"/>
          <w:highlight w:val="none"/>
          <w:lang w:val="en-US" w:eastAsia="zh-CN"/>
        </w:rPr>
        <w:t>17</w:t>
      </w:r>
    </w:p>
    <w:p w14:paraId="40B2560C">
      <w:pPr>
        <w:pStyle w:val="14"/>
        <w:adjustRightInd w:val="0"/>
        <w:snapToGrid w:val="0"/>
        <w:spacing w:line="440" w:lineRule="exact"/>
        <w:jc w:val="distribute"/>
        <w:rPr>
          <w:rFonts w:hint="eastAsia"/>
          <w:color w:val="auto"/>
          <w:sz w:val="24"/>
          <w:highlight w:val="none"/>
          <w:lang w:val="en-US" w:eastAsia="zh-CN"/>
        </w:rPr>
      </w:pPr>
      <w:r>
        <w:rPr>
          <w:rFonts w:hint="eastAsia"/>
          <w:color w:val="auto"/>
          <w:sz w:val="24"/>
          <w:highlight w:val="none"/>
        </w:rPr>
        <w:t>九、国有资本经营预算支出决算情况说明</w:t>
      </w:r>
      <w:r>
        <w:rPr>
          <w:rFonts w:hint="eastAsia"/>
          <w:color w:val="auto"/>
          <w:sz w:val="24"/>
          <w:highlight w:val="none"/>
          <w:lang w:val="en-US" w:eastAsia="zh-CN"/>
        </w:rPr>
        <w:tab/>
      </w:r>
      <w:r>
        <w:rPr>
          <w:rFonts w:hint="eastAsia"/>
          <w:color w:val="auto"/>
          <w:sz w:val="24"/>
          <w:highlight w:val="none"/>
          <w:lang w:val="en-US" w:eastAsia="zh-CN"/>
        </w:rPr>
        <w:t>17</w:t>
      </w:r>
    </w:p>
    <w:p w14:paraId="48B6A3C0">
      <w:pPr>
        <w:pStyle w:val="14"/>
        <w:adjustRightInd w:val="0"/>
        <w:snapToGrid w:val="0"/>
        <w:spacing w:line="440" w:lineRule="exact"/>
        <w:jc w:val="distribute"/>
        <w:rPr>
          <w:rFonts w:hint="default" w:eastAsia="宋体"/>
          <w:color w:val="auto"/>
          <w:lang w:val="en-US" w:eastAsia="zh-CN"/>
        </w:rPr>
      </w:pPr>
      <w:r>
        <w:rPr>
          <w:rFonts w:hint="eastAsia"/>
          <w:color w:val="auto"/>
          <w:sz w:val="24"/>
          <w:highlight w:val="none"/>
        </w:rPr>
        <w:t>十、</w:t>
      </w:r>
      <w:r>
        <w:rPr>
          <w:rFonts w:hint="eastAsia" w:asciiTheme="minorEastAsia" w:hAnsiTheme="minorEastAsia" w:eastAsiaTheme="minorEastAsia" w:cstheme="minorEastAsia"/>
          <w:color w:val="auto"/>
          <w:sz w:val="24"/>
          <w:highlight w:val="none"/>
          <w:lang w:val="en-US" w:eastAsia="zh-CN"/>
        </w:rPr>
        <w:t>预算绩效管理情况</w:t>
      </w:r>
      <w:r>
        <w:rPr>
          <w:rFonts w:hint="eastAsia"/>
          <w:color w:val="auto"/>
          <w:sz w:val="24"/>
          <w:highlight w:val="none"/>
          <w:lang w:val="en-US" w:eastAsia="zh-CN"/>
        </w:rPr>
        <w:tab/>
      </w:r>
      <w:r>
        <w:rPr>
          <w:rFonts w:hint="eastAsia"/>
          <w:color w:val="auto"/>
          <w:sz w:val="24"/>
          <w:highlight w:val="none"/>
          <w:lang w:val="en-US" w:eastAsia="zh-CN"/>
        </w:rPr>
        <w:t>18</w:t>
      </w:r>
    </w:p>
    <w:p w14:paraId="7948CD9B">
      <w:pPr>
        <w:pStyle w:val="14"/>
        <w:adjustRightInd w:val="0"/>
        <w:snapToGrid w:val="0"/>
        <w:spacing w:line="440" w:lineRule="exact"/>
        <w:jc w:val="distribute"/>
        <w:rPr>
          <w:rFonts w:hint="default" w:eastAsia="宋体"/>
          <w:color w:val="auto"/>
          <w:lang w:val="en-US" w:eastAsia="zh-CN"/>
        </w:rPr>
      </w:pPr>
      <w:r>
        <w:rPr>
          <w:rFonts w:hint="eastAsia"/>
          <w:color w:val="auto"/>
          <w:sz w:val="24"/>
          <w:highlight w:val="none"/>
          <w:lang w:val="en-US" w:eastAsia="zh-CN"/>
        </w:rPr>
        <w:t>十一、</w:t>
      </w:r>
      <w:r>
        <w:rPr>
          <w:rFonts w:hint="eastAsia"/>
          <w:color w:val="auto"/>
          <w:sz w:val="24"/>
          <w:highlight w:val="none"/>
        </w:rPr>
        <w:t>其他重要事项的情况说明</w:t>
      </w:r>
      <w:r>
        <w:rPr>
          <w:rFonts w:hint="eastAsia"/>
          <w:color w:val="auto"/>
          <w:sz w:val="24"/>
          <w:highlight w:val="none"/>
          <w:lang w:val="en-US" w:eastAsia="zh-CN"/>
        </w:rPr>
        <w:tab/>
      </w:r>
      <w:r>
        <w:rPr>
          <w:rFonts w:hint="eastAsia"/>
          <w:color w:val="auto"/>
          <w:sz w:val="24"/>
          <w:highlight w:val="none"/>
          <w:lang w:val="en-US" w:eastAsia="zh-CN"/>
        </w:rPr>
        <w:t>18</w:t>
      </w:r>
    </w:p>
    <w:p w14:paraId="62E8A15D">
      <w:pPr>
        <w:pStyle w:val="13"/>
        <w:adjustRightInd w:val="0"/>
        <w:snapToGrid w:val="0"/>
        <w:spacing w:before="0" w:line="440" w:lineRule="exact"/>
        <w:jc w:val="left"/>
        <w:rPr>
          <w:rFonts w:hint="default" w:ascii="Times New Roman" w:hAnsi="Times New Roman" w:eastAsia="宋体" w:cs="Times New Roman"/>
          <w:color w:val="auto"/>
          <w:kern w:val="2"/>
          <w:sz w:val="24"/>
          <w:szCs w:val="24"/>
          <w:highlight w:val="none"/>
          <w:lang w:val="en-US" w:eastAsia="zh-CN" w:bidi="ar-SA"/>
        </w:rPr>
      </w:pPr>
      <w:r>
        <w:rPr>
          <w:rFonts w:hint="eastAsia"/>
          <w:color w:val="auto"/>
          <w:sz w:val="24"/>
          <w:highlight w:val="none"/>
        </w:rPr>
        <w:t>第三部分</w:t>
      </w:r>
      <w:r>
        <w:rPr>
          <w:color w:val="auto"/>
          <w:sz w:val="24"/>
          <w:highlight w:val="none"/>
        </w:rPr>
        <w:t xml:space="preserve"> </w:t>
      </w:r>
      <w:r>
        <w:rPr>
          <w:rFonts w:hint="eastAsia"/>
          <w:color w:val="auto"/>
          <w:sz w:val="24"/>
          <w:highlight w:val="none"/>
        </w:rPr>
        <w:t>名词解释</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20</w:t>
      </w:r>
    </w:p>
    <w:p w14:paraId="55DEFCF1">
      <w:pPr>
        <w:pStyle w:val="13"/>
        <w:adjustRightInd w:val="0"/>
        <w:snapToGrid w:val="0"/>
        <w:spacing w:before="0" w:line="440" w:lineRule="exact"/>
        <w:jc w:val="left"/>
        <w:rPr>
          <w:rFonts w:hint="default" w:cstheme="minorBidi"/>
          <w:color w:val="auto"/>
          <w:sz w:val="24"/>
          <w:szCs w:val="24"/>
          <w:highlight w:val="none"/>
          <w:lang w:val="en-US"/>
        </w:rPr>
      </w:pPr>
      <w:r>
        <w:rPr>
          <w:rFonts w:hint="eastAsia"/>
          <w:color w:val="auto"/>
          <w:sz w:val="24"/>
          <w:highlight w:val="none"/>
        </w:rPr>
        <w:t>第四部分</w:t>
      </w:r>
      <w:r>
        <w:rPr>
          <w:color w:val="auto"/>
          <w:sz w:val="24"/>
          <w:highlight w:val="none"/>
        </w:rPr>
        <w:t xml:space="preserve"> </w:t>
      </w:r>
      <w:r>
        <w:rPr>
          <w:rFonts w:hint="eastAsia"/>
          <w:color w:val="auto"/>
          <w:sz w:val="24"/>
          <w:highlight w:val="none"/>
        </w:rPr>
        <w:t>附件</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22</w:t>
      </w:r>
    </w:p>
    <w:p w14:paraId="20B299E4">
      <w:pPr>
        <w:pStyle w:val="13"/>
        <w:adjustRightInd w:val="0"/>
        <w:snapToGrid w:val="0"/>
        <w:spacing w:before="0" w:line="440" w:lineRule="exact"/>
        <w:jc w:val="left"/>
        <w:rPr>
          <w:rFonts w:hint="default" w:cstheme="minorBidi"/>
          <w:color w:val="auto"/>
          <w:sz w:val="24"/>
          <w:szCs w:val="24"/>
          <w:highlight w:val="none"/>
          <w:lang w:val="en-US"/>
        </w:rPr>
      </w:pPr>
      <w:r>
        <w:rPr>
          <w:rFonts w:hint="eastAsia"/>
          <w:color w:val="auto"/>
          <w:sz w:val="24"/>
          <w:highlight w:val="none"/>
        </w:rPr>
        <w:t>第五部分</w:t>
      </w:r>
      <w:r>
        <w:rPr>
          <w:color w:val="auto"/>
          <w:sz w:val="24"/>
          <w:highlight w:val="none"/>
        </w:rPr>
        <w:t xml:space="preserve"> </w:t>
      </w:r>
      <w:r>
        <w:rPr>
          <w:rFonts w:hint="eastAsia"/>
          <w:color w:val="auto"/>
          <w:sz w:val="24"/>
          <w:highlight w:val="none"/>
        </w:rPr>
        <w:t>附表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23</w:t>
      </w:r>
    </w:p>
    <w:p w14:paraId="1012E1B4">
      <w:pPr>
        <w:pStyle w:val="14"/>
        <w:adjustRightInd w:val="0"/>
        <w:snapToGrid w:val="0"/>
        <w:spacing w:line="440" w:lineRule="exact"/>
        <w:jc w:val="left"/>
        <w:rPr>
          <w:rFonts w:hint="default"/>
          <w:color w:val="auto"/>
          <w:sz w:val="24"/>
          <w:highlight w:val="none"/>
          <w:lang w:val="en-US"/>
        </w:rPr>
      </w:pPr>
      <w:r>
        <w:rPr>
          <w:rFonts w:hint="eastAsia"/>
          <w:color w:val="auto"/>
          <w:sz w:val="24"/>
          <w:highlight w:val="none"/>
        </w:rPr>
        <w:t>一、收入支出决算总表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2</w:t>
      </w:r>
      <w:r>
        <w:rPr>
          <w:rFonts w:hint="eastAsia" w:cs="Times New Roman"/>
          <w:color w:val="auto"/>
          <w:kern w:val="2"/>
          <w:sz w:val="24"/>
          <w:szCs w:val="24"/>
          <w:highlight w:val="none"/>
          <w:lang w:val="en-US" w:eastAsia="zh-CN" w:bidi="ar-SA"/>
        </w:rPr>
        <w:t>3</w:t>
      </w:r>
    </w:p>
    <w:p w14:paraId="588410F9">
      <w:pPr>
        <w:pStyle w:val="14"/>
        <w:adjustRightInd w:val="0"/>
        <w:snapToGrid w:val="0"/>
        <w:spacing w:line="440" w:lineRule="exact"/>
        <w:jc w:val="left"/>
        <w:rPr>
          <w:rFonts w:hint="eastAsia"/>
          <w:color w:val="auto"/>
          <w:sz w:val="24"/>
          <w:highlight w:val="none"/>
        </w:rPr>
      </w:pPr>
      <w:r>
        <w:rPr>
          <w:rFonts w:hint="eastAsia"/>
          <w:color w:val="auto"/>
          <w:sz w:val="24"/>
          <w:highlight w:val="none"/>
        </w:rPr>
        <w:t>二、收入决算表</w:t>
      </w:r>
      <w:r>
        <w:rPr>
          <w:rFonts w:hint="eastAsia"/>
          <w:color w:val="auto"/>
          <w:sz w:val="24"/>
          <w:highlight w:val="none"/>
          <w:lang w:val="en-US" w:eastAsia="zh-CN"/>
        </w:rPr>
        <w:tab/>
      </w:r>
      <w:r>
        <w:rPr>
          <w:rFonts w:hint="eastAsia"/>
          <w:color w:val="auto"/>
          <w:sz w:val="24"/>
          <w:highlight w:val="none"/>
          <w:lang w:val="en-US" w:eastAsia="zh-CN"/>
        </w:rPr>
        <w:t>23</w:t>
      </w:r>
    </w:p>
    <w:p w14:paraId="6B98DAE4">
      <w:pPr>
        <w:pStyle w:val="14"/>
        <w:adjustRightInd w:val="0"/>
        <w:snapToGrid w:val="0"/>
        <w:spacing w:line="440" w:lineRule="exact"/>
        <w:jc w:val="left"/>
        <w:rPr>
          <w:rFonts w:hint="eastAsia"/>
          <w:color w:val="auto"/>
          <w:sz w:val="24"/>
          <w:highlight w:val="none"/>
        </w:rPr>
      </w:pPr>
      <w:r>
        <w:rPr>
          <w:rFonts w:hint="eastAsia"/>
          <w:color w:val="auto"/>
          <w:sz w:val="24"/>
          <w:highlight w:val="none"/>
        </w:rPr>
        <w:t>三、支出决算表</w:t>
      </w:r>
      <w:r>
        <w:rPr>
          <w:rFonts w:hint="eastAsia"/>
          <w:color w:val="auto"/>
          <w:sz w:val="24"/>
          <w:highlight w:val="none"/>
          <w:lang w:val="en-US" w:eastAsia="zh-CN"/>
        </w:rPr>
        <w:tab/>
      </w:r>
      <w:r>
        <w:rPr>
          <w:rFonts w:hint="eastAsia"/>
          <w:color w:val="auto"/>
          <w:sz w:val="24"/>
          <w:highlight w:val="none"/>
          <w:lang w:val="en-US" w:eastAsia="zh-CN"/>
        </w:rPr>
        <w:t>23</w:t>
      </w:r>
    </w:p>
    <w:p w14:paraId="382529A6">
      <w:pPr>
        <w:pStyle w:val="14"/>
        <w:adjustRightInd w:val="0"/>
        <w:snapToGrid w:val="0"/>
        <w:spacing w:line="440" w:lineRule="exact"/>
        <w:jc w:val="left"/>
        <w:rPr>
          <w:rFonts w:hint="eastAsia"/>
          <w:color w:val="auto"/>
          <w:sz w:val="24"/>
          <w:highlight w:val="none"/>
        </w:rPr>
      </w:pPr>
      <w:r>
        <w:rPr>
          <w:rFonts w:hint="eastAsia"/>
          <w:color w:val="auto"/>
          <w:sz w:val="24"/>
          <w:highlight w:val="none"/>
        </w:rPr>
        <w:t>四、财政拨款收入支出决算总表</w:t>
      </w:r>
      <w:r>
        <w:rPr>
          <w:rFonts w:hint="eastAsia"/>
          <w:color w:val="auto"/>
          <w:sz w:val="24"/>
          <w:highlight w:val="none"/>
          <w:lang w:val="en-US" w:eastAsia="zh-CN"/>
        </w:rPr>
        <w:tab/>
      </w:r>
      <w:r>
        <w:rPr>
          <w:rFonts w:hint="eastAsia"/>
          <w:color w:val="auto"/>
          <w:sz w:val="24"/>
          <w:highlight w:val="none"/>
          <w:lang w:val="en-US" w:eastAsia="zh-CN"/>
        </w:rPr>
        <w:t>23</w:t>
      </w:r>
    </w:p>
    <w:p w14:paraId="61239AF7">
      <w:pPr>
        <w:pStyle w:val="14"/>
        <w:adjustRightInd w:val="0"/>
        <w:snapToGrid w:val="0"/>
        <w:spacing w:line="440" w:lineRule="exact"/>
        <w:jc w:val="left"/>
        <w:rPr>
          <w:rFonts w:hint="eastAsia"/>
          <w:color w:val="auto"/>
          <w:sz w:val="24"/>
          <w:highlight w:val="none"/>
        </w:rPr>
      </w:pPr>
      <w:r>
        <w:rPr>
          <w:rFonts w:hint="eastAsia"/>
          <w:color w:val="auto"/>
          <w:sz w:val="24"/>
          <w:highlight w:val="none"/>
        </w:rPr>
        <w:t>五、财政拨款支出决算明细表</w:t>
      </w:r>
      <w:r>
        <w:rPr>
          <w:rFonts w:hint="eastAsia"/>
          <w:color w:val="auto"/>
          <w:sz w:val="24"/>
          <w:highlight w:val="none"/>
          <w:lang w:val="en-US" w:eastAsia="zh-CN"/>
        </w:rPr>
        <w:tab/>
      </w:r>
      <w:r>
        <w:rPr>
          <w:rFonts w:hint="eastAsia"/>
          <w:color w:val="auto"/>
          <w:sz w:val="24"/>
          <w:highlight w:val="none"/>
          <w:lang w:val="en-US" w:eastAsia="zh-CN"/>
        </w:rPr>
        <w:t>23</w:t>
      </w:r>
    </w:p>
    <w:p w14:paraId="06C79DDB">
      <w:pPr>
        <w:pStyle w:val="14"/>
        <w:adjustRightInd w:val="0"/>
        <w:snapToGrid w:val="0"/>
        <w:spacing w:line="440" w:lineRule="exact"/>
        <w:jc w:val="left"/>
        <w:rPr>
          <w:rFonts w:hint="eastAsia"/>
          <w:color w:val="auto"/>
          <w:sz w:val="24"/>
          <w:highlight w:val="none"/>
        </w:rPr>
      </w:pPr>
      <w:r>
        <w:rPr>
          <w:rFonts w:hint="eastAsia"/>
          <w:color w:val="auto"/>
          <w:sz w:val="24"/>
          <w:highlight w:val="none"/>
        </w:rPr>
        <w:t>六、一般公共预算财政拨款支出决算表</w:t>
      </w:r>
      <w:r>
        <w:rPr>
          <w:rFonts w:hint="eastAsia"/>
          <w:color w:val="auto"/>
          <w:sz w:val="24"/>
          <w:highlight w:val="none"/>
          <w:lang w:val="en-US" w:eastAsia="zh-CN"/>
        </w:rPr>
        <w:tab/>
      </w:r>
      <w:r>
        <w:rPr>
          <w:rFonts w:hint="eastAsia"/>
          <w:color w:val="auto"/>
          <w:sz w:val="24"/>
          <w:highlight w:val="none"/>
          <w:lang w:val="en-US" w:eastAsia="zh-CN"/>
        </w:rPr>
        <w:t>23</w:t>
      </w:r>
    </w:p>
    <w:p w14:paraId="774EC32B">
      <w:pPr>
        <w:pStyle w:val="14"/>
        <w:adjustRightInd w:val="0"/>
        <w:snapToGrid w:val="0"/>
        <w:spacing w:line="440" w:lineRule="exact"/>
        <w:jc w:val="left"/>
        <w:rPr>
          <w:rFonts w:hint="eastAsia"/>
          <w:color w:val="auto"/>
          <w:sz w:val="24"/>
          <w:highlight w:val="none"/>
        </w:rPr>
      </w:pPr>
      <w:r>
        <w:rPr>
          <w:rFonts w:hint="eastAsia"/>
          <w:color w:val="auto"/>
          <w:sz w:val="24"/>
          <w:highlight w:val="none"/>
        </w:rPr>
        <w:t>七、一般公共预算财政拨款支出决算明细表</w:t>
      </w:r>
      <w:r>
        <w:rPr>
          <w:rFonts w:hint="eastAsia"/>
          <w:color w:val="auto"/>
          <w:sz w:val="24"/>
          <w:highlight w:val="none"/>
          <w:lang w:val="en-US" w:eastAsia="zh-CN"/>
        </w:rPr>
        <w:tab/>
      </w:r>
      <w:r>
        <w:rPr>
          <w:rFonts w:hint="eastAsia"/>
          <w:color w:val="auto"/>
          <w:sz w:val="24"/>
          <w:highlight w:val="none"/>
          <w:lang w:val="en-US" w:eastAsia="zh-CN"/>
        </w:rPr>
        <w:t>23</w:t>
      </w:r>
    </w:p>
    <w:p w14:paraId="6452DF9E">
      <w:pPr>
        <w:pStyle w:val="14"/>
        <w:adjustRightInd w:val="0"/>
        <w:snapToGrid w:val="0"/>
        <w:spacing w:line="440" w:lineRule="exact"/>
        <w:jc w:val="left"/>
        <w:rPr>
          <w:rFonts w:hint="eastAsia"/>
          <w:color w:val="auto"/>
          <w:sz w:val="24"/>
          <w:highlight w:val="none"/>
        </w:rPr>
      </w:pPr>
      <w:r>
        <w:rPr>
          <w:rFonts w:hint="eastAsia"/>
          <w:color w:val="auto"/>
          <w:sz w:val="24"/>
          <w:highlight w:val="none"/>
        </w:rPr>
        <w:t>八、一般公共预算财政拨款基本支出决算表</w:t>
      </w:r>
      <w:r>
        <w:rPr>
          <w:rFonts w:hint="eastAsia"/>
          <w:color w:val="auto"/>
          <w:sz w:val="24"/>
          <w:highlight w:val="none"/>
          <w:lang w:val="en-US" w:eastAsia="zh-CN"/>
        </w:rPr>
        <w:tab/>
      </w:r>
      <w:r>
        <w:rPr>
          <w:rFonts w:hint="eastAsia"/>
          <w:color w:val="auto"/>
          <w:sz w:val="24"/>
          <w:highlight w:val="none"/>
          <w:lang w:val="en-US" w:eastAsia="zh-CN"/>
        </w:rPr>
        <w:t>23</w:t>
      </w:r>
    </w:p>
    <w:p w14:paraId="3558D62C">
      <w:pPr>
        <w:pStyle w:val="14"/>
        <w:adjustRightInd w:val="0"/>
        <w:snapToGrid w:val="0"/>
        <w:spacing w:line="440" w:lineRule="exact"/>
        <w:jc w:val="left"/>
        <w:rPr>
          <w:rFonts w:hint="eastAsia"/>
          <w:color w:val="auto"/>
          <w:sz w:val="24"/>
          <w:highlight w:val="none"/>
        </w:rPr>
      </w:pPr>
      <w:r>
        <w:rPr>
          <w:rFonts w:hint="eastAsia"/>
          <w:color w:val="auto"/>
          <w:sz w:val="24"/>
          <w:highlight w:val="none"/>
        </w:rPr>
        <w:t>九、一般公共预算财政拨款项目支出决算表</w:t>
      </w:r>
      <w:r>
        <w:rPr>
          <w:rFonts w:hint="eastAsia"/>
          <w:color w:val="auto"/>
          <w:sz w:val="24"/>
          <w:highlight w:val="none"/>
          <w:lang w:val="en-US" w:eastAsia="zh-CN"/>
        </w:rPr>
        <w:tab/>
      </w:r>
      <w:r>
        <w:rPr>
          <w:rFonts w:hint="eastAsia"/>
          <w:color w:val="auto"/>
          <w:sz w:val="24"/>
          <w:highlight w:val="none"/>
          <w:lang w:val="en-US" w:eastAsia="zh-CN"/>
        </w:rPr>
        <w:t>23</w:t>
      </w:r>
    </w:p>
    <w:p w14:paraId="39357CF8">
      <w:pPr>
        <w:pStyle w:val="14"/>
        <w:adjustRightInd w:val="0"/>
        <w:snapToGrid w:val="0"/>
        <w:spacing w:line="440" w:lineRule="exact"/>
        <w:jc w:val="left"/>
        <w:rPr>
          <w:rFonts w:hint="eastAsia"/>
          <w:color w:val="auto"/>
          <w:sz w:val="24"/>
          <w:highlight w:val="none"/>
        </w:rPr>
      </w:pPr>
      <w:r>
        <w:rPr>
          <w:rFonts w:hint="eastAsia"/>
          <w:color w:val="auto"/>
          <w:sz w:val="24"/>
          <w:highlight w:val="none"/>
        </w:rPr>
        <w:t>十、一般公共预算财政拨款“三公”经费支出决算表</w:t>
      </w:r>
      <w:r>
        <w:rPr>
          <w:rFonts w:hint="eastAsia"/>
          <w:color w:val="auto"/>
          <w:sz w:val="24"/>
          <w:highlight w:val="none"/>
          <w:lang w:val="en-US" w:eastAsia="zh-CN"/>
        </w:rPr>
        <w:tab/>
      </w:r>
      <w:r>
        <w:rPr>
          <w:rFonts w:hint="eastAsia"/>
          <w:color w:val="auto"/>
          <w:sz w:val="24"/>
          <w:highlight w:val="none"/>
          <w:lang w:val="en-US" w:eastAsia="zh-CN"/>
        </w:rPr>
        <w:t>23</w:t>
      </w:r>
    </w:p>
    <w:p w14:paraId="59292755">
      <w:pPr>
        <w:pStyle w:val="14"/>
        <w:adjustRightInd w:val="0"/>
        <w:snapToGrid w:val="0"/>
        <w:spacing w:line="440" w:lineRule="exact"/>
        <w:jc w:val="left"/>
        <w:rPr>
          <w:rFonts w:hint="eastAsia"/>
          <w:color w:val="auto"/>
          <w:sz w:val="24"/>
          <w:highlight w:val="none"/>
        </w:rPr>
      </w:pPr>
      <w:r>
        <w:rPr>
          <w:rFonts w:hint="eastAsia"/>
          <w:color w:val="auto"/>
          <w:sz w:val="24"/>
          <w:highlight w:val="none"/>
        </w:rPr>
        <w:t>十一、政府性基金预算财政拨款收入支出决算表</w:t>
      </w:r>
      <w:r>
        <w:rPr>
          <w:rFonts w:hint="eastAsia"/>
          <w:color w:val="auto"/>
          <w:sz w:val="24"/>
          <w:highlight w:val="none"/>
          <w:lang w:val="en-US" w:eastAsia="zh-CN"/>
        </w:rPr>
        <w:tab/>
      </w:r>
      <w:r>
        <w:rPr>
          <w:rFonts w:hint="eastAsia"/>
          <w:color w:val="auto"/>
          <w:sz w:val="24"/>
          <w:highlight w:val="none"/>
          <w:lang w:val="en-US" w:eastAsia="zh-CN"/>
        </w:rPr>
        <w:t>23</w:t>
      </w:r>
    </w:p>
    <w:p w14:paraId="3056266E">
      <w:pPr>
        <w:pStyle w:val="14"/>
        <w:adjustRightInd w:val="0"/>
        <w:snapToGrid w:val="0"/>
        <w:spacing w:line="440" w:lineRule="exact"/>
        <w:jc w:val="left"/>
        <w:rPr>
          <w:rFonts w:hint="eastAsia"/>
          <w:color w:val="auto"/>
          <w:sz w:val="24"/>
          <w:highlight w:val="none"/>
        </w:rPr>
      </w:pPr>
      <w:r>
        <w:rPr>
          <w:rFonts w:hint="eastAsia"/>
          <w:color w:val="auto"/>
          <w:sz w:val="24"/>
          <w:highlight w:val="none"/>
        </w:rPr>
        <w:t>十二、政府性基金预算财政拨款“三公”经费支出决算表</w:t>
      </w:r>
      <w:r>
        <w:rPr>
          <w:rFonts w:hint="eastAsia"/>
          <w:color w:val="auto"/>
          <w:sz w:val="24"/>
          <w:highlight w:val="none"/>
          <w:lang w:val="en-US" w:eastAsia="zh-CN"/>
        </w:rPr>
        <w:tab/>
      </w:r>
      <w:r>
        <w:rPr>
          <w:rFonts w:hint="eastAsia"/>
          <w:color w:val="auto"/>
          <w:sz w:val="24"/>
          <w:highlight w:val="none"/>
          <w:lang w:val="en-US" w:eastAsia="zh-CN"/>
        </w:rPr>
        <w:t>23</w:t>
      </w:r>
    </w:p>
    <w:p w14:paraId="4A7C3353">
      <w:pPr>
        <w:pStyle w:val="14"/>
        <w:adjustRightInd w:val="0"/>
        <w:snapToGrid w:val="0"/>
        <w:spacing w:line="440" w:lineRule="exact"/>
        <w:jc w:val="left"/>
        <w:rPr>
          <w:rFonts w:hint="default"/>
          <w:color w:val="auto"/>
          <w:sz w:val="24"/>
          <w:highlight w:val="none"/>
          <w:lang w:val="en-US"/>
        </w:rPr>
      </w:pPr>
      <w:r>
        <w:rPr>
          <w:rFonts w:hint="eastAsia"/>
          <w:color w:val="auto"/>
          <w:sz w:val="24"/>
          <w:highlight w:val="none"/>
        </w:rPr>
        <w:t>十三、国有资本经营预算</w:t>
      </w:r>
      <w:r>
        <w:rPr>
          <w:rFonts w:hint="eastAsia"/>
          <w:color w:val="auto"/>
          <w:sz w:val="24"/>
          <w:highlight w:val="none"/>
          <w:lang w:eastAsia="zh-CN"/>
        </w:rPr>
        <w:t>财政拨款收入</w:t>
      </w:r>
      <w:r>
        <w:rPr>
          <w:rFonts w:hint="eastAsia"/>
          <w:color w:val="auto"/>
          <w:sz w:val="24"/>
          <w:highlight w:val="none"/>
        </w:rPr>
        <w:t>支出决算表</w:t>
      </w:r>
      <w:r>
        <w:rPr>
          <w:rFonts w:hint="eastAsia"/>
          <w:color w:val="auto"/>
          <w:sz w:val="24"/>
          <w:highlight w:val="none"/>
          <w:lang w:val="en-US" w:eastAsia="zh-CN"/>
        </w:rPr>
        <w:tab/>
      </w:r>
      <w:r>
        <w:rPr>
          <w:rFonts w:hint="eastAsia"/>
          <w:color w:val="auto"/>
          <w:sz w:val="24"/>
          <w:highlight w:val="none"/>
          <w:lang w:val="en-US" w:eastAsia="zh-CN"/>
        </w:rPr>
        <w:t>23</w:t>
      </w:r>
    </w:p>
    <w:p w14:paraId="356F2638">
      <w:pPr>
        <w:pStyle w:val="14"/>
        <w:adjustRightInd w:val="0"/>
        <w:snapToGrid w:val="0"/>
        <w:spacing w:line="440" w:lineRule="exact"/>
        <w:jc w:val="left"/>
        <w:rPr>
          <w:rFonts w:ascii="仿宋" w:hAnsi="仿宋" w:eastAsia="仿宋"/>
          <w:bCs/>
          <w:kern w:val="44"/>
          <w:sz w:val="24"/>
        </w:rPr>
      </w:pPr>
      <w:r>
        <w:rPr>
          <w:rFonts w:hint="eastAsia"/>
          <w:color w:val="auto"/>
          <w:sz w:val="24"/>
          <w:highlight w:val="none"/>
          <w:lang w:val="en-US" w:eastAsia="zh-CN"/>
        </w:rPr>
        <w:t>十四、国有资本经营预算财政拨款支出决算表</w:t>
      </w:r>
      <w:r>
        <w:rPr>
          <w:rFonts w:hint="eastAsia"/>
          <w:color w:val="auto"/>
          <w:sz w:val="24"/>
          <w:highlight w:val="none"/>
          <w:lang w:val="en-US" w:eastAsia="zh-CN"/>
        </w:rPr>
        <w:tab/>
      </w:r>
      <w:r>
        <w:rPr>
          <w:rFonts w:hint="eastAsia"/>
          <w:color w:val="auto"/>
          <w:sz w:val="24"/>
          <w:highlight w:val="none"/>
          <w:lang w:val="en-US" w:eastAsia="zh-CN"/>
        </w:rPr>
        <w:t>23</w:t>
      </w:r>
      <w:r>
        <w:rPr>
          <w:rFonts w:ascii="仿宋" w:hAnsi="仿宋" w:eastAsia="仿宋"/>
          <w:b/>
          <w:sz w:val="24"/>
        </w:rPr>
        <w:br w:type="page"/>
      </w:r>
    </w:p>
    <w:p w14:paraId="548343A9">
      <w:pPr>
        <w:pStyle w:val="3"/>
        <w:jc w:val="center"/>
        <w:rPr>
          <w:rStyle w:val="29"/>
          <w:rFonts w:ascii="黑体" w:hAnsi="黑体" w:eastAsia="黑体"/>
          <w:b/>
          <w:bCs w:val="0"/>
        </w:rPr>
      </w:pPr>
      <w:r>
        <w:rPr>
          <w:rFonts w:hint="eastAsia" w:ascii="黑体" w:hAnsi="黑体" w:eastAsia="黑体"/>
          <w:b w:val="0"/>
        </w:rPr>
        <w:t>第一部分 单位</w:t>
      </w:r>
      <w:r>
        <w:rPr>
          <w:rStyle w:val="29"/>
          <w:rFonts w:hint="eastAsia" w:ascii="黑体" w:hAnsi="黑体" w:eastAsia="黑体"/>
          <w:b w:val="0"/>
          <w:bCs w:val="0"/>
        </w:rPr>
        <w:t>概况</w:t>
      </w:r>
      <w:bookmarkEnd w:id="12"/>
      <w:bookmarkEnd w:id="13"/>
    </w:p>
    <w:p w14:paraId="21A15FF3">
      <w:pPr>
        <w:widowControl/>
        <w:jc w:val="left"/>
        <w:rPr>
          <w:rFonts w:ascii="黑体" w:eastAsia="黑体"/>
          <w:sz w:val="32"/>
          <w:szCs w:val="32"/>
        </w:rPr>
      </w:pPr>
    </w:p>
    <w:p w14:paraId="1A4ACE42">
      <w:pPr>
        <w:pStyle w:val="4"/>
        <w:numPr>
          <w:ilvl w:val="0"/>
          <w:numId w:val="1"/>
        </w:numPr>
        <w:ind w:left="630" w:leftChars="0" w:firstLineChars="0"/>
        <w:rPr>
          <w:rStyle w:val="30"/>
          <w:rFonts w:ascii="黑体" w:hAnsi="黑体" w:eastAsia="黑体"/>
          <w:b w:val="0"/>
          <w:bCs w:val="0"/>
        </w:rPr>
      </w:pPr>
      <w:bookmarkStart w:id="14" w:name="_Toc15396600"/>
      <w:bookmarkStart w:id="15" w:name="_Toc15377197"/>
      <w:r>
        <w:rPr>
          <w:rStyle w:val="30"/>
          <w:rFonts w:hint="eastAsia" w:ascii="黑体" w:hAnsi="黑体" w:eastAsia="黑体"/>
          <w:b w:val="0"/>
          <w:bCs w:val="0"/>
        </w:rPr>
        <w:t>职能简介</w:t>
      </w:r>
    </w:p>
    <w:p w14:paraId="03656AA6">
      <w:pPr>
        <w:pStyle w:val="15"/>
        <w:adjustRightInd w:val="0"/>
        <w:spacing w:beforeLines="30" w:line="500" w:lineRule="exact"/>
        <w:ind w:firstLine="640" w:firstLineChars="200"/>
        <w:outlineLvl w:val="2"/>
        <w:rPr>
          <w:rFonts w:ascii="仿宋" w:hAnsi="仿宋" w:eastAsia="仿宋" w:cs="仿宋"/>
          <w:sz w:val="32"/>
          <w:szCs w:val="32"/>
        </w:rPr>
      </w:pPr>
      <w:r>
        <w:rPr>
          <w:rFonts w:hint="eastAsia" w:ascii="仿宋" w:hAnsi="仿宋" w:eastAsia="仿宋" w:cs="仿宋"/>
          <w:sz w:val="32"/>
          <w:szCs w:val="32"/>
        </w:rPr>
        <w:t>1.贯彻党的教育方针，坚持社会主义办学方向，实行教育与生产劳动相结合，对学生进行德育、智育、体育、美育和劳动等方面的教育。</w:t>
      </w:r>
    </w:p>
    <w:p w14:paraId="5D91C4CD">
      <w:pPr>
        <w:pStyle w:val="15"/>
        <w:adjustRightInd w:val="0"/>
        <w:spacing w:beforeLines="30" w:line="500" w:lineRule="exact"/>
        <w:ind w:firstLine="640" w:firstLineChars="200"/>
        <w:outlineLvl w:val="2"/>
        <w:rPr>
          <w:rFonts w:ascii="仿宋" w:hAnsi="仿宋" w:eastAsia="仿宋" w:cs="仿宋"/>
          <w:sz w:val="32"/>
          <w:szCs w:val="32"/>
        </w:rPr>
      </w:pPr>
      <w:r>
        <w:rPr>
          <w:rFonts w:hint="eastAsia" w:ascii="仿宋" w:hAnsi="仿宋" w:eastAsia="仿宋" w:cs="仿宋"/>
          <w:sz w:val="32"/>
          <w:szCs w:val="32"/>
        </w:rPr>
        <w:t>2.负责配合政府依法动员、组织适龄儿童、少年入学，严格控制学生辍学，依法保证适龄儿童、少年接受九年义务教育。</w:t>
      </w:r>
    </w:p>
    <w:p w14:paraId="73E11067">
      <w:pPr>
        <w:pStyle w:val="15"/>
        <w:adjustRightInd w:val="0"/>
        <w:spacing w:beforeLines="30" w:line="500" w:lineRule="exact"/>
        <w:ind w:firstLine="640" w:firstLineChars="200"/>
        <w:outlineLvl w:val="2"/>
        <w:rPr>
          <w:rFonts w:ascii="仿宋" w:hAnsi="仿宋" w:eastAsia="仿宋" w:cs="仿宋"/>
          <w:sz w:val="32"/>
          <w:szCs w:val="32"/>
        </w:rPr>
      </w:pPr>
      <w:r>
        <w:rPr>
          <w:rFonts w:hint="eastAsia" w:ascii="仿宋" w:hAnsi="仿宋" w:eastAsia="仿宋" w:cs="仿宋"/>
          <w:sz w:val="32"/>
          <w:szCs w:val="32"/>
        </w:rPr>
        <w:t>3.负责依法制定学校章程，并按照章程自主管理。</w:t>
      </w:r>
    </w:p>
    <w:p w14:paraId="3F5D361A">
      <w:pPr>
        <w:pStyle w:val="15"/>
        <w:adjustRightInd w:val="0"/>
        <w:spacing w:beforeLines="30" w:line="500" w:lineRule="exact"/>
        <w:ind w:firstLine="640" w:firstLineChars="200"/>
        <w:outlineLvl w:val="2"/>
        <w:rPr>
          <w:rFonts w:ascii="仿宋" w:hAnsi="仿宋" w:eastAsia="仿宋" w:cs="仿宋"/>
          <w:sz w:val="32"/>
          <w:szCs w:val="32"/>
        </w:rPr>
      </w:pPr>
      <w:r>
        <w:rPr>
          <w:rFonts w:hint="eastAsia" w:ascii="仿宋" w:hAnsi="仿宋" w:eastAsia="仿宋" w:cs="仿宋"/>
          <w:sz w:val="32"/>
          <w:szCs w:val="32"/>
        </w:rPr>
        <w:t>4.负责制定学校教育发展规划，并抓好组织和实施工作。</w:t>
      </w:r>
    </w:p>
    <w:p w14:paraId="5AE5851A">
      <w:pPr>
        <w:pStyle w:val="15"/>
        <w:adjustRightInd w:val="0"/>
        <w:spacing w:beforeLines="30" w:line="500" w:lineRule="exact"/>
        <w:ind w:firstLine="640" w:firstLineChars="200"/>
        <w:outlineLvl w:val="2"/>
        <w:rPr>
          <w:rFonts w:ascii="仿宋" w:hAnsi="仿宋" w:eastAsia="仿宋" w:cs="仿宋"/>
          <w:sz w:val="32"/>
          <w:szCs w:val="32"/>
        </w:rPr>
      </w:pPr>
      <w:r>
        <w:rPr>
          <w:rFonts w:hint="eastAsia" w:ascii="仿宋" w:hAnsi="仿宋" w:eastAsia="仿宋" w:cs="仿宋"/>
          <w:sz w:val="32"/>
          <w:szCs w:val="32"/>
        </w:rPr>
        <w:t>5.负责按照教育主管部门发布的指导性教学计划、 教学大纲，组织实施教育教学活动。</w:t>
      </w:r>
    </w:p>
    <w:p w14:paraId="5E4A1B41">
      <w:pPr>
        <w:pStyle w:val="15"/>
        <w:adjustRightInd w:val="0"/>
        <w:spacing w:beforeLines="30" w:line="500" w:lineRule="exact"/>
        <w:ind w:firstLine="640" w:firstLineChars="200"/>
        <w:outlineLvl w:val="2"/>
        <w:rPr>
          <w:rFonts w:ascii="仿宋" w:hAnsi="仿宋" w:eastAsia="仿宋" w:cs="仿宋"/>
          <w:sz w:val="32"/>
          <w:szCs w:val="32"/>
        </w:rPr>
      </w:pPr>
      <w:r>
        <w:rPr>
          <w:rFonts w:hint="eastAsia" w:ascii="仿宋" w:hAnsi="仿宋" w:eastAsia="仿宋" w:cs="仿宋"/>
          <w:sz w:val="32"/>
          <w:szCs w:val="32"/>
        </w:rPr>
        <w:t>6.</w:t>
      </w:r>
      <w:r>
        <w:rPr>
          <w:rFonts w:hint="eastAsia" w:ascii="仿宋_GB2312" w:eastAsia="仿宋_GB2312"/>
          <w:kern w:val="0"/>
          <w:szCs w:val="20"/>
        </w:rPr>
        <w:t xml:space="preserve"> </w:t>
      </w:r>
      <w:r>
        <w:rPr>
          <w:rFonts w:hint="eastAsia" w:ascii="仿宋" w:hAnsi="仿宋" w:eastAsia="仿宋" w:cs="仿宋"/>
          <w:sz w:val="32"/>
          <w:szCs w:val="32"/>
        </w:rPr>
        <w:t>负责学籍管理并对学生实施奖励或处分。</w:t>
      </w:r>
    </w:p>
    <w:p w14:paraId="25584CA8">
      <w:pPr>
        <w:pStyle w:val="15"/>
        <w:adjustRightInd w:val="0"/>
        <w:spacing w:beforeLines="30" w:line="500" w:lineRule="exact"/>
        <w:ind w:firstLine="640" w:firstLineChars="200"/>
        <w:outlineLvl w:val="2"/>
        <w:rPr>
          <w:rFonts w:hint="eastAsia" w:ascii="仿宋" w:hAnsi="仿宋" w:eastAsia="仿宋" w:cs="仿宋"/>
          <w:color w:val="auto"/>
          <w:sz w:val="32"/>
          <w:szCs w:val="32"/>
        </w:rPr>
      </w:pPr>
      <w:r>
        <w:rPr>
          <w:rFonts w:hint="eastAsia" w:ascii="仿宋" w:hAnsi="仿宋" w:eastAsia="仿宋" w:cs="仿宋"/>
          <w:sz w:val="32"/>
          <w:szCs w:val="32"/>
        </w:rPr>
        <w:t>7.</w:t>
      </w:r>
      <w:r>
        <w:rPr>
          <w:rFonts w:hint="eastAsia" w:ascii="仿宋_GB2312" w:eastAsia="仿宋_GB2312"/>
          <w:kern w:val="0"/>
          <w:szCs w:val="20"/>
        </w:rPr>
        <w:t xml:space="preserve"> </w:t>
      </w:r>
      <w:r>
        <w:rPr>
          <w:rFonts w:hint="eastAsia" w:ascii="仿宋" w:hAnsi="仿宋" w:eastAsia="仿宋" w:cs="仿宋"/>
          <w:sz w:val="32"/>
          <w:szCs w:val="32"/>
        </w:rPr>
        <w:t>负责依法制定本校教师及其他职工聘任办法并对教师及其他员工实施包括奖励、处分</w:t>
      </w:r>
      <w:r>
        <w:rPr>
          <w:rFonts w:hint="eastAsia" w:ascii="仿宋" w:hAnsi="仿宋" w:eastAsia="仿宋" w:cs="仿宋"/>
          <w:color w:val="auto"/>
          <w:sz w:val="32"/>
          <w:szCs w:val="32"/>
        </w:rPr>
        <w:t>在内的具体管理活动。</w:t>
      </w:r>
    </w:p>
    <w:p w14:paraId="64EAE37A">
      <w:pPr>
        <w:pStyle w:val="15"/>
        <w:adjustRightInd w:val="0"/>
        <w:spacing w:beforeLines="30" w:line="500" w:lineRule="exact"/>
        <w:ind w:firstLine="640" w:firstLineChars="200"/>
        <w:outlineLvl w:val="2"/>
        <w:rPr>
          <w:rFonts w:ascii="仿宋" w:hAnsi="仿宋" w:eastAsia="仿宋" w:cs="仿宋"/>
          <w:color w:val="auto"/>
          <w:sz w:val="32"/>
          <w:szCs w:val="32"/>
        </w:rPr>
      </w:pPr>
      <w:r>
        <w:rPr>
          <w:rFonts w:hint="eastAsia" w:ascii="仿宋" w:hAnsi="仿宋" w:eastAsia="仿宋" w:cs="仿宋"/>
          <w:color w:val="auto"/>
          <w:sz w:val="32"/>
          <w:szCs w:val="32"/>
        </w:rPr>
        <w:t>8. 负责科学管理、合理使用学校的设施和经费，并积极筹措资金，改善办学条件。</w:t>
      </w:r>
    </w:p>
    <w:p w14:paraId="7CD53165">
      <w:pPr>
        <w:pStyle w:val="15"/>
        <w:adjustRightInd w:val="0"/>
        <w:spacing w:beforeLines="30" w:line="500" w:lineRule="exact"/>
        <w:ind w:firstLine="640" w:firstLineChars="200"/>
        <w:outlineLvl w:val="2"/>
        <w:rPr>
          <w:rFonts w:ascii="仿宋" w:hAnsi="仿宋" w:eastAsia="仿宋" w:cs="仿宋"/>
          <w:color w:val="auto"/>
          <w:sz w:val="32"/>
          <w:szCs w:val="32"/>
        </w:rPr>
      </w:pPr>
      <w:r>
        <w:rPr>
          <w:rFonts w:hint="eastAsia" w:ascii="仿宋" w:hAnsi="仿宋" w:eastAsia="仿宋" w:cs="仿宋"/>
          <w:color w:val="auto"/>
          <w:sz w:val="32"/>
          <w:szCs w:val="32"/>
        </w:rPr>
        <w:t>9. 负责维护学校、师生的合法权益，有权拒绝任何组织和个人对教育教学活动</w:t>
      </w:r>
      <w:r>
        <w:rPr>
          <w:rFonts w:hint="eastAsia" w:ascii="仿宋" w:hAnsi="仿宋" w:eastAsia="仿宋" w:cs="仿宋"/>
          <w:color w:val="auto"/>
          <w:sz w:val="32"/>
          <w:szCs w:val="32"/>
          <w:highlight w:val="none"/>
          <w:lang w:eastAsia="zh-CN"/>
        </w:rPr>
        <w:t>的</w:t>
      </w:r>
      <w:r>
        <w:rPr>
          <w:rFonts w:hint="eastAsia" w:ascii="仿宋" w:hAnsi="仿宋" w:eastAsia="仿宋" w:cs="仿宋"/>
          <w:color w:val="auto"/>
          <w:sz w:val="32"/>
          <w:szCs w:val="32"/>
        </w:rPr>
        <w:t>非法干扰。</w:t>
      </w:r>
    </w:p>
    <w:p w14:paraId="69A837FB">
      <w:pPr>
        <w:pStyle w:val="15"/>
        <w:adjustRightInd w:val="0"/>
        <w:spacing w:beforeLines="30" w:line="500" w:lineRule="exact"/>
        <w:ind w:firstLine="640" w:firstLineChars="200"/>
        <w:outlineLvl w:val="2"/>
        <w:rPr>
          <w:rFonts w:ascii="仿宋" w:hAnsi="仿宋" w:eastAsia="仿宋" w:cs="仿宋"/>
          <w:sz w:val="32"/>
          <w:szCs w:val="32"/>
        </w:rPr>
      </w:pPr>
      <w:r>
        <w:rPr>
          <w:rFonts w:hint="eastAsia" w:ascii="仿宋" w:hAnsi="仿宋" w:eastAsia="仿宋" w:cs="仿宋"/>
          <w:sz w:val="32"/>
          <w:szCs w:val="32"/>
        </w:rPr>
        <w:t>10.</w:t>
      </w:r>
      <w:r>
        <w:rPr>
          <w:rFonts w:hint="eastAsia" w:ascii="仿宋_GB2312" w:eastAsia="仿宋_GB2312"/>
          <w:kern w:val="0"/>
          <w:szCs w:val="20"/>
        </w:rPr>
        <w:t xml:space="preserve"> </w:t>
      </w:r>
      <w:r>
        <w:rPr>
          <w:rFonts w:hint="eastAsia" w:ascii="仿宋" w:hAnsi="仿宋" w:eastAsia="仿宋" w:cs="仿宋"/>
          <w:sz w:val="32"/>
          <w:szCs w:val="32"/>
        </w:rPr>
        <w:t>依法接受各级教育行政部门的检查指导和人民群众的监督。</w:t>
      </w:r>
    </w:p>
    <w:p w14:paraId="468B601E">
      <w:pPr>
        <w:ind w:firstLine="640" w:firstLineChars="200"/>
        <w:rPr>
          <w:rFonts w:ascii="仿宋" w:hAnsi="仿宋" w:eastAsia="仿宋" w:cs="仿宋"/>
          <w:sz w:val="32"/>
          <w:szCs w:val="32"/>
        </w:rPr>
      </w:pPr>
      <w:r>
        <w:rPr>
          <w:rFonts w:hint="eastAsia" w:ascii="仿宋" w:hAnsi="仿宋" w:eastAsia="仿宋" w:cs="仿宋"/>
          <w:sz w:val="32"/>
          <w:szCs w:val="32"/>
        </w:rPr>
        <w:t>11.承办上级交办的其他事项。</w:t>
      </w:r>
    </w:p>
    <w:p w14:paraId="1D9843BD">
      <w:pPr>
        <w:pStyle w:val="4"/>
        <w:rPr>
          <w:rFonts w:ascii="黑体" w:hAnsi="黑体" w:eastAsia="黑体"/>
          <w:b w:val="0"/>
        </w:rPr>
      </w:pPr>
      <w:r>
        <w:rPr>
          <w:rFonts w:hint="eastAsia" w:ascii="黑体" w:hAnsi="黑体" w:eastAsia="黑体"/>
          <w:b w:val="0"/>
        </w:rPr>
        <w:t>二、2021年重点工作</w:t>
      </w:r>
      <w:bookmarkEnd w:id="14"/>
      <w:bookmarkEnd w:id="15"/>
      <w:r>
        <w:rPr>
          <w:rFonts w:hint="eastAsia" w:ascii="黑体" w:hAnsi="黑体" w:eastAsia="黑体"/>
          <w:b w:val="0"/>
        </w:rPr>
        <w:t>完成情况</w:t>
      </w:r>
    </w:p>
    <w:p w14:paraId="0EBCDF8F">
      <w:pPr>
        <w:pStyle w:val="15"/>
        <w:keepNext w:val="0"/>
        <w:keepLines w:val="0"/>
        <w:widowControl w:val="0"/>
        <w:suppressLineNumbers w:val="0"/>
        <w:adjustRightInd w:val="0"/>
        <w:spacing w:before="0" w:beforeLines="30" w:beforeAutospacing="0" w:after="0" w:afterAutospacing="0" w:line="500" w:lineRule="exact"/>
        <w:ind w:right="0"/>
        <w:jc w:val="left"/>
        <w:outlineLvl w:val="2"/>
        <w:rPr>
          <w:rFonts w:hint="eastAsia" w:ascii="仿宋" w:hAnsi="仿宋" w:eastAsia="仿宋" w:cs="仿宋"/>
          <w:b/>
          <w:bCs/>
          <w:color w:val="auto"/>
          <w:kern w:val="2"/>
          <w:sz w:val="36"/>
          <w:szCs w:val="36"/>
          <w:lang w:val="en-US" w:eastAsia="zh-CN" w:bidi="ar"/>
        </w:rPr>
      </w:pPr>
      <w:r>
        <w:rPr>
          <w:rFonts w:hint="eastAsia" w:ascii="仿宋" w:hAnsi="仿宋" w:eastAsia="仿宋" w:cs="仿宋"/>
          <w:b/>
          <w:bCs/>
          <w:color w:val="auto"/>
          <w:kern w:val="2"/>
          <w:sz w:val="36"/>
          <w:szCs w:val="36"/>
          <w:lang w:val="en-US" w:eastAsia="zh-CN" w:bidi="ar"/>
        </w:rPr>
        <w:t>（一）亮点工作</w:t>
      </w:r>
    </w:p>
    <w:p w14:paraId="537D9283">
      <w:pPr>
        <w:pStyle w:val="15"/>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1.党建工作显实效。</w:t>
      </w:r>
    </w:p>
    <w:p w14:paraId="164C8BBC">
      <w:pPr>
        <w:pStyle w:val="15"/>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1）强化政治意识。以党史学习和作风整顿为契机。开展了“以案促改”“干部作风纪律整顿”“师德师风建设”系列活动。在重点整治12个方面，经过多轮问题查摆，班子和个人均查摆出不少于5个方面的问题，“以案促改”学校层级查摆出2个方面的问题，教师个人层级查摆出8个方面，师德师风每人查摆不少于2个方面问题。问题查摆精准、整改措施具体、剖析材料深入，做到见人见事见思想。并在12月10日前，通过集体会审，学校层面和教师个人层面查摆出的问题全部销号。</w:t>
      </w:r>
    </w:p>
    <w:p w14:paraId="1D86F097">
      <w:pPr>
        <w:pStyle w:val="15"/>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2）强化纪律意识。认真学习省、市关于违反中央八项规定典型问题的通报，观看警示教育片，进行案例剖析，教育教职员工引以为戒。强化廉政教育。严肃财务管理和项目实施，坚持副校长分管制、纪检委监督制，校长参与而不干涉，严控廉政风险，抓牢节点教育，在五一、端午、中秋、国庆等重要节点反复强调廉洁纪律，并组织开展廉政教育和廉洁督查3次。落实意识形态工作责任制。严格落实党管学校意识形态工作的安排部署，通过学习，宣传，提高了每位老师和党员对意识形态工作的认识，并将教育教学和意识形态工作深度融合，高质量履行教书育人的职责。出台《烛光中学师德师风实施方案》《烛光中学作风纪律整顿及以案促改工作方案》，完善《烛光绩效工资考核方案》《烛光中学职称及岗位晋级考评细则》等方案制度16项。</w:t>
      </w:r>
    </w:p>
    <w:p w14:paraId="5616920D">
      <w:pPr>
        <w:pStyle w:val="15"/>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default"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3）创新学习活动方式。以“三会一课”为载体，采用自主学和集中学相结合的方式，全文学习《四史》、习近平新时代中国特色社会主义思想系列学习材料达7本。本年度，书记上课党课4次，召开15次支委会，12次主题党日活动，6次支部党员大会。25堂党员优质课，结对25名贫困学生，结对25名非党员教师。</w:t>
      </w:r>
    </w:p>
    <w:p w14:paraId="6EB5A0DF">
      <w:pPr>
        <w:pStyle w:val="15"/>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4）带强攻坚队伍。强提支部班子决策力、行政班子执行力、教师队伍凝聚力。高质量完场上级交办的各项任务，支部和团委共同主办了庆“七一”文艺汇演。实施青蓝、护苗、头雁、心桥四大工程，通过青蓝对接导师、师德建设先行、教学技能过关、科研能力达标制；“1212”工作法、家校共育“八原则”等以点带面，促进学生学习能力进步、教师业务能力提升、拓宽家校合作领域三大提升。</w:t>
      </w:r>
    </w:p>
    <w:p w14:paraId="013DD049">
      <w:pPr>
        <w:pStyle w:val="15"/>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2.教育改革促发展</w:t>
      </w:r>
    </w:p>
    <w:p w14:paraId="12D72A78">
      <w:pPr>
        <w:pStyle w:val="15"/>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default"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推行烛光东辰教育模式。从德育一日常规入手，通过调整作息时间，增加课前三分钟，餐前记忆和晚记忆，提升学生口头表达能力的背算能力；增加晨训宣誓、德育小班会、静心书法、阅读分享、新闻周刊等有效渗透德育常规；丰富升旗仪式，增强学生集体荣誉感；启动月对抗，让学生在德育、学习、能力、礼仪等方面互相竞争，努力锻炼，形成向上、向美、向优的竞争态势；增加周测、三生辅导，培优辅差，提高学生自助和自觉学习能力；启动周末家庭德育作业，让学生充分体验父母工作生活的艰辛，养成尊敬长辈、爱护弱小的好习惯。优化管理模式，让全体行政管理工作目标化、清单化，思路清晰、考核落实；为了提高会议效率，优化了会议模式，让校务会、支部会、行政会、班主任会、两长会、教师大会、后勤工作会等能定时、定点、定主题，有序推进。逐步推行“学-交-导-练-悟”教学模式，“一课双讲”的教学法。本年度，我校教师上公开课70 节，涉及老、中、青教师43人，组织教师进行班级管理培训 4 次，校本培训10次。语文、数学、英语三大学科实施集体备课，共计16余次。</w:t>
      </w:r>
    </w:p>
    <w:p w14:paraId="4423FC74">
      <w:pPr>
        <w:pStyle w:val="15"/>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组织教师进行班级管理培训 4 次，校本培训10次。教师个人获奖达 78 余人次。校本课程《秉烛拾萃》荣获广元市2020中华文化优秀校本课程评选活动二等奖；学校区级课题《城乡结合部初中特质美少年班建设实践研究》于12月30日顺利开题并按计划有序推进。全年教师共发表教育教学论文17余篇。罗燕实验教学说课获省级二等奖，梁琴兰、刘滔、李莉获说课竞赛二等奖，史小红获市级一等奖。在2021年昭化区教学大比武中，侯继燕、陈春燕、荣获课堂实录二等奖，刘滔获三等奖；史小红，蒲小兰获精品课一等奖，张予民、胡占高、王晓凌获二等奖，黄丽蓉、陈春燕获三等奖；杨永华获教育教学研究论文一等奖；赵勇获教学技能简笔画二等奖，梁莹方获微课三等奖。</w:t>
      </w:r>
    </w:p>
    <w:p w14:paraId="2CF906B8">
      <w:pPr>
        <w:pStyle w:val="15"/>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3.立德树人显真情</w:t>
      </w:r>
    </w:p>
    <w:p w14:paraId="7B0C2D90">
      <w:pPr>
        <w:pStyle w:val="15"/>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开展爱国主义教育，以唱红歌、吃长寿面、升旗仪式、演讲的活动入手，激发学生的爱国情感；开展“国学经典诵读”“美德少年提升班”“学生会自主管理”等行为习惯养成教育，从课堂纪律、常规、礼貌、卫生、劳动及安全意识等方面培养学生对学习的责任感和自学自治能力；开展防艾滋、性侵、禁毒、法治、交通等安全教育，提高学生的安全防范能力和自我保护能力。开展“庆祝建党100周年”系列活动，通过“支部书记讲党史”，学习“习近平重要讲话精神”，参与“学党史”社会实践活动，举行“庆祝建党100周年”文艺汇演等形式，提高学生对中国共产党的认识。2021年4月，学校荣获广元市“青年大学习”网上主题团课先进集体、德育教育先进集体。2021年5月，四川省文明办通过对学校的复查，同意保留学校四川省文明校园称号并颁发证书。</w:t>
      </w:r>
    </w:p>
    <w:p w14:paraId="1A12C799">
      <w:pPr>
        <w:pStyle w:val="15"/>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4.求实创新提业绩</w:t>
      </w:r>
    </w:p>
    <w:p w14:paraId="19F00D9C">
      <w:pPr>
        <w:pStyle w:val="15"/>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持续深化学科组建设，强力推进高效课堂建构，扎实开展控辍保学。2021年中考，我校159人参考，507分以上78人，最高分754分，700分以上 3 人，660分以上 7 人，600分以上 16 人，全市1000名我校 1 人。元坝中学录取63人，现报名67人，劝返4人。昭化职中录取58人；目前我校七年级招生149人。学校荣获区2019--2020学年高中招生先进集体。</w:t>
      </w:r>
    </w:p>
    <w:p w14:paraId="22828B0F">
      <w:pPr>
        <w:pStyle w:val="15"/>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5.活动育人提素养</w:t>
      </w:r>
    </w:p>
    <w:p w14:paraId="6E6DE36B">
      <w:pPr>
        <w:pStyle w:val="15"/>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认真落实“双减政策”及课后延时服务政策，开展社团活动，每周两天4课时，周二开展室内艺术社团活动，包括舞蹈、书法、美术、合唱、朗诵、口琴等；周四开展室外球类社团活动，包括篮球、足球、排球、乒乓球、羽毛球。一年两次的展演形式多样，师生同台献艺，获得全校师生和社会人士的一致好评。本年度，王述华、张予民荣获广元市第36届青少年科技创新大赛科教制作优秀指导教师，学生何松梁、朱钦杨获二等奖；动态作品《在希望的田野上》《少年，少年，祖国的春天》《黄河颂》荣获区第十三届中小学幼儿园艺术节动态作品二、三等奖，赵莉、李琴等10名教师荣获区第十三届中小学幼儿园艺术节动态作品优秀指导教师，史小红等3名教师分别荣获区第十三届中小学幼儿园艺术节静态作品一、二、三等奖，李美伶等9名学生分别荣获区第十三届中小学幼儿园艺术节静态作品一、二、三等奖。何淋淋等5名同学荣获四川省第16届中小学生优秀艺术人才大赛（广元赛区）三等奖。2021年春季我校学生参加区球类运动会获得了男篮冠军、男足冠军，乒乓球、羽毛球男女双打、单打冠军。男足代表昭化区参加市级最佳阵容遴选荣获初中男子组第六名，并荣获体育道德风尚奖。5名学生被推荐并参加省级足球联赛。在第23届推普宣传周活动中6名教师、7名学生分获-、二、三等奖。省级书法测试，初段测试2人，中段测试19人，全部过级。2021年12月学校美术社团创建为广元优秀艺术社团。</w:t>
      </w:r>
    </w:p>
    <w:p w14:paraId="3CADA325">
      <w:pPr>
        <w:pStyle w:val="15"/>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eastAsia" w:ascii="仿宋" w:hAnsi="仿宋" w:eastAsia="仿宋" w:cs="仿宋"/>
          <w:color w:val="auto"/>
          <w:kern w:val="2"/>
          <w:sz w:val="32"/>
          <w:szCs w:val="32"/>
          <w:lang w:val="en-US" w:eastAsia="zh-CN" w:bidi="ar"/>
        </w:rPr>
      </w:pPr>
    </w:p>
    <w:p w14:paraId="7DA038FD">
      <w:pPr>
        <w:pStyle w:val="15"/>
        <w:keepNext w:val="0"/>
        <w:keepLines w:val="0"/>
        <w:widowControl w:val="0"/>
        <w:numPr>
          <w:ilvl w:val="0"/>
          <w:numId w:val="0"/>
        </w:numPr>
        <w:suppressLineNumbers w:val="0"/>
        <w:adjustRightInd w:val="0"/>
        <w:spacing w:before="0" w:beforeLines="30" w:beforeAutospacing="0" w:after="0" w:afterAutospacing="0" w:line="500" w:lineRule="exact"/>
        <w:ind w:right="0" w:rightChars="0"/>
        <w:jc w:val="left"/>
        <w:outlineLvl w:val="2"/>
        <w:rPr>
          <w:rFonts w:hint="eastAsia" w:ascii="仿宋" w:hAnsi="仿宋" w:eastAsia="仿宋" w:cs="仿宋"/>
          <w:b/>
          <w:bCs/>
          <w:color w:val="auto"/>
          <w:kern w:val="2"/>
          <w:sz w:val="36"/>
          <w:szCs w:val="36"/>
          <w:lang w:val="en-US" w:eastAsia="zh-CN" w:bidi="ar"/>
        </w:rPr>
      </w:pPr>
      <w:r>
        <w:rPr>
          <w:rFonts w:hint="eastAsia" w:ascii="仿宋" w:hAnsi="仿宋" w:eastAsia="仿宋" w:cs="仿宋"/>
          <w:b/>
          <w:bCs/>
          <w:color w:val="auto"/>
          <w:kern w:val="2"/>
          <w:sz w:val="36"/>
          <w:szCs w:val="36"/>
          <w:lang w:val="en-US" w:eastAsia="zh-CN" w:bidi="ar"/>
        </w:rPr>
        <w:t>（二）其他工作</w:t>
      </w:r>
    </w:p>
    <w:p w14:paraId="0D65D8E8">
      <w:pPr>
        <w:pStyle w:val="15"/>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1.乡村振兴落实处</w:t>
      </w:r>
    </w:p>
    <w:p w14:paraId="131C3316">
      <w:pPr>
        <w:pStyle w:val="15"/>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成立了乡村振兴工作领导小组，选派王康斌为工作队员，全职参与卫子镇板石沟村乡村振兴工作。与牵头单位区供销联社开展了碰头会议，共商“脱贫攻坚与乡村振兴”衔接工作的推进事宜；多次参加板石沟村村委会议，共商发展大计；积极开展脱贫攻坚“回头看”工作，对脱贫户中的相对困难户，如罗光新、罗开军、罗开正、张开贵、罗显勤等农户进行了跟踪帮扶；四是协助板石沟村开展各项日常工作。</w:t>
      </w:r>
    </w:p>
    <w:p w14:paraId="40038596">
      <w:pPr>
        <w:pStyle w:val="15"/>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制定“保生保学”具体措施，落实“五长”责任制，严控学生流失；持续开展“千名教师访万家”活动，一年4次的线上线下家长会有效增进学校与家长的联系与沟通；建立随班就读残疾少年专档，对不能到校上课的学生送教上门 80次。为18名特异体质学生建立档案，制定具体的帮扶方案。</w:t>
      </w:r>
    </w:p>
    <w:p w14:paraId="020581F6">
      <w:pPr>
        <w:pStyle w:val="15"/>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2.疫情防控抓落实</w:t>
      </w:r>
    </w:p>
    <w:p w14:paraId="32189542">
      <w:pPr>
        <w:pStyle w:val="15"/>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成立以党支部书记、校长为组长的防控工作领导小组，明确领导小组成员工作职责。通过告家长书、线上家长会、QQ工作群、拟制“以测促防”试卷、开展“疫情防控”主题班会等渠道，向师生及家长宣传疫情防控知识。常态化开展疫情防控。坚持“零报告”制度和24小时值班制度，及时张贴并组织学习疫情防控指南、公告、文件。积极接种疫苗。截至目前，我校师生全部接种完二针剂新冠疫苗，加强针教职工已接种48人，其余师生因时间未到暂时还没接种。</w:t>
      </w:r>
    </w:p>
    <w:p w14:paraId="7E9A1E41">
      <w:pPr>
        <w:pStyle w:val="15"/>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3.防微杜渐抓安全。</w:t>
      </w:r>
    </w:p>
    <w:p w14:paraId="055F8F3B">
      <w:pPr>
        <w:pStyle w:val="15"/>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学校秉承“生命至上、安全第一、细心谋划、精准施策、竭诚为生、确保安全”的服务理念，实施安全风险风级管控及安全隐患排查双重预警机制，拟制《烛光中学安全管理20条》。共建教师、学生、家长安全管理网</w:t>
      </w:r>
      <w:bookmarkStart w:id="67" w:name="_GoBack"/>
      <w:bookmarkEnd w:id="67"/>
      <w:r>
        <w:rPr>
          <w:rFonts w:hint="eastAsia" w:ascii="仿宋" w:hAnsi="仿宋" w:eastAsia="仿宋" w:cs="仿宋"/>
          <w:color w:val="auto"/>
          <w:kern w:val="2"/>
          <w:sz w:val="32"/>
          <w:szCs w:val="32"/>
          <w:lang w:val="en-US" w:eastAsia="zh-CN" w:bidi="ar"/>
        </w:rPr>
        <w:t>络。成立以校长为组长的安全领导小组、重特大安全事故应急处理领导小组、建立学校每日应急小分队，与班主任、任课教师签订安全责任书，规范制度，落实好各种措施。利用主题班会、办黑板报、手抄报、国旗下讲话等形式及时对学生进行防溺水安全、交通安全、活动安全、消防安全、食品安全、防拥挤踩踏安全、防邪反邪、防毒禁毒、防艾滋等专项教育，强化安全意识，掌握自救自护能力；积极组织学生参加各种比赛本年度，我校组织了全体师生参加四川省学生安全网络操作平台各种竞赛，且全年无一起安全事故发生。</w:t>
      </w:r>
    </w:p>
    <w:p w14:paraId="23CB80A5">
      <w:pPr>
        <w:pStyle w:val="15"/>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4.后勤管理抓细节。</w:t>
      </w:r>
    </w:p>
    <w:p w14:paraId="5DEE8FFC">
      <w:pPr>
        <w:pStyle w:val="15"/>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规范收费标准，做到财务三公开，按时准确报送财务报表。成立了营养餐管理工作领导小组，细化职责和分工。严格按照区教育局的规定，定点采购食品原材料。规范出入库管理，建立食品安全台账，食品留样台账。加强食堂工人的法律法规和技术培训，做好饭菜试尝，饭菜质量好，数量足。加强项目管理，确保项目质量，保证工程安全。水电安全风险维护16处，协调移动公司免费安装移动网络50户并长期使用。与民盟中央、省委接洽为学校捐赠智慧课堂1间，平板45个，教育局更换一体机5台。率先超额完成832平台扶贫产品的采购任务。及时完成项目规划编制，成功申报2022年教学辅助用房项目，完成2021年薄改提升项目和2020乡中心校和寄宿制学校建设项目。</w:t>
      </w:r>
    </w:p>
    <w:p w14:paraId="617B081B">
      <w:pPr>
        <w:widowControl/>
        <w:jc w:val="left"/>
        <w:rPr>
          <w:rFonts w:ascii="仿宋" w:hAnsi="仿宋" w:eastAsia="仿宋"/>
          <w:kern w:val="0"/>
          <w:sz w:val="32"/>
          <w:szCs w:val="32"/>
        </w:rPr>
      </w:pPr>
    </w:p>
    <w:p w14:paraId="4E3C2A6F">
      <w:pPr>
        <w:pStyle w:val="16"/>
      </w:pPr>
    </w:p>
    <w:p w14:paraId="00DC392D">
      <w:pPr>
        <w:rPr>
          <w:rFonts w:hint="eastAsia" w:ascii="黑体" w:hAnsi="黑体" w:eastAsia="黑体"/>
          <w:b w:val="0"/>
        </w:rPr>
      </w:pPr>
      <w:bookmarkStart w:id="16" w:name="_Toc15377204"/>
      <w:bookmarkStart w:id="17" w:name="_Toc15396602"/>
      <w:r>
        <w:rPr>
          <w:rFonts w:hint="eastAsia" w:ascii="黑体" w:hAnsi="黑体" w:eastAsia="黑体"/>
          <w:b w:val="0"/>
        </w:rPr>
        <w:br w:type="page"/>
      </w:r>
    </w:p>
    <w:p w14:paraId="2520129B">
      <w:pPr>
        <w:pStyle w:val="3"/>
        <w:ind w:right="440"/>
        <w:jc w:val="center"/>
        <w:rPr>
          <w:rStyle w:val="29"/>
          <w:rFonts w:ascii="黑体" w:hAnsi="黑体" w:eastAsia="黑体"/>
          <w:b w:val="0"/>
          <w:bCs/>
        </w:rPr>
      </w:pPr>
      <w:r>
        <w:rPr>
          <w:rFonts w:hint="eastAsia" w:ascii="黑体" w:hAnsi="黑体" w:eastAsia="黑体"/>
          <w:b w:val="0"/>
        </w:rPr>
        <w:t>第二部分 2021年度</w:t>
      </w:r>
      <w:r>
        <w:rPr>
          <w:rStyle w:val="29"/>
          <w:rFonts w:hint="eastAsia" w:ascii="黑体" w:hAnsi="黑体" w:eastAsia="黑体"/>
          <w:b w:val="0"/>
          <w:bCs/>
        </w:rPr>
        <w:t>单位决算情况说明</w:t>
      </w:r>
      <w:bookmarkEnd w:id="16"/>
      <w:bookmarkEnd w:id="17"/>
    </w:p>
    <w:p w14:paraId="141563DF"/>
    <w:p w14:paraId="1407F61D">
      <w:pPr>
        <w:pStyle w:val="28"/>
        <w:numPr>
          <w:ilvl w:val="0"/>
          <w:numId w:val="2"/>
        </w:numPr>
        <w:spacing w:line="600" w:lineRule="exact"/>
        <w:ind w:firstLineChars="0"/>
        <w:outlineLvl w:val="1"/>
        <w:rPr>
          <w:rStyle w:val="30"/>
          <w:rFonts w:ascii="黑体" w:hAnsi="黑体" w:eastAsia="黑体"/>
          <w:b w:val="0"/>
        </w:rPr>
      </w:pPr>
      <w:bookmarkStart w:id="18" w:name="_Toc15377205"/>
      <w:bookmarkStart w:id="19" w:name="_Toc15396603"/>
      <w:r>
        <w:rPr>
          <w:rFonts w:hint="eastAsia" w:ascii="黑体" w:hAnsi="黑体" w:eastAsia="黑体"/>
          <w:sz w:val="32"/>
          <w:szCs w:val="32"/>
        </w:rPr>
        <w:t>收</w:t>
      </w:r>
      <w:r>
        <w:rPr>
          <w:rStyle w:val="30"/>
          <w:rFonts w:hint="eastAsia" w:ascii="黑体" w:hAnsi="黑体" w:eastAsia="黑体"/>
          <w:b w:val="0"/>
        </w:rPr>
        <w:t>入支出决算总体情况说明</w:t>
      </w:r>
      <w:bookmarkEnd w:id="18"/>
      <w:bookmarkEnd w:id="19"/>
    </w:p>
    <w:p w14:paraId="23327A9E">
      <w:pPr>
        <w:spacing w:line="600" w:lineRule="exact"/>
        <w:ind w:firstLine="640" w:firstLineChars="200"/>
        <w:outlineLvl w:val="1"/>
        <w:rPr>
          <w:rFonts w:hint="eastAsia" w:eastAsia="宋体"/>
          <w:lang w:eastAsia="zh-CN"/>
        </w:rPr>
      </w:pPr>
      <w:r>
        <w:rPr>
          <w:rFonts w:hint="eastAsia" w:ascii="仿宋" w:hAnsi="仿宋" w:eastAsia="仿宋"/>
          <w:sz w:val="32"/>
          <w:szCs w:val="32"/>
        </w:rPr>
        <w:t>2021年度收、支总计</w:t>
      </w:r>
      <w:r>
        <w:rPr>
          <w:rFonts w:hint="eastAsia" w:ascii="仿宋" w:hAnsi="仿宋" w:eastAsia="仿宋"/>
          <w:sz w:val="32"/>
          <w:szCs w:val="32"/>
          <w:lang w:val="en-US" w:eastAsia="zh-CN"/>
        </w:rPr>
        <w:t>1355.80</w:t>
      </w:r>
      <w:r>
        <w:rPr>
          <w:rFonts w:hint="eastAsia" w:ascii="仿宋" w:hAnsi="仿宋" w:eastAsia="仿宋"/>
          <w:sz w:val="32"/>
          <w:szCs w:val="32"/>
        </w:rPr>
        <w:t>万元。与2020年相比，收、支总计各</w:t>
      </w:r>
      <w:r>
        <w:rPr>
          <w:rFonts w:hint="eastAsia" w:ascii="仿宋" w:hAnsi="仿宋" w:eastAsia="仿宋"/>
          <w:sz w:val="32"/>
          <w:szCs w:val="32"/>
          <w:lang w:val="en-US" w:eastAsia="zh-CN"/>
        </w:rPr>
        <w:t>减少46.11</w:t>
      </w:r>
      <w:r>
        <w:rPr>
          <w:rFonts w:hint="eastAsia" w:ascii="仿宋" w:hAnsi="仿宋" w:eastAsia="仿宋"/>
          <w:sz w:val="32"/>
          <w:szCs w:val="32"/>
        </w:rPr>
        <w:t>万元，</w:t>
      </w:r>
      <w:r>
        <w:rPr>
          <w:rFonts w:hint="eastAsia" w:ascii="仿宋" w:hAnsi="仿宋" w:eastAsia="仿宋"/>
          <w:sz w:val="32"/>
          <w:szCs w:val="32"/>
          <w:lang w:val="en-US" w:eastAsia="zh-CN"/>
        </w:rPr>
        <w:t>下降3.29</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color w:val="auto"/>
          <w:sz w:val="32"/>
          <w:szCs w:val="32"/>
          <w:highlight w:val="none"/>
          <w:lang w:eastAsia="zh-CN"/>
        </w:rPr>
        <w:t>项目支出减少</w:t>
      </w:r>
      <w:r>
        <w:rPr>
          <w:rFonts w:hint="eastAsia" w:ascii="仿宋" w:hAnsi="仿宋" w:eastAsia="仿宋"/>
          <w:sz w:val="32"/>
          <w:szCs w:val="32"/>
        </w:rPr>
        <w:t>。</w:t>
      </w:r>
    </w:p>
    <w:p w14:paraId="057363E5">
      <w:pPr>
        <w:pStyle w:val="28"/>
        <w:numPr>
          <w:ilvl w:val="0"/>
          <w:numId w:val="2"/>
        </w:numPr>
        <w:spacing w:line="600" w:lineRule="exact"/>
        <w:ind w:firstLineChars="0"/>
        <w:outlineLvl w:val="1"/>
        <w:rPr>
          <w:rStyle w:val="30"/>
          <w:rFonts w:ascii="黑体" w:hAnsi="黑体" w:eastAsia="黑体"/>
          <w:b w:val="0"/>
        </w:rPr>
      </w:pPr>
      <w:bookmarkStart w:id="20" w:name="_Toc15396604"/>
      <w:bookmarkStart w:id="21" w:name="_Toc15377206"/>
      <w:r>
        <w:rPr>
          <w:rFonts w:hint="eastAsia" w:eastAsia="宋体"/>
          <w:highlight w:val="yellow"/>
          <w:lang w:eastAsia="zh-CN"/>
        </w:rPr>
        <w:drawing>
          <wp:anchor distT="0" distB="0" distL="114300" distR="114300" simplePos="0" relativeHeight="251660288" behindDoc="0" locked="0" layoutInCell="1" allowOverlap="1">
            <wp:simplePos x="0" y="0"/>
            <wp:positionH relativeFrom="column">
              <wp:posOffset>213995</wp:posOffset>
            </wp:positionH>
            <wp:positionV relativeFrom="paragraph">
              <wp:posOffset>22860</wp:posOffset>
            </wp:positionV>
            <wp:extent cx="5080000" cy="2125345"/>
            <wp:effectExtent l="4445" t="4445" r="20955" b="22860"/>
            <wp:wrapTopAndBottom/>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anchor>
        </w:drawing>
      </w:r>
      <w:r>
        <w:rPr>
          <w:rFonts w:hint="eastAsia" w:ascii="黑体" w:hAnsi="黑体" w:eastAsia="黑体"/>
          <w:sz w:val="32"/>
          <w:szCs w:val="32"/>
        </w:rPr>
        <w:t>收</w:t>
      </w:r>
      <w:r>
        <w:rPr>
          <w:rStyle w:val="30"/>
          <w:rFonts w:hint="eastAsia" w:ascii="黑体" w:hAnsi="黑体" w:eastAsia="黑体"/>
          <w:b w:val="0"/>
        </w:rPr>
        <w:t>入决算情况说明</w:t>
      </w:r>
      <w:bookmarkEnd w:id="20"/>
      <w:bookmarkEnd w:id="21"/>
    </w:p>
    <w:p w14:paraId="0A8A2954">
      <w:pPr>
        <w:spacing w:line="600" w:lineRule="exact"/>
        <w:ind w:firstLine="640" w:firstLineChars="200"/>
        <w:outlineLvl w:val="1"/>
        <w:rPr>
          <w:rFonts w:hint="eastAsia" w:ascii="仿宋" w:hAnsi="仿宋" w:eastAsia="仿宋"/>
          <w:sz w:val="32"/>
          <w:szCs w:val="32"/>
        </w:rPr>
      </w:pPr>
      <w:r>
        <w:rPr>
          <w:rFonts w:ascii="仿宋" w:hAnsi="仿宋" w:eastAsia="仿宋"/>
          <w:sz w:val="32"/>
          <w:szCs w:val="32"/>
        </w:rPr>
        <w:t>20</w:t>
      </w:r>
      <w:r>
        <w:rPr>
          <w:rFonts w:hint="eastAsia" w:ascii="仿宋" w:hAnsi="仿宋" w:eastAsia="仿宋"/>
          <w:sz w:val="32"/>
          <w:szCs w:val="32"/>
        </w:rPr>
        <w:t>21年本年收入合计</w:t>
      </w:r>
      <w:r>
        <w:rPr>
          <w:rFonts w:hint="eastAsia" w:ascii="仿宋" w:hAnsi="仿宋" w:eastAsia="仿宋"/>
          <w:sz w:val="32"/>
          <w:szCs w:val="32"/>
          <w:lang w:val="en-US" w:eastAsia="zh-CN"/>
        </w:rPr>
        <w:t>1355.80</w:t>
      </w:r>
      <w:r>
        <w:rPr>
          <w:rFonts w:hint="eastAsia" w:ascii="仿宋" w:hAnsi="仿宋" w:eastAsia="仿宋"/>
          <w:sz w:val="32"/>
          <w:szCs w:val="32"/>
        </w:rPr>
        <w:t>9万元，其中：一般公共预算财政拨款收入</w:t>
      </w:r>
      <w:r>
        <w:rPr>
          <w:rFonts w:hint="eastAsia" w:ascii="仿宋" w:hAnsi="仿宋" w:eastAsia="仿宋"/>
          <w:sz w:val="32"/>
          <w:szCs w:val="32"/>
          <w:lang w:val="en-US" w:eastAsia="zh-CN"/>
        </w:rPr>
        <w:t>1355.80</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ascii="仿宋" w:hAnsi="仿宋" w:eastAsia="仿宋"/>
          <w:sz w:val="32"/>
          <w:szCs w:val="32"/>
        </w:rPr>
        <w:t>%</w:t>
      </w:r>
      <w:r>
        <w:rPr>
          <w:rFonts w:hint="eastAsia" w:ascii="仿宋" w:hAnsi="仿宋" w:eastAsia="仿宋"/>
          <w:sz w:val="32"/>
          <w:szCs w:val="32"/>
        </w:rPr>
        <w:t>。</w:t>
      </w:r>
    </w:p>
    <w:p w14:paraId="7E480F38">
      <w:pPr>
        <w:pStyle w:val="16"/>
        <w:rPr>
          <w:rFonts w:hint="eastAsia" w:eastAsia="宋体"/>
          <w:lang w:eastAsia="zh-CN"/>
        </w:rPr>
      </w:pPr>
      <w:r>
        <w:rPr>
          <w:rFonts w:hint="eastAsia" w:eastAsia="宋体"/>
          <w:lang w:eastAsia="zh-CN"/>
        </w:rPr>
        <w:drawing>
          <wp:anchor distT="0" distB="0" distL="114300" distR="114300" simplePos="0" relativeHeight="251661312" behindDoc="0" locked="0" layoutInCell="1" allowOverlap="1">
            <wp:simplePos x="0" y="0"/>
            <wp:positionH relativeFrom="column">
              <wp:posOffset>-38100</wp:posOffset>
            </wp:positionH>
            <wp:positionV relativeFrom="paragraph">
              <wp:posOffset>27305</wp:posOffset>
            </wp:positionV>
            <wp:extent cx="5584825" cy="2523490"/>
            <wp:effectExtent l="4445" t="4445" r="11430" b="5715"/>
            <wp:wrapTopAndBottom/>
            <wp:docPr id="13" name="图表 13" descr="7b0a202020202263686172745265734964223a20223230343734353235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p>
    <w:p w14:paraId="51D3A90A">
      <w:pPr>
        <w:pStyle w:val="16"/>
        <w:ind w:left="0" w:leftChars="0" w:firstLine="640" w:firstLineChars="200"/>
        <w:rPr>
          <w:rStyle w:val="30"/>
          <w:rFonts w:ascii="黑体" w:hAnsi="黑体" w:eastAsia="黑体"/>
          <w:b w:val="0"/>
        </w:rPr>
      </w:pPr>
      <w:bookmarkStart w:id="22" w:name="_Toc15377207"/>
      <w:bookmarkStart w:id="23" w:name="_Toc15396605"/>
      <w:r>
        <w:rPr>
          <w:rFonts w:hint="eastAsia" w:ascii="黑体" w:hAnsi="黑体" w:eastAsia="黑体"/>
          <w:sz w:val="32"/>
          <w:szCs w:val="32"/>
          <w:lang w:eastAsia="zh-CN"/>
        </w:rPr>
        <w:t>三、</w:t>
      </w:r>
      <w:r>
        <w:rPr>
          <w:rFonts w:hint="eastAsia" w:ascii="黑体" w:hAnsi="黑体" w:eastAsia="黑体"/>
          <w:sz w:val="32"/>
          <w:szCs w:val="32"/>
        </w:rPr>
        <w:t>支</w:t>
      </w:r>
      <w:r>
        <w:rPr>
          <w:rStyle w:val="30"/>
          <w:rFonts w:hint="eastAsia" w:ascii="黑体" w:hAnsi="黑体" w:eastAsia="黑体"/>
          <w:b w:val="0"/>
        </w:rPr>
        <w:t>出决算情况说明</w:t>
      </w:r>
      <w:bookmarkEnd w:id="22"/>
      <w:bookmarkEnd w:id="23"/>
    </w:p>
    <w:p w14:paraId="6EEFBA59">
      <w:pPr>
        <w:spacing w:line="600" w:lineRule="exact"/>
        <w:ind w:firstLine="640" w:firstLineChars="200"/>
        <w:outlineLvl w:val="1"/>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21年本年支出合计</w:t>
      </w:r>
      <w:r>
        <w:rPr>
          <w:rFonts w:hint="eastAsia" w:ascii="仿宋" w:hAnsi="仿宋" w:eastAsia="仿宋"/>
          <w:sz w:val="32"/>
          <w:szCs w:val="32"/>
          <w:lang w:val="en-US" w:eastAsia="zh-CN"/>
        </w:rPr>
        <w:t>1355.80</w:t>
      </w:r>
      <w:r>
        <w:rPr>
          <w:rFonts w:hint="eastAsia" w:ascii="仿宋" w:hAnsi="仿宋" w:eastAsia="仿宋"/>
          <w:sz w:val="32"/>
          <w:szCs w:val="32"/>
        </w:rPr>
        <w:t>万元，其中：基本支出</w:t>
      </w:r>
      <w:r>
        <w:rPr>
          <w:rFonts w:hint="eastAsia" w:ascii="仿宋" w:hAnsi="仿宋" w:eastAsia="仿宋"/>
          <w:sz w:val="32"/>
          <w:szCs w:val="32"/>
          <w:lang w:val="en-US" w:eastAsia="zh-CN"/>
        </w:rPr>
        <w:t>1209.80</w:t>
      </w:r>
      <w:r>
        <w:rPr>
          <w:rFonts w:hint="eastAsia" w:ascii="仿宋" w:hAnsi="仿宋" w:eastAsia="仿宋"/>
          <w:sz w:val="32"/>
          <w:szCs w:val="32"/>
        </w:rPr>
        <w:t>万元，占</w:t>
      </w:r>
      <w:r>
        <w:rPr>
          <w:rFonts w:hint="eastAsia" w:ascii="仿宋" w:hAnsi="仿宋" w:eastAsia="仿宋"/>
          <w:sz w:val="32"/>
          <w:szCs w:val="32"/>
          <w:lang w:val="en-US" w:eastAsia="zh-CN"/>
        </w:rPr>
        <w:t>89.23</w:t>
      </w:r>
      <w:r>
        <w:rPr>
          <w:rFonts w:ascii="仿宋" w:hAnsi="仿宋" w:eastAsia="仿宋"/>
          <w:sz w:val="32"/>
          <w:szCs w:val="32"/>
        </w:rPr>
        <w:t>%</w:t>
      </w:r>
      <w:r>
        <w:rPr>
          <w:rFonts w:hint="eastAsia" w:ascii="仿宋" w:hAnsi="仿宋" w:eastAsia="仿宋"/>
          <w:sz w:val="32"/>
          <w:szCs w:val="32"/>
        </w:rPr>
        <w:t>；项目支出</w:t>
      </w:r>
      <w:r>
        <w:rPr>
          <w:rFonts w:hint="eastAsia" w:ascii="仿宋" w:hAnsi="仿宋" w:eastAsia="仿宋"/>
          <w:sz w:val="32"/>
          <w:szCs w:val="32"/>
          <w:lang w:val="en-US" w:eastAsia="zh-CN"/>
        </w:rPr>
        <w:t>146</w:t>
      </w:r>
      <w:r>
        <w:rPr>
          <w:rFonts w:hint="eastAsia" w:ascii="仿宋" w:hAnsi="仿宋" w:eastAsia="仿宋"/>
          <w:sz w:val="32"/>
          <w:szCs w:val="32"/>
        </w:rPr>
        <w:t>万元，占</w:t>
      </w:r>
      <w:r>
        <w:rPr>
          <w:rFonts w:hint="eastAsia" w:ascii="仿宋" w:hAnsi="仿宋" w:eastAsia="仿宋"/>
          <w:sz w:val="32"/>
          <w:szCs w:val="32"/>
          <w:lang w:val="en-US" w:eastAsia="zh-CN"/>
        </w:rPr>
        <w:t>10.77</w:t>
      </w:r>
      <w:r>
        <w:rPr>
          <w:rFonts w:ascii="仿宋" w:hAnsi="仿宋" w:eastAsia="仿宋"/>
          <w:sz w:val="32"/>
          <w:szCs w:val="32"/>
        </w:rPr>
        <w:t>%</w:t>
      </w:r>
      <w:r>
        <w:rPr>
          <w:rFonts w:hint="eastAsia" w:ascii="仿宋" w:hAnsi="仿宋" w:eastAsia="仿宋"/>
          <w:sz w:val="32"/>
          <w:szCs w:val="32"/>
        </w:rPr>
        <w:t>。</w:t>
      </w:r>
    </w:p>
    <w:p w14:paraId="0DC46F5E">
      <w:pPr>
        <w:spacing w:line="600" w:lineRule="exact"/>
        <w:ind w:firstLine="640" w:firstLineChars="200"/>
        <w:outlineLvl w:val="1"/>
        <w:rPr>
          <w:rStyle w:val="30"/>
          <w:rFonts w:ascii="黑体" w:hAnsi="黑体" w:eastAsia="黑体"/>
          <w:b w:val="0"/>
        </w:rPr>
      </w:pPr>
      <w:bookmarkStart w:id="24" w:name="_Toc15396606"/>
      <w:bookmarkStart w:id="25" w:name="_Toc15377208"/>
      <w:r>
        <w:rPr>
          <w:rFonts w:hint="eastAsia" w:ascii="仿宋" w:hAnsi="仿宋" w:eastAsia="仿宋"/>
          <w:sz w:val="32"/>
          <w:szCs w:val="32"/>
          <w:shd w:val="pct10" w:color="auto" w:fill="FFFFFF"/>
        </w:rPr>
        <w:drawing>
          <wp:anchor distT="0" distB="0" distL="114300" distR="114300" simplePos="0" relativeHeight="251659264" behindDoc="0" locked="0" layoutInCell="1" allowOverlap="1">
            <wp:simplePos x="0" y="0"/>
            <wp:positionH relativeFrom="column">
              <wp:posOffset>53340</wp:posOffset>
            </wp:positionH>
            <wp:positionV relativeFrom="paragraph">
              <wp:posOffset>127635</wp:posOffset>
            </wp:positionV>
            <wp:extent cx="5080000" cy="2929255"/>
            <wp:effectExtent l="4445" t="4445" r="20955" b="19050"/>
            <wp:wrapTopAndBottom/>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Pr>
          <w:rFonts w:hint="eastAsia" w:ascii="黑体" w:hAnsi="黑体" w:eastAsia="黑体"/>
          <w:sz w:val="32"/>
          <w:szCs w:val="32"/>
        </w:rPr>
        <w:t>四、财</w:t>
      </w:r>
      <w:r>
        <w:rPr>
          <w:rStyle w:val="30"/>
          <w:rFonts w:hint="eastAsia" w:ascii="黑体" w:hAnsi="黑体" w:eastAsia="黑体"/>
          <w:b w:val="0"/>
        </w:rPr>
        <w:t>政拨款收入支出决算总体情况说明</w:t>
      </w:r>
      <w:bookmarkEnd w:id="24"/>
      <w:bookmarkEnd w:id="25"/>
    </w:p>
    <w:p w14:paraId="4329CE21">
      <w:pPr>
        <w:spacing w:line="600" w:lineRule="exact"/>
        <w:ind w:firstLine="640"/>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21年财政拨款收、支总计</w:t>
      </w:r>
      <w:r>
        <w:rPr>
          <w:rFonts w:hint="eastAsia" w:ascii="仿宋" w:hAnsi="仿宋" w:eastAsia="仿宋"/>
          <w:sz w:val="32"/>
          <w:szCs w:val="32"/>
          <w:lang w:val="en-US" w:eastAsia="zh-CN"/>
        </w:rPr>
        <w:t>1355.80</w:t>
      </w:r>
      <w:r>
        <w:rPr>
          <w:rFonts w:hint="eastAsia" w:ascii="仿宋" w:hAnsi="仿宋" w:eastAsia="仿宋"/>
          <w:sz w:val="32"/>
          <w:szCs w:val="32"/>
        </w:rPr>
        <w:t>万元。与</w:t>
      </w:r>
      <w:r>
        <w:rPr>
          <w:rFonts w:ascii="仿宋" w:hAnsi="仿宋" w:eastAsia="仿宋"/>
          <w:sz w:val="32"/>
          <w:szCs w:val="32"/>
        </w:rPr>
        <w:t>20</w:t>
      </w:r>
      <w:r>
        <w:rPr>
          <w:rFonts w:hint="eastAsia" w:ascii="仿宋" w:hAnsi="仿宋" w:eastAsia="仿宋"/>
          <w:sz w:val="32"/>
          <w:szCs w:val="32"/>
        </w:rPr>
        <w:t>20年相比，财政拨款收、支总计各</w:t>
      </w:r>
      <w:r>
        <w:rPr>
          <w:rFonts w:hint="eastAsia" w:ascii="仿宋" w:hAnsi="仿宋" w:eastAsia="仿宋"/>
          <w:sz w:val="32"/>
          <w:szCs w:val="32"/>
          <w:lang w:val="en-US" w:eastAsia="zh-CN"/>
        </w:rPr>
        <w:t>减少46.11</w:t>
      </w:r>
      <w:r>
        <w:rPr>
          <w:rFonts w:hint="eastAsia" w:ascii="仿宋" w:hAnsi="仿宋" w:eastAsia="仿宋"/>
          <w:sz w:val="32"/>
          <w:szCs w:val="32"/>
        </w:rPr>
        <w:t>万元，</w:t>
      </w:r>
      <w:r>
        <w:rPr>
          <w:rFonts w:hint="eastAsia" w:ascii="仿宋" w:hAnsi="仿宋" w:eastAsia="仿宋"/>
          <w:sz w:val="32"/>
          <w:szCs w:val="32"/>
          <w:lang w:val="en-US" w:eastAsia="zh-CN"/>
        </w:rPr>
        <w:t>下降3.29</w:t>
      </w:r>
      <w:r>
        <w:rPr>
          <w:rFonts w:ascii="仿宋" w:hAnsi="仿宋" w:eastAsia="仿宋"/>
          <w:sz w:val="32"/>
          <w:szCs w:val="32"/>
        </w:rPr>
        <w:t>%</w:t>
      </w:r>
      <w:r>
        <w:rPr>
          <w:rFonts w:hint="eastAsia" w:ascii="仿宋" w:hAnsi="仿宋" w:eastAsia="仿宋"/>
          <w:sz w:val="32"/>
          <w:szCs w:val="32"/>
        </w:rPr>
        <w:t>。主要变动原因是项目支出</w:t>
      </w:r>
      <w:r>
        <w:rPr>
          <w:rFonts w:hint="eastAsia" w:ascii="仿宋" w:hAnsi="仿宋" w:eastAsia="仿宋"/>
          <w:sz w:val="32"/>
          <w:szCs w:val="32"/>
          <w:lang w:val="en-US" w:eastAsia="zh-CN"/>
        </w:rPr>
        <w:t>减少</w:t>
      </w:r>
      <w:r>
        <w:rPr>
          <w:rFonts w:hint="eastAsia" w:ascii="仿宋" w:hAnsi="仿宋" w:eastAsia="仿宋"/>
          <w:sz w:val="32"/>
          <w:szCs w:val="32"/>
        </w:rPr>
        <w:t>。</w:t>
      </w:r>
    </w:p>
    <w:p w14:paraId="5828F84C">
      <w:pPr>
        <w:pStyle w:val="16"/>
      </w:pPr>
      <w:r>
        <w:rPr>
          <w:rFonts w:hint="eastAsia" w:eastAsia="宋体"/>
          <w:lang w:eastAsia="zh-CN"/>
        </w:rPr>
        <w:drawing>
          <wp:anchor distT="0" distB="0" distL="114300" distR="114300" simplePos="0" relativeHeight="251662336" behindDoc="0" locked="0" layoutInCell="1" allowOverlap="1">
            <wp:simplePos x="0" y="0"/>
            <wp:positionH relativeFrom="column">
              <wp:posOffset>4445</wp:posOffset>
            </wp:positionH>
            <wp:positionV relativeFrom="paragraph">
              <wp:posOffset>208280</wp:posOffset>
            </wp:positionV>
            <wp:extent cx="5080000" cy="2734945"/>
            <wp:effectExtent l="4445" t="4445" r="20955" b="22860"/>
            <wp:wrapTopAndBottom/>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14:paraId="3D3D4D91">
      <w:pPr>
        <w:spacing w:line="600" w:lineRule="exact"/>
        <w:ind w:firstLine="640" w:firstLineChars="200"/>
        <w:outlineLvl w:val="1"/>
        <w:rPr>
          <w:rStyle w:val="30"/>
          <w:rFonts w:ascii="黑体" w:hAnsi="黑体" w:eastAsia="黑体"/>
          <w:b w:val="0"/>
        </w:rPr>
      </w:pPr>
      <w:bookmarkStart w:id="26" w:name="_Toc15377209"/>
      <w:bookmarkStart w:id="27" w:name="_Toc15396607"/>
      <w:r>
        <w:rPr>
          <w:rFonts w:hint="eastAsia" w:ascii="黑体" w:hAnsi="黑体" w:eastAsia="黑体"/>
          <w:sz w:val="32"/>
          <w:szCs w:val="32"/>
        </w:rPr>
        <w:t>五、</w:t>
      </w:r>
      <w:r>
        <w:rPr>
          <w:rFonts w:hint="eastAsia" w:ascii="黑体" w:hAnsi="黑体" w:eastAsia="黑体"/>
          <w:b/>
          <w:sz w:val="32"/>
          <w:szCs w:val="32"/>
        </w:rPr>
        <w:t>一</w:t>
      </w:r>
      <w:r>
        <w:rPr>
          <w:rStyle w:val="30"/>
          <w:rFonts w:hint="eastAsia" w:ascii="黑体" w:hAnsi="黑体" w:eastAsia="黑体"/>
          <w:b w:val="0"/>
        </w:rPr>
        <w:t>般公共预算财政拨款支出决算情况说明</w:t>
      </w:r>
      <w:bookmarkEnd w:id="26"/>
      <w:bookmarkEnd w:id="27"/>
    </w:p>
    <w:p w14:paraId="72E89A1F">
      <w:pPr>
        <w:spacing w:line="600" w:lineRule="exact"/>
        <w:ind w:firstLine="643" w:firstLineChars="200"/>
        <w:outlineLvl w:val="2"/>
        <w:rPr>
          <w:rFonts w:ascii="仿宋" w:hAnsi="仿宋" w:eastAsia="仿宋"/>
          <w:b/>
          <w:sz w:val="32"/>
          <w:szCs w:val="32"/>
        </w:rPr>
      </w:pPr>
      <w:bookmarkStart w:id="28" w:name="_Toc15377210"/>
      <w:r>
        <w:rPr>
          <w:rFonts w:hint="eastAsia" w:ascii="仿宋" w:hAnsi="仿宋" w:eastAsia="仿宋"/>
          <w:b/>
          <w:sz w:val="32"/>
          <w:szCs w:val="32"/>
        </w:rPr>
        <w:t>（一）一般公共预算财政拨款支出决算总体情况</w:t>
      </w:r>
      <w:bookmarkEnd w:id="28"/>
    </w:p>
    <w:p w14:paraId="0F55D794">
      <w:pPr>
        <w:spacing w:line="600" w:lineRule="exact"/>
        <w:ind w:firstLine="640"/>
        <w:rPr>
          <w:rFonts w:hint="eastAsia" w:ascii="仿宋" w:hAnsi="仿宋" w:eastAsia="仿宋"/>
          <w:b/>
          <w:sz w:val="32"/>
          <w:szCs w:val="32"/>
          <w:lang w:eastAsia="zh-CN"/>
        </w:rPr>
      </w:pPr>
      <w:r>
        <w:rPr>
          <w:rFonts w:ascii="仿宋" w:hAnsi="仿宋" w:eastAsia="仿宋"/>
          <w:sz w:val="32"/>
          <w:szCs w:val="32"/>
        </w:rPr>
        <w:t>20</w:t>
      </w:r>
      <w:r>
        <w:rPr>
          <w:rFonts w:hint="eastAsia" w:ascii="仿宋" w:hAnsi="仿宋" w:eastAsia="仿宋"/>
          <w:sz w:val="32"/>
          <w:szCs w:val="32"/>
        </w:rPr>
        <w:t>21年一般公共预算财政拨款支出</w:t>
      </w:r>
      <w:r>
        <w:rPr>
          <w:rFonts w:hint="eastAsia" w:ascii="仿宋" w:hAnsi="仿宋" w:eastAsia="仿宋"/>
          <w:sz w:val="32"/>
          <w:szCs w:val="32"/>
          <w:lang w:val="en-US" w:eastAsia="zh-CN"/>
        </w:rPr>
        <w:t>1355.8</w:t>
      </w:r>
      <w:r>
        <w:rPr>
          <w:rFonts w:hint="eastAsia" w:ascii="仿宋" w:hAnsi="仿宋" w:eastAsia="仿宋"/>
          <w:sz w:val="32"/>
          <w:szCs w:val="32"/>
        </w:rPr>
        <w:t>万元，占本年支出合计的</w:t>
      </w:r>
      <w:r>
        <w:rPr>
          <w:rFonts w:hint="eastAsia" w:ascii="仿宋" w:hAnsi="仿宋" w:eastAsia="仿宋"/>
          <w:sz w:val="32"/>
          <w:szCs w:val="32"/>
          <w:lang w:val="en-US" w:eastAsia="zh-CN"/>
        </w:rPr>
        <w:t>100</w:t>
      </w:r>
      <w:r>
        <w:rPr>
          <w:rFonts w:ascii="仿宋" w:hAnsi="仿宋" w:eastAsia="仿宋"/>
          <w:sz w:val="32"/>
          <w:szCs w:val="32"/>
        </w:rPr>
        <w:t>%</w:t>
      </w:r>
      <w:r>
        <w:rPr>
          <w:rFonts w:hint="eastAsia" w:ascii="仿宋" w:hAnsi="仿宋" w:eastAsia="仿宋"/>
          <w:sz w:val="32"/>
          <w:szCs w:val="32"/>
        </w:rPr>
        <w:t>。与</w:t>
      </w:r>
      <w:r>
        <w:rPr>
          <w:rFonts w:ascii="仿宋" w:hAnsi="仿宋" w:eastAsia="仿宋"/>
          <w:sz w:val="32"/>
          <w:szCs w:val="32"/>
        </w:rPr>
        <w:t>20</w:t>
      </w:r>
      <w:r>
        <w:rPr>
          <w:rFonts w:hint="eastAsia" w:ascii="仿宋" w:hAnsi="仿宋" w:eastAsia="仿宋"/>
          <w:sz w:val="32"/>
          <w:szCs w:val="32"/>
        </w:rPr>
        <w:t>20年</w:t>
      </w:r>
      <w:r>
        <w:rPr>
          <w:rFonts w:hint="eastAsia" w:ascii="仿宋" w:hAnsi="仿宋" w:eastAsia="仿宋"/>
          <w:sz w:val="32"/>
          <w:szCs w:val="32"/>
          <w:lang w:val="en-US" w:eastAsia="zh-CN"/>
        </w:rPr>
        <w:t>1401.91</w:t>
      </w:r>
      <w:r>
        <w:rPr>
          <w:rFonts w:hint="eastAsia" w:ascii="仿宋" w:hAnsi="仿宋" w:eastAsia="仿宋"/>
          <w:sz w:val="32"/>
          <w:szCs w:val="32"/>
          <w:lang w:eastAsia="zh-CN"/>
        </w:rPr>
        <w:t>万元</w:t>
      </w:r>
      <w:r>
        <w:rPr>
          <w:rFonts w:hint="eastAsia" w:ascii="仿宋" w:hAnsi="仿宋" w:eastAsia="仿宋"/>
          <w:sz w:val="32"/>
          <w:szCs w:val="32"/>
        </w:rPr>
        <w:t>相比，一般公共预算财政拨款支出</w:t>
      </w:r>
      <w:r>
        <w:rPr>
          <w:rFonts w:hint="eastAsia" w:ascii="仿宋" w:hAnsi="仿宋" w:eastAsia="仿宋"/>
          <w:sz w:val="32"/>
          <w:szCs w:val="32"/>
          <w:lang w:val="en-US" w:eastAsia="zh-CN"/>
        </w:rPr>
        <w:t>减少46.11</w:t>
      </w:r>
      <w:r>
        <w:rPr>
          <w:rFonts w:hint="eastAsia" w:ascii="仿宋" w:hAnsi="仿宋" w:eastAsia="仿宋"/>
          <w:sz w:val="32"/>
          <w:szCs w:val="32"/>
        </w:rPr>
        <w:t>万元，</w:t>
      </w:r>
      <w:r>
        <w:rPr>
          <w:rFonts w:hint="eastAsia" w:ascii="仿宋" w:hAnsi="仿宋" w:eastAsia="仿宋"/>
          <w:sz w:val="32"/>
          <w:szCs w:val="32"/>
          <w:lang w:val="en-US" w:eastAsia="zh-CN"/>
        </w:rPr>
        <w:t>下降3.29</w:t>
      </w:r>
      <w:r>
        <w:rPr>
          <w:rFonts w:ascii="仿宋" w:hAnsi="仿宋" w:eastAsia="仿宋"/>
          <w:sz w:val="32"/>
          <w:szCs w:val="32"/>
        </w:rPr>
        <w:t>%</w:t>
      </w:r>
      <w:r>
        <w:rPr>
          <w:rFonts w:hint="eastAsia" w:ascii="仿宋" w:hAnsi="仿宋" w:eastAsia="仿宋"/>
          <w:sz w:val="32"/>
          <w:szCs w:val="32"/>
        </w:rPr>
        <w:t>。主要变动原因是项目支出</w:t>
      </w:r>
      <w:r>
        <w:rPr>
          <w:rFonts w:hint="eastAsia" w:ascii="仿宋" w:hAnsi="仿宋" w:eastAsia="仿宋"/>
          <w:sz w:val="32"/>
          <w:szCs w:val="32"/>
          <w:lang w:val="en-US" w:eastAsia="zh-CN"/>
        </w:rPr>
        <w:t>减少</w:t>
      </w:r>
      <w:r>
        <w:rPr>
          <w:rFonts w:hint="eastAsia" w:ascii="仿宋" w:hAnsi="仿宋" w:eastAsia="仿宋"/>
          <w:sz w:val="32"/>
          <w:szCs w:val="32"/>
        </w:rPr>
        <w:t>加。</w:t>
      </w:r>
    </w:p>
    <w:p w14:paraId="1AE35CE3">
      <w:pPr>
        <w:spacing w:line="600" w:lineRule="exact"/>
        <w:ind w:firstLine="643" w:firstLineChars="200"/>
        <w:outlineLvl w:val="2"/>
        <w:rPr>
          <w:rFonts w:ascii="仿宋" w:hAnsi="仿宋" w:eastAsia="仿宋"/>
          <w:b/>
          <w:sz w:val="32"/>
          <w:szCs w:val="32"/>
        </w:rPr>
      </w:pPr>
      <w:bookmarkStart w:id="29" w:name="_Toc15377211"/>
      <w:r>
        <w:rPr>
          <w:rFonts w:hint="eastAsia" w:ascii="仿宋" w:hAnsi="仿宋" w:eastAsia="仿宋"/>
          <w:b/>
          <w:sz w:val="32"/>
          <w:szCs w:val="32"/>
          <w:lang w:eastAsia="zh-CN"/>
        </w:rPr>
        <w:drawing>
          <wp:anchor distT="0" distB="0" distL="114300" distR="114300" simplePos="0" relativeHeight="251663360" behindDoc="0" locked="0" layoutInCell="1" allowOverlap="1">
            <wp:simplePos x="0" y="0"/>
            <wp:positionH relativeFrom="column">
              <wp:posOffset>4445</wp:posOffset>
            </wp:positionH>
            <wp:positionV relativeFrom="paragraph">
              <wp:posOffset>108585</wp:posOffset>
            </wp:positionV>
            <wp:extent cx="5080000" cy="2391410"/>
            <wp:effectExtent l="4445" t="4445" r="20955" b="23495"/>
            <wp:wrapTopAndBottom/>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hint="eastAsia" w:ascii="仿宋" w:hAnsi="仿宋" w:eastAsia="仿宋"/>
          <w:b/>
          <w:sz w:val="32"/>
          <w:szCs w:val="32"/>
        </w:rPr>
        <w:t>（二）一般公共预算财政拨款支出决算结构情况</w:t>
      </w:r>
      <w:bookmarkEnd w:id="29"/>
    </w:p>
    <w:p w14:paraId="24105DD2">
      <w:pPr>
        <w:spacing w:line="600" w:lineRule="exact"/>
        <w:ind w:firstLine="640"/>
        <w:rPr>
          <w:rFonts w:ascii="仿宋" w:hAnsi="仿宋" w:eastAsia="仿宋"/>
          <w:sz w:val="32"/>
          <w:szCs w:val="32"/>
        </w:rPr>
      </w:pPr>
      <w:r>
        <w:rPr>
          <w:rFonts w:hint="eastAsia" w:ascii="仿宋" w:hAnsi="仿宋" w:eastAsia="仿宋"/>
          <w:b/>
          <w:sz w:val="32"/>
          <w:szCs w:val="32"/>
        </w:rPr>
        <w:drawing>
          <wp:anchor distT="0" distB="0" distL="114300" distR="114300" simplePos="0" relativeHeight="251664384" behindDoc="0" locked="0" layoutInCell="1" allowOverlap="1">
            <wp:simplePos x="0" y="0"/>
            <wp:positionH relativeFrom="column">
              <wp:posOffset>52070</wp:posOffset>
            </wp:positionH>
            <wp:positionV relativeFrom="paragraph">
              <wp:posOffset>956945</wp:posOffset>
            </wp:positionV>
            <wp:extent cx="5080000" cy="2524125"/>
            <wp:effectExtent l="4445" t="4445" r="20955" b="5080"/>
            <wp:wrapTopAndBottom/>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ascii="仿宋" w:hAnsi="仿宋" w:eastAsia="仿宋"/>
          <w:sz w:val="32"/>
          <w:szCs w:val="32"/>
        </w:rPr>
        <w:t>20</w:t>
      </w:r>
      <w:r>
        <w:rPr>
          <w:rFonts w:hint="eastAsia" w:ascii="仿宋" w:hAnsi="仿宋" w:eastAsia="仿宋"/>
          <w:sz w:val="32"/>
          <w:szCs w:val="32"/>
        </w:rPr>
        <w:t>21年一般公共预算财政拨款支出</w:t>
      </w:r>
      <w:r>
        <w:rPr>
          <w:rFonts w:hint="eastAsia" w:ascii="仿宋" w:hAnsi="仿宋" w:eastAsia="仿宋"/>
          <w:sz w:val="32"/>
          <w:szCs w:val="32"/>
          <w:lang w:val="en-US" w:eastAsia="zh-CN"/>
        </w:rPr>
        <w:t>1355.80</w:t>
      </w:r>
      <w:r>
        <w:rPr>
          <w:rFonts w:hint="eastAsia" w:ascii="仿宋" w:hAnsi="仿宋" w:eastAsia="仿宋"/>
          <w:sz w:val="32"/>
          <w:szCs w:val="32"/>
        </w:rPr>
        <w:t>万元，主要用于以下方面</w:t>
      </w:r>
      <w:r>
        <w:rPr>
          <w:rFonts w:ascii="仿宋" w:hAnsi="仿宋" w:eastAsia="仿宋"/>
          <w:sz w:val="32"/>
          <w:szCs w:val="32"/>
        </w:rPr>
        <w:t>:</w:t>
      </w:r>
      <w:r>
        <w:rPr>
          <w:rFonts w:hint="eastAsia" w:ascii="仿宋" w:hAnsi="仿宋" w:eastAsia="仿宋"/>
          <w:b/>
          <w:sz w:val="32"/>
          <w:szCs w:val="32"/>
        </w:rPr>
        <w:t>教育支出（类）</w:t>
      </w:r>
      <w:r>
        <w:rPr>
          <w:rFonts w:hint="eastAsia" w:ascii="仿宋" w:hAnsi="仿宋" w:eastAsia="仿宋"/>
          <w:b/>
          <w:sz w:val="32"/>
          <w:szCs w:val="32"/>
          <w:lang w:val="en-US" w:eastAsia="zh-CN"/>
        </w:rPr>
        <w:t>1355.80</w:t>
      </w:r>
      <w:r>
        <w:rPr>
          <w:rFonts w:hint="eastAsia" w:ascii="仿宋" w:hAnsi="仿宋" w:eastAsia="仿宋"/>
          <w:sz w:val="32"/>
          <w:szCs w:val="32"/>
        </w:rPr>
        <w:t>万元，占100</w:t>
      </w:r>
      <w:r>
        <w:rPr>
          <w:rFonts w:ascii="仿宋" w:hAnsi="仿宋" w:eastAsia="仿宋"/>
          <w:sz w:val="32"/>
          <w:szCs w:val="32"/>
        </w:rPr>
        <w:t>%</w:t>
      </w:r>
      <w:r>
        <w:rPr>
          <w:rFonts w:hint="eastAsia" w:ascii="仿宋" w:hAnsi="仿宋" w:eastAsia="仿宋"/>
          <w:sz w:val="32"/>
          <w:szCs w:val="32"/>
        </w:rPr>
        <w:t>。</w:t>
      </w:r>
    </w:p>
    <w:p w14:paraId="410D6ECC">
      <w:pPr>
        <w:spacing w:line="600" w:lineRule="exact"/>
        <w:rPr>
          <w:rFonts w:ascii="仿宋" w:hAnsi="仿宋" w:eastAsia="仿宋"/>
          <w:b/>
          <w:sz w:val="32"/>
          <w:szCs w:val="32"/>
        </w:rPr>
      </w:pPr>
      <w:bookmarkStart w:id="30" w:name="_Toc15377212"/>
      <w:r>
        <w:rPr>
          <w:rFonts w:hint="eastAsia" w:ascii="仿宋" w:hAnsi="仿宋" w:eastAsia="仿宋"/>
          <w:b/>
          <w:sz w:val="32"/>
          <w:szCs w:val="32"/>
        </w:rPr>
        <w:t>（三）一般公共预算财政拨款支出决算具体情况</w:t>
      </w:r>
      <w:bookmarkEnd w:id="30"/>
    </w:p>
    <w:p w14:paraId="6AC306E7">
      <w:pPr>
        <w:spacing w:line="600" w:lineRule="exact"/>
        <w:ind w:firstLine="643" w:firstLineChars="200"/>
        <w:outlineLvl w:val="2"/>
        <w:rPr>
          <w:rFonts w:ascii="仿宋" w:hAnsi="仿宋" w:eastAsia="仿宋"/>
          <w:sz w:val="32"/>
          <w:szCs w:val="32"/>
        </w:rPr>
      </w:pPr>
      <w:bookmarkStart w:id="31" w:name="_Toc15377444"/>
      <w:bookmarkStart w:id="32" w:name="_Toc15377213"/>
      <w:bookmarkStart w:id="33" w:name="_Toc15378460"/>
      <w:r>
        <w:rPr>
          <w:rFonts w:hint="eastAsia" w:ascii="仿宋" w:hAnsi="仿宋" w:eastAsia="仿宋"/>
          <w:b/>
          <w:sz w:val="32"/>
          <w:szCs w:val="32"/>
        </w:rPr>
        <w:t>2021年一般公共预算支出决算数为</w:t>
      </w:r>
      <w:r>
        <w:rPr>
          <w:rFonts w:hint="eastAsia" w:ascii="仿宋" w:hAnsi="仿宋" w:eastAsia="仿宋"/>
          <w:b/>
          <w:sz w:val="32"/>
          <w:szCs w:val="32"/>
          <w:lang w:val="en-US" w:eastAsia="zh-CN"/>
        </w:rPr>
        <w:t>1355.8万元</w:t>
      </w:r>
      <w:r>
        <w:rPr>
          <w:rFonts w:hint="eastAsia" w:ascii="仿宋" w:hAnsi="仿宋" w:eastAsia="仿宋"/>
          <w:sz w:val="32"/>
          <w:szCs w:val="32"/>
        </w:rPr>
        <w:t>，</w:t>
      </w:r>
      <w:r>
        <w:rPr>
          <w:rStyle w:val="19"/>
          <w:rFonts w:hint="eastAsia" w:ascii="仿宋" w:hAnsi="仿宋" w:eastAsia="仿宋"/>
          <w:bCs/>
          <w:sz w:val="32"/>
          <w:szCs w:val="32"/>
        </w:rPr>
        <w:t>完成预算100</w:t>
      </w:r>
      <w:r>
        <w:rPr>
          <w:rStyle w:val="19"/>
          <w:rFonts w:ascii="仿宋" w:hAnsi="仿宋" w:eastAsia="仿宋"/>
          <w:bCs/>
          <w:sz w:val="32"/>
          <w:szCs w:val="32"/>
        </w:rPr>
        <w:t>%</w:t>
      </w:r>
      <w:r>
        <w:rPr>
          <w:rStyle w:val="19"/>
          <w:rFonts w:hint="eastAsia" w:ascii="仿宋" w:hAnsi="仿宋" w:eastAsia="仿宋"/>
          <w:bCs/>
          <w:sz w:val="32"/>
          <w:szCs w:val="32"/>
        </w:rPr>
        <w:t>。其中：</w:t>
      </w:r>
      <w:bookmarkEnd w:id="31"/>
      <w:bookmarkEnd w:id="32"/>
      <w:bookmarkEnd w:id="33"/>
    </w:p>
    <w:p w14:paraId="476A8B3C">
      <w:pPr>
        <w:spacing w:line="600" w:lineRule="exact"/>
        <w:ind w:firstLine="643" w:firstLineChars="200"/>
        <w:rPr>
          <w:rFonts w:ascii="仿宋" w:hAnsi="仿宋" w:eastAsia="仿宋"/>
          <w:b/>
          <w:color w:val="auto"/>
          <w:sz w:val="32"/>
          <w:szCs w:val="32"/>
          <w:highlight w:val="none"/>
        </w:rPr>
      </w:pPr>
      <w:r>
        <w:rPr>
          <w:rStyle w:val="19"/>
          <w:rFonts w:hint="eastAsia" w:ascii="仿宋" w:hAnsi="仿宋" w:eastAsia="仿宋"/>
          <w:bCs/>
          <w:sz w:val="32"/>
          <w:szCs w:val="32"/>
        </w:rPr>
        <w:t>1.教育205（类）普通教育02（款）</w:t>
      </w:r>
      <w:r>
        <w:rPr>
          <w:rStyle w:val="19"/>
          <w:rFonts w:hint="eastAsia" w:ascii="仿宋" w:hAnsi="仿宋" w:eastAsia="仿宋"/>
          <w:bCs/>
          <w:sz w:val="32"/>
          <w:szCs w:val="32"/>
          <w:lang w:val="en-US" w:eastAsia="zh-CN"/>
        </w:rPr>
        <w:t>初中</w:t>
      </w:r>
      <w:r>
        <w:rPr>
          <w:rStyle w:val="19"/>
          <w:rFonts w:hint="eastAsia" w:ascii="仿宋" w:hAnsi="仿宋" w:eastAsia="仿宋"/>
          <w:bCs/>
          <w:sz w:val="32"/>
          <w:szCs w:val="32"/>
        </w:rPr>
        <w:t>教育0</w:t>
      </w:r>
      <w:r>
        <w:rPr>
          <w:rStyle w:val="19"/>
          <w:rFonts w:hint="eastAsia" w:ascii="仿宋" w:hAnsi="仿宋" w:eastAsia="仿宋"/>
          <w:bCs/>
          <w:sz w:val="32"/>
          <w:szCs w:val="32"/>
          <w:lang w:val="en-US" w:eastAsia="zh-CN"/>
        </w:rPr>
        <w:t>3</w:t>
      </w:r>
      <w:r>
        <w:rPr>
          <w:rStyle w:val="19"/>
          <w:rFonts w:hint="eastAsia" w:ascii="仿宋" w:hAnsi="仿宋" w:eastAsia="仿宋"/>
          <w:bCs/>
          <w:sz w:val="32"/>
          <w:szCs w:val="32"/>
        </w:rPr>
        <w:t>（项）</w:t>
      </w:r>
      <w:r>
        <w:rPr>
          <w:rStyle w:val="19"/>
          <w:rFonts w:ascii="仿宋" w:hAnsi="仿宋" w:eastAsia="仿宋"/>
          <w:bCs/>
          <w:sz w:val="32"/>
          <w:szCs w:val="32"/>
        </w:rPr>
        <w:t>:</w:t>
      </w:r>
      <w:r>
        <w:rPr>
          <w:rStyle w:val="19"/>
          <w:rFonts w:ascii="仿宋" w:hAnsi="仿宋" w:eastAsia="仿宋"/>
          <w:b w:val="0"/>
          <w:bCs/>
          <w:sz w:val="32"/>
          <w:szCs w:val="32"/>
        </w:rPr>
        <w:t xml:space="preserve"> </w:t>
      </w:r>
      <w:r>
        <w:rPr>
          <w:rStyle w:val="19"/>
          <w:rFonts w:hint="eastAsia" w:ascii="仿宋" w:hAnsi="仿宋" w:eastAsia="仿宋"/>
          <w:b w:val="0"/>
          <w:bCs/>
          <w:sz w:val="32"/>
          <w:szCs w:val="32"/>
        </w:rPr>
        <w:t>支出决算为</w:t>
      </w:r>
      <w:r>
        <w:rPr>
          <w:rStyle w:val="19"/>
          <w:rFonts w:hint="eastAsia" w:ascii="仿宋" w:hAnsi="仿宋" w:eastAsia="仿宋"/>
          <w:b w:val="0"/>
          <w:bCs/>
          <w:sz w:val="32"/>
          <w:szCs w:val="32"/>
          <w:lang w:val="en-US" w:eastAsia="zh-CN"/>
        </w:rPr>
        <w:t>1209.8</w:t>
      </w:r>
      <w:r>
        <w:rPr>
          <w:rStyle w:val="19"/>
          <w:rFonts w:hint="eastAsia" w:ascii="仿宋" w:hAnsi="仿宋" w:eastAsia="仿宋"/>
          <w:b w:val="0"/>
          <w:bCs/>
          <w:sz w:val="32"/>
          <w:szCs w:val="32"/>
        </w:rPr>
        <w:t>万元，完成预算100</w:t>
      </w:r>
      <w:r>
        <w:rPr>
          <w:rStyle w:val="19"/>
          <w:rFonts w:ascii="仿宋" w:hAnsi="仿宋" w:eastAsia="仿宋"/>
          <w:b w:val="0"/>
          <w:bCs/>
          <w:sz w:val="32"/>
          <w:szCs w:val="32"/>
        </w:rPr>
        <w:t>%</w:t>
      </w:r>
      <w:r>
        <w:rPr>
          <w:rStyle w:val="19"/>
          <w:rFonts w:hint="eastAsia" w:ascii="仿宋" w:hAnsi="仿宋" w:eastAsia="仿宋"/>
          <w:b w:val="0"/>
          <w:bCs/>
          <w:sz w:val="32"/>
          <w:szCs w:val="32"/>
          <w:lang w:eastAsia="zh-CN"/>
        </w:rPr>
        <w:t>，</w:t>
      </w:r>
      <w:r>
        <w:rPr>
          <w:rStyle w:val="19"/>
          <w:rFonts w:hint="eastAsia" w:ascii="仿宋" w:hAnsi="仿宋" w:eastAsia="仿宋"/>
          <w:b w:val="0"/>
          <w:bCs/>
          <w:color w:val="auto"/>
          <w:sz w:val="32"/>
          <w:szCs w:val="32"/>
          <w:highlight w:val="none"/>
        </w:rPr>
        <w:t>决算数等于预算数。</w:t>
      </w:r>
    </w:p>
    <w:p w14:paraId="15956799">
      <w:pPr>
        <w:spacing w:line="600" w:lineRule="exact"/>
        <w:ind w:firstLine="643" w:firstLineChars="200"/>
        <w:rPr>
          <w:rStyle w:val="19"/>
          <w:rFonts w:ascii="仿宋" w:hAnsi="仿宋" w:eastAsia="仿宋"/>
          <w:b w:val="0"/>
          <w:bCs/>
          <w:sz w:val="32"/>
          <w:szCs w:val="32"/>
        </w:rPr>
      </w:pPr>
      <w:r>
        <w:rPr>
          <w:rStyle w:val="19"/>
          <w:rFonts w:hint="eastAsia" w:ascii="仿宋" w:hAnsi="仿宋" w:eastAsia="仿宋"/>
          <w:bCs/>
          <w:sz w:val="32"/>
          <w:szCs w:val="32"/>
        </w:rPr>
        <w:t>2</w:t>
      </w:r>
      <w:r>
        <w:rPr>
          <w:rStyle w:val="19"/>
          <w:rFonts w:ascii="仿宋" w:hAnsi="仿宋" w:eastAsia="仿宋"/>
          <w:bCs/>
          <w:sz w:val="32"/>
          <w:szCs w:val="32"/>
        </w:rPr>
        <w:t>.</w:t>
      </w:r>
      <w:r>
        <w:rPr>
          <w:rStyle w:val="19"/>
          <w:rFonts w:hint="eastAsia" w:ascii="仿宋" w:hAnsi="仿宋" w:eastAsia="仿宋"/>
          <w:bCs/>
          <w:sz w:val="32"/>
          <w:szCs w:val="32"/>
        </w:rPr>
        <w:t>教育205（类）普通教育02（款）</w:t>
      </w:r>
      <w:r>
        <w:rPr>
          <w:rStyle w:val="19"/>
          <w:rFonts w:hint="eastAsia" w:ascii="仿宋" w:hAnsi="仿宋" w:eastAsia="仿宋"/>
          <w:bCs/>
          <w:sz w:val="32"/>
          <w:szCs w:val="32"/>
          <w:lang w:eastAsia="zh-CN"/>
        </w:rPr>
        <w:t>其他</w:t>
      </w:r>
      <w:r>
        <w:rPr>
          <w:rStyle w:val="19"/>
          <w:rFonts w:hint="eastAsia" w:ascii="仿宋" w:hAnsi="仿宋" w:eastAsia="仿宋"/>
          <w:bCs/>
          <w:sz w:val="32"/>
          <w:szCs w:val="32"/>
          <w:lang w:val="en-US" w:eastAsia="zh-CN"/>
        </w:rPr>
        <w:t>普通</w:t>
      </w:r>
      <w:r>
        <w:rPr>
          <w:rStyle w:val="19"/>
          <w:rFonts w:hint="eastAsia" w:ascii="仿宋" w:hAnsi="仿宋" w:eastAsia="仿宋"/>
          <w:bCs/>
          <w:sz w:val="32"/>
          <w:szCs w:val="32"/>
        </w:rPr>
        <w:t>教育</w:t>
      </w:r>
      <w:r>
        <w:rPr>
          <w:rStyle w:val="19"/>
          <w:rFonts w:hint="eastAsia" w:ascii="仿宋" w:hAnsi="仿宋" w:eastAsia="仿宋"/>
          <w:bCs/>
          <w:sz w:val="32"/>
          <w:szCs w:val="32"/>
          <w:lang w:val="en-US" w:eastAsia="zh-CN"/>
        </w:rPr>
        <w:t>99</w:t>
      </w:r>
      <w:r>
        <w:rPr>
          <w:rStyle w:val="19"/>
          <w:rFonts w:hint="eastAsia" w:ascii="仿宋" w:hAnsi="仿宋" w:eastAsia="仿宋"/>
          <w:bCs/>
          <w:sz w:val="32"/>
          <w:szCs w:val="32"/>
        </w:rPr>
        <w:t>（项）</w:t>
      </w:r>
      <w:r>
        <w:rPr>
          <w:rStyle w:val="19"/>
          <w:rFonts w:ascii="仿宋" w:hAnsi="仿宋" w:eastAsia="仿宋"/>
          <w:bCs/>
          <w:sz w:val="32"/>
          <w:szCs w:val="32"/>
        </w:rPr>
        <w:t>:</w:t>
      </w:r>
      <w:r>
        <w:rPr>
          <w:rStyle w:val="19"/>
          <w:rFonts w:ascii="仿宋" w:hAnsi="仿宋" w:eastAsia="仿宋"/>
          <w:b w:val="0"/>
          <w:bCs/>
          <w:sz w:val="32"/>
          <w:szCs w:val="32"/>
        </w:rPr>
        <w:t xml:space="preserve"> </w:t>
      </w:r>
      <w:r>
        <w:rPr>
          <w:rStyle w:val="19"/>
          <w:rFonts w:hint="eastAsia" w:ascii="仿宋" w:hAnsi="仿宋" w:eastAsia="仿宋"/>
          <w:b w:val="0"/>
          <w:bCs/>
          <w:sz w:val="32"/>
          <w:szCs w:val="32"/>
        </w:rPr>
        <w:t>支出决算为</w:t>
      </w:r>
      <w:r>
        <w:rPr>
          <w:rStyle w:val="19"/>
          <w:rFonts w:hint="eastAsia" w:ascii="仿宋" w:hAnsi="仿宋" w:eastAsia="仿宋"/>
          <w:b w:val="0"/>
          <w:bCs/>
          <w:sz w:val="32"/>
          <w:szCs w:val="32"/>
          <w:lang w:val="en-US" w:eastAsia="zh-CN"/>
        </w:rPr>
        <w:t>146</w:t>
      </w:r>
      <w:r>
        <w:rPr>
          <w:rStyle w:val="19"/>
          <w:rFonts w:hint="eastAsia" w:ascii="仿宋" w:hAnsi="仿宋" w:eastAsia="仿宋"/>
          <w:b w:val="0"/>
          <w:bCs/>
          <w:sz w:val="32"/>
          <w:szCs w:val="32"/>
        </w:rPr>
        <w:t>万元，完成预算100</w:t>
      </w:r>
      <w:r>
        <w:rPr>
          <w:rStyle w:val="19"/>
          <w:rFonts w:ascii="仿宋" w:hAnsi="仿宋" w:eastAsia="仿宋"/>
          <w:b w:val="0"/>
          <w:bCs/>
          <w:sz w:val="32"/>
          <w:szCs w:val="32"/>
        </w:rPr>
        <w:t>%</w:t>
      </w:r>
      <w:r>
        <w:rPr>
          <w:rStyle w:val="19"/>
          <w:rFonts w:hint="eastAsia" w:ascii="仿宋" w:hAnsi="仿宋" w:eastAsia="仿宋"/>
          <w:b w:val="0"/>
          <w:bCs/>
          <w:sz w:val="32"/>
          <w:szCs w:val="32"/>
        </w:rPr>
        <w:t>。</w:t>
      </w:r>
      <w:r>
        <w:rPr>
          <w:rStyle w:val="19"/>
          <w:rFonts w:hint="eastAsia" w:ascii="仿宋" w:hAnsi="仿宋" w:eastAsia="仿宋"/>
          <w:b w:val="0"/>
          <w:bCs/>
          <w:sz w:val="32"/>
          <w:szCs w:val="32"/>
          <w:lang w:eastAsia="zh-CN"/>
        </w:rPr>
        <w:t>，</w:t>
      </w:r>
      <w:r>
        <w:rPr>
          <w:rStyle w:val="19"/>
          <w:rFonts w:hint="eastAsia" w:ascii="仿宋" w:hAnsi="仿宋" w:eastAsia="仿宋"/>
          <w:b w:val="0"/>
          <w:bCs/>
          <w:color w:val="auto"/>
          <w:sz w:val="32"/>
          <w:szCs w:val="32"/>
          <w:highlight w:val="none"/>
        </w:rPr>
        <w:t>决算数等于预算数。</w:t>
      </w:r>
    </w:p>
    <w:p w14:paraId="390AF88F">
      <w:pPr>
        <w:pStyle w:val="16"/>
      </w:pPr>
    </w:p>
    <w:p w14:paraId="61299493">
      <w:pPr>
        <w:tabs>
          <w:tab w:val="right" w:pos="8306"/>
        </w:tabs>
        <w:spacing w:line="600" w:lineRule="exact"/>
        <w:ind w:firstLine="640"/>
        <w:outlineLvl w:val="1"/>
        <w:rPr>
          <w:rStyle w:val="30"/>
        </w:rPr>
      </w:pPr>
      <w:bookmarkStart w:id="34" w:name="_Toc15396608"/>
      <w:bookmarkStart w:id="35" w:name="_Toc15377214"/>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30"/>
          <w:rFonts w:hint="eastAsia" w:ascii="黑体" w:hAnsi="黑体" w:eastAsia="黑体"/>
          <w:b w:val="0"/>
        </w:rPr>
        <w:t>般公共预算财政拨款基本支出决算情况说明</w:t>
      </w:r>
      <w:bookmarkEnd w:id="34"/>
      <w:bookmarkEnd w:id="35"/>
      <w:r>
        <w:rPr>
          <w:rStyle w:val="30"/>
          <w:rFonts w:ascii="黑体" w:hAnsi="黑体" w:eastAsia="黑体"/>
          <w:b w:val="0"/>
        </w:rPr>
        <w:tab/>
      </w:r>
    </w:p>
    <w:p w14:paraId="3D84A66D">
      <w:pPr>
        <w:spacing w:line="600" w:lineRule="exact"/>
        <w:ind w:firstLine="645"/>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21年一般公共预算财政拨款基本支出</w:t>
      </w:r>
      <w:r>
        <w:rPr>
          <w:rFonts w:hint="eastAsia" w:ascii="仿宋" w:hAnsi="仿宋" w:eastAsia="仿宋"/>
          <w:sz w:val="32"/>
          <w:szCs w:val="32"/>
          <w:lang w:val="en-US" w:eastAsia="zh-CN"/>
        </w:rPr>
        <w:t>1209.80</w:t>
      </w:r>
      <w:r>
        <w:rPr>
          <w:rFonts w:hint="eastAsia" w:ascii="仿宋" w:hAnsi="仿宋" w:eastAsia="仿宋"/>
          <w:sz w:val="32"/>
          <w:szCs w:val="32"/>
        </w:rPr>
        <w:t>万元，其中：</w:t>
      </w:r>
    </w:p>
    <w:p w14:paraId="02494CBC">
      <w:pPr>
        <w:spacing w:line="600" w:lineRule="exact"/>
        <w:ind w:firstLine="645"/>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1046.89</w:t>
      </w:r>
      <w:r>
        <w:rPr>
          <w:rFonts w:hint="eastAsia" w:ascii="仿宋" w:hAnsi="仿宋" w:eastAsia="仿宋"/>
          <w:sz w:val="32"/>
          <w:szCs w:val="32"/>
        </w:rPr>
        <w:t>万元，主要包括：基本工资、津贴补贴、绩效工资、机关事业单位基本养老保险缴费、职业年金缴费、职工基本医疗保险缴费</w:t>
      </w:r>
      <w:r>
        <w:rPr>
          <w:rFonts w:hint="eastAsia" w:ascii="仿宋" w:hAnsi="仿宋" w:eastAsia="仿宋"/>
          <w:sz w:val="32"/>
          <w:szCs w:val="32"/>
          <w:lang w:eastAsia="zh-CN"/>
        </w:rPr>
        <w:t>、</w:t>
      </w:r>
      <w:r>
        <w:rPr>
          <w:rFonts w:hint="eastAsia" w:ascii="仿宋" w:hAnsi="仿宋" w:eastAsia="仿宋"/>
          <w:sz w:val="32"/>
          <w:szCs w:val="32"/>
        </w:rPr>
        <w:t>其他社会保障缴费、其他工资福利支出、生活补助、助学金</w:t>
      </w:r>
      <w:r>
        <w:rPr>
          <w:rFonts w:hint="eastAsia" w:ascii="仿宋" w:hAnsi="仿宋" w:eastAsia="仿宋"/>
          <w:sz w:val="32"/>
          <w:szCs w:val="32"/>
          <w:lang w:eastAsia="zh-CN"/>
        </w:rPr>
        <w:t>、</w:t>
      </w:r>
      <w:r>
        <w:rPr>
          <w:rFonts w:hint="eastAsia" w:ascii="仿宋" w:hAnsi="仿宋" w:eastAsia="仿宋"/>
          <w:sz w:val="32"/>
          <w:szCs w:val="32"/>
        </w:rPr>
        <w:t>奖励金、住房公积金、其他对个人和家庭的补助支出等。</w:t>
      </w:r>
    </w:p>
    <w:p w14:paraId="27D3EF5C">
      <w:pPr>
        <w:spacing w:line="600" w:lineRule="exact"/>
        <w:ind w:firstLine="645"/>
        <w:rPr>
          <w:rFonts w:ascii="仿宋" w:hAnsi="仿宋" w:eastAsia="仿宋"/>
          <w:b/>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162.91</w:t>
      </w:r>
      <w:r>
        <w:rPr>
          <w:rFonts w:hint="eastAsia" w:ascii="仿宋" w:hAnsi="仿宋" w:eastAsia="仿宋"/>
          <w:sz w:val="32"/>
          <w:szCs w:val="32"/>
        </w:rPr>
        <w:t>万元，主要包括：办公费、印刷费、手续费、水费、电费、邮电费、差旅费、维修（护）费、培训费、公务接待费、工会经费等。</w:t>
      </w:r>
    </w:p>
    <w:p w14:paraId="15D22FE8">
      <w:pPr>
        <w:spacing w:line="600" w:lineRule="exact"/>
        <w:ind w:firstLine="640"/>
        <w:outlineLvl w:val="1"/>
        <w:rPr>
          <w:rStyle w:val="30"/>
          <w:rFonts w:ascii="黑体" w:hAnsi="黑体" w:eastAsia="黑体"/>
          <w:b w:val="0"/>
        </w:rPr>
      </w:pPr>
      <w:bookmarkStart w:id="36" w:name="_Toc15396609"/>
      <w:bookmarkStart w:id="37" w:name="_Toc15377215"/>
      <w:r>
        <w:rPr>
          <w:rFonts w:hint="eastAsia" w:ascii="黑体" w:eastAsia="黑体"/>
          <w:sz w:val="32"/>
          <w:szCs w:val="32"/>
        </w:rPr>
        <w:t>七、</w:t>
      </w:r>
      <w:r>
        <w:rPr>
          <w:rStyle w:val="30"/>
          <w:rFonts w:hint="eastAsia" w:ascii="黑体" w:hAnsi="黑体" w:eastAsia="黑体"/>
        </w:rPr>
        <w:t>“</w:t>
      </w:r>
      <w:r>
        <w:rPr>
          <w:rStyle w:val="30"/>
          <w:rFonts w:hint="eastAsia" w:ascii="黑体" w:hAnsi="黑体" w:eastAsia="黑体"/>
          <w:b w:val="0"/>
        </w:rPr>
        <w:t>三公”经费财政拨款支出决算情况说明</w:t>
      </w:r>
      <w:bookmarkEnd w:id="36"/>
      <w:bookmarkEnd w:id="37"/>
    </w:p>
    <w:p w14:paraId="10EF07EC">
      <w:pPr>
        <w:spacing w:line="600" w:lineRule="exact"/>
        <w:ind w:firstLine="640"/>
        <w:outlineLvl w:val="2"/>
        <w:rPr>
          <w:rFonts w:ascii="仿宋" w:hAnsi="仿宋" w:eastAsia="仿宋"/>
          <w:b/>
          <w:sz w:val="32"/>
          <w:szCs w:val="32"/>
        </w:rPr>
      </w:pPr>
      <w:bookmarkStart w:id="38" w:name="_Toc15377216"/>
      <w:r>
        <w:rPr>
          <w:rFonts w:hint="eastAsia" w:ascii="仿宋" w:hAnsi="仿宋" w:eastAsia="仿宋"/>
          <w:b/>
          <w:sz w:val="32"/>
          <w:szCs w:val="32"/>
        </w:rPr>
        <w:t>（一）“三公”经费财政拨款支出决算总体情况说明</w:t>
      </w:r>
      <w:bookmarkEnd w:id="38"/>
    </w:p>
    <w:p w14:paraId="73856BC8">
      <w:pPr>
        <w:spacing w:line="600" w:lineRule="exact"/>
        <w:ind w:firstLine="640"/>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21年“三公”经费财政拨款支出决算为</w:t>
      </w:r>
      <w:r>
        <w:rPr>
          <w:rFonts w:hint="eastAsia" w:ascii="仿宋" w:hAnsi="仿宋" w:eastAsia="仿宋"/>
          <w:sz w:val="32"/>
          <w:szCs w:val="32"/>
          <w:lang w:val="en-US" w:eastAsia="zh-CN"/>
        </w:rPr>
        <w:t>0.40</w:t>
      </w:r>
      <w:r>
        <w:rPr>
          <w:rFonts w:hint="eastAsia" w:ascii="仿宋" w:hAnsi="仿宋" w:eastAsia="仿宋"/>
          <w:sz w:val="32"/>
          <w:szCs w:val="32"/>
        </w:rPr>
        <w:t>万元，完成预算</w:t>
      </w:r>
      <w:r>
        <w:rPr>
          <w:rFonts w:hint="eastAsia" w:ascii="仿宋" w:hAnsi="仿宋" w:eastAsia="仿宋"/>
          <w:sz w:val="32"/>
          <w:szCs w:val="32"/>
          <w:lang w:val="en-US" w:eastAsia="zh-CN"/>
        </w:rPr>
        <w:t>80.00</w:t>
      </w:r>
      <w:r>
        <w:rPr>
          <w:rFonts w:ascii="仿宋" w:hAnsi="仿宋" w:eastAsia="仿宋"/>
          <w:sz w:val="32"/>
          <w:szCs w:val="32"/>
        </w:rPr>
        <w:t>%</w:t>
      </w:r>
      <w:r>
        <w:rPr>
          <w:rFonts w:hint="eastAsia" w:ascii="仿宋" w:hAnsi="仿宋" w:eastAsia="仿宋"/>
          <w:sz w:val="32"/>
          <w:szCs w:val="32"/>
        </w:rPr>
        <w:t>，决算数小于预算数的主要原因</w:t>
      </w:r>
      <w:r>
        <w:rPr>
          <w:rFonts w:hint="eastAsia" w:ascii="仿宋" w:hAnsi="仿宋" w:eastAsia="仿宋"/>
          <w:color w:val="auto"/>
          <w:sz w:val="32"/>
          <w:szCs w:val="32"/>
          <w:highlight w:val="none"/>
        </w:rPr>
        <w:t>是</w:t>
      </w:r>
      <w:r>
        <w:rPr>
          <w:rFonts w:hint="eastAsia" w:ascii="仿宋" w:hAnsi="仿宋" w:eastAsia="仿宋"/>
          <w:color w:val="000000"/>
          <w:sz w:val="32"/>
          <w:szCs w:val="32"/>
          <w:lang w:eastAsia="zh-CN"/>
        </w:rPr>
        <w:t>认真贯彻落实中央八项规定精神，采取有效措施严格控制接待范围和接待标准</w:t>
      </w:r>
      <w:r>
        <w:rPr>
          <w:rFonts w:hint="eastAsia" w:ascii="仿宋" w:hAnsi="仿宋" w:eastAsia="仿宋"/>
          <w:color w:val="000000"/>
          <w:sz w:val="32"/>
          <w:szCs w:val="32"/>
        </w:rPr>
        <w:t>。</w:t>
      </w:r>
    </w:p>
    <w:p w14:paraId="1A377896">
      <w:pPr>
        <w:spacing w:line="600" w:lineRule="exact"/>
        <w:ind w:firstLine="640"/>
        <w:outlineLvl w:val="2"/>
        <w:rPr>
          <w:rFonts w:ascii="仿宋" w:hAnsi="仿宋" w:eastAsia="仿宋"/>
          <w:b/>
          <w:sz w:val="32"/>
          <w:szCs w:val="32"/>
        </w:rPr>
      </w:pPr>
      <w:bookmarkStart w:id="39" w:name="_Toc15377217"/>
      <w:r>
        <w:rPr>
          <w:rFonts w:hint="eastAsia" w:ascii="仿宋" w:hAnsi="仿宋" w:eastAsia="仿宋"/>
          <w:b/>
          <w:sz w:val="32"/>
          <w:szCs w:val="32"/>
        </w:rPr>
        <w:t>（二）“三公”经费财政拨款支出决算具体情况说明</w:t>
      </w:r>
      <w:bookmarkEnd w:id="39"/>
    </w:p>
    <w:p w14:paraId="506E9BE7">
      <w:pPr>
        <w:spacing w:line="600" w:lineRule="exact"/>
        <w:ind w:firstLine="640" w:firstLineChars="200"/>
        <w:rPr>
          <w:rFonts w:hint="eastAsia" w:ascii="仿宋" w:hAnsi="仿宋" w:eastAsia="仿宋"/>
          <w:b/>
          <w:sz w:val="32"/>
          <w:szCs w:val="32"/>
        </w:rPr>
      </w:pPr>
      <w:r>
        <w:rPr>
          <w:rFonts w:ascii="仿宋" w:hAnsi="仿宋" w:eastAsia="仿宋"/>
          <w:sz w:val="32"/>
          <w:szCs w:val="32"/>
        </w:rPr>
        <w:t>20</w:t>
      </w:r>
      <w:r>
        <w:rPr>
          <w:rFonts w:hint="eastAsia" w:ascii="仿宋" w:hAnsi="仿宋" w:eastAsia="仿宋"/>
          <w:sz w:val="32"/>
          <w:szCs w:val="32"/>
        </w:rPr>
        <w:t>21年“三公”经费财政拨款支出决算中，因公出国（境）费支出决算0万元</w:t>
      </w:r>
      <w:r>
        <w:rPr>
          <w:rFonts w:hint="eastAsia" w:ascii="仿宋" w:hAnsi="仿宋" w:eastAsia="仿宋"/>
          <w:color w:val="auto"/>
          <w:sz w:val="32"/>
          <w:szCs w:val="32"/>
        </w:rPr>
        <w:t>，当年未安排</w:t>
      </w:r>
      <w:r>
        <w:rPr>
          <w:rFonts w:hint="eastAsia" w:ascii="仿宋" w:hAnsi="仿宋" w:eastAsia="仿宋"/>
          <w:color w:val="auto"/>
          <w:sz w:val="32"/>
          <w:szCs w:val="32"/>
          <w:lang w:eastAsia="zh-CN"/>
        </w:rPr>
        <w:t>预算</w:t>
      </w:r>
      <w:r>
        <w:rPr>
          <w:rFonts w:hint="eastAsia" w:ascii="Times New Roman" w:hAnsi="Times New Roman" w:eastAsia="仿宋" w:cs="Times New Roman"/>
          <w:color w:val="auto"/>
          <w:sz w:val="32"/>
          <w:szCs w:val="32"/>
          <w:lang w:val="en-US" w:eastAsia="zh-CN"/>
        </w:rPr>
        <w:t>，与上年持平</w:t>
      </w:r>
      <w:r>
        <w:rPr>
          <w:rFonts w:hint="default" w:ascii="Times New Roman" w:hAnsi="Times New Roman" w:eastAsia="仿宋" w:cs="Times New Roman"/>
          <w:color w:val="auto"/>
          <w:sz w:val="32"/>
          <w:szCs w:val="32"/>
        </w:rPr>
        <w:t>；</w:t>
      </w:r>
      <w:r>
        <w:rPr>
          <w:rFonts w:hint="eastAsia" w:ascii="仿宋" w:hAnsi="仿宋" w:eastAsia="仿宋"/>
          <w:color w:val="auto"/>
          <w:sz w:val="32"/>
          <w:szCs w:val="32"/>
        </w:rPr>
        <w:t>公务用车购置及运行维护费支出决算0万元，当年未安排</w:t>
      </w:r>
      <w:r>
        <w:rPr>
          <w:rFonts w:hint="eastAsia" w:ascii="仿宋" w:hAnsi="仿宋" w:eastAsia="仿宋"/>
          <w:color w:val="auto"/>
          <w:sz w:val="32"/>
          <w:szCs w:val="32"/>
          <w:lang w:eastAsia="zh-CN"/>
        </w:rPr>
        <w:t>预算</w:t>
      </w:r>
      <w:r>
        <w:rPr>
          <w:rFonts w:hint="eastAsia" w:ascii="Times New Roman" w:hAnsi="Times New Roman" w:eastAsia="仿宋" w:cs="Times New Roman"/>
          <w:color w:val="auto"/>
          <w:sz w:val="32"/>
          <w:szCs w:val="32"/>
          <w:lang w:val="en-US" w:eastAsia="zh-CN"/>
        </w:rPr>
        <w:t>，与上年持平</w:t>
      </w:r>
      <w:r>
        <w:rPr>
          <w:rFonts w:hint="default" w:ascii="Times New Roman" w:hAnsi="Times New Roman" w:eastAsia="仿宋" w:cs="Times New Roman"/>
          <w:color w:val="auto"/>
          <w:sz w:val="32"/>
          <w:szCs w:val="32"/>
        </w:rPr>
        <w:t>；</w:t>
      </w:r>
      <w:r>
        <w:rPr>
          <w:rFonts w:hint="eastAsia" w:ascii="仿宋" w:hAnsi="仿宋" w:eastAsia="仿宋"/>
          <w:color w:val="auto"/>
          <w:sz w:val="32"/>
          <w:szCs w:val="32"/>
        </w:rPr>
        <w:t>公务接待费支出决算</w:t>
      </w:r>
      <w:r>
        <w:rPr>
          <w:rFonts w:hint="eastAsia" w:ascii="仿宋" w:hAnsi="仿宋" w:eastAsia="仿宋"/>
          <w:sz w:val="32"/>
          <w:szCs w:val="32"/>
          <w:lang w:val="en-US" w:eastAsia="zh-CN"/>
        </w:rPr>
        <w:t>0.4</w:t>
      </w:r>
      <w:r>
        <w:rPr>
          <w:rFonts w:hint="eastAsia" w:ascii="仿宋" w:hAnsi="仿宋" w:eastAsia="仿宋"/>
          <w:sz w:val="32"/>
          <w:szCs w:val="32"/>
        </w:rPr>
        <w:t>万元，占100</w:t>
      </w:r>
      <w:r>
        <w:rPr>
          <w:rFonts w:ascii="仿宋" w:hAnsi="仿宋" w:eastAsia="仿宋"/>
          <w:sz w:val="32"/>
          <w:szCs w:val="32"/>
        </w:rPr>
        <w:t>%</w:t>
      </w:r>
      <w:r>
        <w:rPr>
          <w:rFonts w:hint="eastAsia" w:ascii="仿宋" w:hAnsi="仿宋" w:eastAsia="仿宋"/>
          <w:sz w:val="32"/>
          <w:szCs w:val="32"/>
        </w:rPr>
        <w:t>。具体情况如下：</w:t>
      </w:r>
    </w:p>
    <w:p w14:paraId="42FF21B8">
      <w:pPr>
        <w:spacing w:line="600" w:lineRule="exact"/>
        <w:ind w:firstLine="640"/>
        <w:rPr>
          <w:rFonts w:hint="eastAsia" w:ascii="仿宋_GB2312" w:eastAsia="仿宋_GB2312" w:cs="仿宋_GB2312"/>
          <w:b/>
          <w:bCs w:val="0"/>
          <w:color w:val="auto"/>
          <w:sz w:val="32"/>
          <w:szCs w:val="32"/>
          <w:lang w:val="en-US"/>
        </w:rPr>
      </w:pPr>
      <w:r>
        <w:rPr>
          <w:rFonts w:hint="eastAsia" w:ascii="仿宋" w:hAnsi="仿宋" w:eastAsia="仿宋"/>
          <w:color w:val="auto"/>
          <w:sz w:val="32"/>
          <w:szCs w:val="32"/>
          <w:lang w:eastAsia="zh-CN"/>
        </w:rPr>
        <w:drawing>
          <wp:anchor distT="0" distB="0" distL="114300" distR="114300" simplePos="0" relativeHeight="251665408" behindDoc="0" locked="0" layoutInCell="1" allowOverlap="1">
            <wp:simplePos x="0" y="0"/>
            <wp:positionH relativeFrom="column">
              <wp:posOffset>1270</wp:posOffset>
            </wp:positionH>
            <wp:positionV relativeFrom="paragraph">
              <wp:posOffset>242570</wp:posOffset>
            </wp:positionV>
            <wp:extent cx="5080000" cy="2771775"/>
            <wp:effectExtent l="4445" t="4445" r="20955" b="5080"/>
            <wp:wrapTopAndBottom/>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hint="eastAsia" w:ascii="仿宋_GB2312" w:hAnsi="Times New Roman" w:eastAsia="仿宋_GB2312" w:cs="仿宋_GB2312"/>
          <w:b/>
          <w:bCs w:val="0"/>
          <w:color w:val="auto"/>
          <w:kern w:val="2"/>
          <w:sz w:val="32"/>
          <w:szCs w:val="32"/>
          <w:lang w:val="en-US" w:eastAsia="zh-CN" w:bidi="ar"/>
        </w:rPr>
        <w:t>1.因公出国（境）经费支出</w:t>
      </w:r>
      <w:r>
        <w:rPr>
          <w:rFonts w:hint="eastAsia" w:ascii="仿宋_GB2312" w:hAnsi="Times New Roman" w:eastAsia="仿宋_GB2312" w:cs="仿宋_GB2312"/>
          <w:color w:val="auto"/>
          <w:kern w:val="2"/>
          <w:sz w:val="32"/>
          <w:szCs w:val="32"/>
          <w:lang w:val="en-US" w:eastAsia="zh-CN" w:bidi="ar"/>
        </w:rPr>
        <w:t>0万元，</w:t>
      </w:r>
      <w:r>
        <w:rPr>
          <w:rStyle w:val="19"/>
          <w:rFonts w:hint="eastAsia" w:ascii="仿宋" w:hAnsi="仿宋" w:eastAsia="仿宋" w:cs="仿宋"/>
          <w:b w:val="0"/>
          <w:bCs/>
          <w:color w:val="auto"/>
          <w:kern w:val="2"/>
          <w:sz w:val="32"/>
          <w:szCs w:val="32"/>
          <w:lang w:val="en-US" w:eastAsia="zh-CN" w:bidi="ar"/>
        </w:rPr>
        <w:t>年初未安排预算，与上年数持平。</w:t>
      </w:r>
    </w:p>
    <w:p w14:paraId="76C69BC9">
      <w:pPr>
        <w:spacing w:line="600" w:lineRule="exact"/>
        <w:ind w:firstLine="640"/>
        <w:rPr>
          <w:rFonts w:hint="eastAsia" w:ascii="仿宋_GB2312" w:eastAsia="仿宋_GB2312" w:cs="仿宋_GB2312"/>
          <w:b/>
          <w:bCs w:val="0"/>
          <w:color w:val="auto"/>
          <w:sz w:val="32"/>
          <w:szCs w:val="32"/>
          <w:lang w:val="en-US"/>
        </w:rPr>
      </w:pPr>
      <w:r>
        <w:rPr>
          <w:rFonts w:hint="eastAsia" w:ascii="仿宋_GB2312" w:hAnsi="Times New Roman" w:eastAsia="仿宋_GB2312" w:cs="仿宋_GB2312"/>
          <w:b/>
          <w:bCs w:val="0"/>
          <w:color w:val="auto"/>
          <w:kern w:val="2"/>
          <w:sz w:val="32"/>
          <w:szCs w:val="32"/>
          <w:lang w:val="en-US" w:eastAsia="zh-CN" w:bidi="ar"/>
        </w:rPr>
        <w:t>2.公务用车购置及运行维护费支出</w:t>
      </w:r>
      <w:r>
        <w:rPr>
          <w:rFonts w:hint="eastAsia" w:ascii="仿宋_GB2312" w:hAnsi="Times New Roman" w:eastAsia="仿宋_GB2312" w:cs="仿宋_GB2312"/>
          <w:color w:val="auto"/>
          <w:kern w:val="2"/>
          <w:sz w:val="32"/>
          <w:szCs w:val="32"/>
          <w:lang w:val="en-US" w:eastAsia="zh-CN" w:bidi="ar"/>
        </w:rPr>
        <w:t>0万元,</w:t>
      </w:r>
      <w:r>
        <w:rPr>
          <w:rStyle w:val="19"/>
          <w:rFonts w:hint="eastAsia" w:ascii="仿宋" w:hAnsi="仿宋" w:eastAsia="仿宋" w:cs="仿宋"/>
          <w:b w:val="0"/>
          <w:bCs/>
          <w:color w:val="auto"/>
          <w:kern w:val="2"/>
          <w:sz w:val="32"/>
          <w:szCs w:val="32"/>
          <w:lang w:val="en-US" w:eastAsia="zh-CN" w:bidi="ar"/>
        </w:rPr>
        <w:t>年初未安排预算，与上年数持平。</w:t>
      </w:r>
    </w:p>
    <w:p w14:paraId="3775065E">
      <w:pPr>
        <w:keepNext w:val="0"/>
        <w:keepLines w:val="0"/>
        <w:widowControl w:val="0"/>
        <w:suppressLineNumbers w:val="0"/>
        <w:spacing w:before="0" w:beforeAutospacing="0" w:after="0" w:afterAutospacing="0" w:line="600" w:lineRule="exact"/>
        <w:ind w:left="0" w:right="0" w:firstLine="640"/>
        <w:jc w:val="both"/>
        <w:rPr>
          <w:rFonts w:hint="eastAsia" w:ascii="仿宋_GB2312" w:eastAsia="仿宋_GB2312" w:cs="仿宋_GB2312"/>
          <w:b/>
          <w:bCs w:val="0"/>
          <w:color w:val="FF0000"/>
          <w:sz w:val="32"/>
          <w:szCs w:val="32"/>
          <w:lang w:val="en-US"/>
        </w:rPr>
      </w:pPr>
    </w:p>
    <w:p w14:paraId="197185DB">
      <w:pPr>
        <w:keepNext w:val="0"/>
        <w:keepLines w:val="0"/>
        <w:widowControl w:val="0"/>
        <w:suppressLineNumbers w:val="0"/>
        <w:spacing w:before="0" w:beforeAutospacing="0" w:after="0" w:afterAutospacing="0" w:line="600" w:lineRule="exact"/>
        <w:ind w:right="0" w:firstLine="643" w:firstLineChars="200"/>
        <w:jc w:val="both"/>
        <w:rPr>
          <w:rFonts w:hint="eastAsia" w:ascii="仿宋_GB2312" w:eastAsia="仿宋_GB2312" w:cs="仿宋_GB2312"/>
          <w:bCs/>
          <w:color w:val="000000"/>
          <w:sz w:val="32"/>
          <w:szCs w:val="32"/>
          <w:lang w:val="en-US"/>
        </w:rPr>
      </w:pPr>
      <w:r>
        <w:rPr>
          <w:rFonts w:hint="eastAsia" w:ascii="仿宋_GB2312" w:hAnsi="Times New Roman" w:eastAsia="仿宋_GB2312" w:cs="仿宋_GB2312"/>
          <w:b/>
          <w:bCs/>
          <w:color w:val="000000"/>
          <w:kern w:val="2"/>
          <w:sz w:val="32"/>
          <w:szCs w:val="32"/>
          <w:lang w:val="en-US" w:eastAsia="zh-CN" w:bidi="ar"/>
        </w:rPr>
        <w:t>其中：</w:t>
      </w:r>
      <w:r>
        <w:rPr>
          <w:rFonts w:hint="eastAsia" w:ascii="仿宋_GB2312" w:hAnsi="Times New Roman" w:eastAsia="仿宋_GB2312" w:cs="仿宋_GB2312"/>
          <w:b/>
          <w:bCs w:val="0"/>
          <w:color w:val="000000"/>
          <w:kern w:val="2"/>
          <w:sz w:val="32"/>
          <w:szCs w:val="32"/>
          <w:lang w:val="en-US" w:eastAsia="zh-CN" w:bidi="ar"/>
        </w:rPr>
        <w:t>公务用车购置支出</w:t>
      </w:r>
      <w:r>
        <w:rPr>
          <w:rFonts w:hint="eastAsia" w:ascii="仿宋_GB2312" w:hAnsi="Times New Roman" w:eastAsia="仿宋_GB2312" w:cs="仿宋_GB2312"/>
          <w:bCs/>
          <w:color w:val="000000"/>
          <w:kern w:val="2"/>
          <w:sz w:val="32"/>
          <w:szCs w:val="32"/>
          <w:lang w:val="en-US" w:eastAsia="zh-CN" w:bidi="ar"/>
        </w:rPr>
        <w:t>0万元。</w:t>
      </w:r>
      <w:r>
        <w:rPr>
          <w:rFonts w:hint="eastAsia" w:ascii="仿宋_GB2312" w:eastAsia="仿宋_GB2312" w:cs="仿宋_GB2312"/>
          <w:bCs/>
          <w:color w:val="000000"/>
          <w:kern w:val="2"/>
          <w:sz w:val="32"/>
          <w:szCs w:val="32"/>
          <w:lang w:val="en-US" w:eastAsia="zh-CN" w:bidi="ar"/>
        </w:rPr>
        <w:t>全年按规定更新购置公务用车0辆，</w:t>
      </w:r>
      <w:r>
        <w:rPr>
          <w:rFonts w:hint="eastAsia" w:ascii="仿宋_GB2312" w:eastAsia="仿宋_GB2312" w:cs="仿宋_GB2312"/>
          <w:color w:val="000000"/>
          <w:kern w:val="2"/>
          <w:sz w:val="32"/>
          <w:szCs w:val="32"/>
          <w:lang w:val="en-US" w:eastAsia="zh-CN" w:bidi="ar"/>
        </w:rPr>
        <w:t>主要原因是我单位未购置公务用车。</w:t>
      </w:r>
      <w:r>
        <w:rPr>
          <w:rFonts w:hint="eastAsia" w:ascii="仿宋_GB2312" w:eastAsia="仿宋_GB2312" w:cs="仿宋_GB2312"/>
          <w:bCs/>
          <w:color w:val="000000"/>
          <w:kern w:val="2"/>
          <w:sz w:val="32"/>
          <w:szCs w:val="32"/>
          <w:lang w:val="en-US" w:eastAsia="zh-CN" w:bidi="ar"/>
        </w:rPr>
        <w:t>截止2021年12月底，单位共有公务用车0辆。</w:t>
      </w:r>
    </w:p>
    <w:p w14:paraId="4A74C6D6">
      <w:pPr>
        <w:keepNext w:val="0"/>
        <w:keepLines w:val="0"/>
        <w:widowControl w:val="0"/>
        <w:suppressLineNumbers w:val="0"/>
        <w:spacing w:before="0" w:beforeAutospacing="0" w:after="0" w:afterAutospacing="0" w:line="600" w:lineRule="exact"/>
        <w:ind w:right="0" w:firstLine="643" w:firstLineChars="200"/>
        <w:jc w:val="both"/>
      </w:pPr>
      <w:r>
        <w:rPr>
          <w:rFonts w:hint="eastAsia" w:ascii="仿宋_GB2312" w:hAnsi="Times New Roman" w:eastAsia="仿宋_GB2312" w:cs="仿宋_GB2312"/>
          <w:b/>
          <w:bCs w:val="0"/>
          <w:color w:val="000000"/>
          <w:kern w:val="2"/>
          <w:sz w:val="32"/>
          <w:szCs w:val="32"/>
          <w:lang w:val="en-US" w:eastAsia="zh-CN" w:bidi="ar"/>
        </w:rPr>
        <w:t>公务用车运行维护费支出</w:t>
      </w:r>
      <w:r>
        <w:rPr>
          <w:rFonts w:hint="eastAsia" w:ascii="仿宋_GB2312" w:hAnsi="Times New Roman" w:eastAsia="仿宋_GB2312" w:cs="仿宋_GB2312"/>
          <w:color w:val="000000"/>
          <w:kern w:val="2"/>
          <w:sz w:val="32"/>
          <w:szCs w:val="32"/>
          <w:lang w:val="en-US" w:eastAsia="zh-CN" w:bidi="ar"/>
        </w:rPr>
        <w:t>0万元。</w:t>
      </w:r>
      <w:r>
        <w:rPr>
          <w:rFonts w:hint="eastAsia" w:ascii="仿宋_GB2312" w:eastAsia="仿宋_GB2312" w:cs="仿宋_GB2312"/>
          <w:color w:val="000000"/>
          <w:kern w:val="2"/>
          <w:sz w:val="32"/>
          <w:szCs w:val="32"/>
          <w:lang w:val="en-US" w:eastAsia="zh-CN" w:bidi="ar"/>
        </w:rPr>
        <w:t>主要原因是我单位无公务用车。</w:t>
      </w:r>
    </w:p>
    <w:p w14:paraId="2F344717">
      <w:pPr>
        <w:spacing w:line="600" w:lineRule="exact"/>
        <w:ind w:firstLine="640"/>
        <w:rPr>
          <w:rFonts w:hint="default" w:ascii="Times New Roman" w:hAnsi="Times New Roman" w:eastAsia="仿宋" w:cs="Times New Roman"/>
          <w:sz w:val="32"/>
          <w:szCs w:val="32"/>
        </w:rPr>
      </w:pPr>
      <w:r>
        <w:rPr>
          <w:rFonts w:ascii="仿宋_GB2312" w:eastAsia="仿宋_GB2312"/>
          <w:b/>
          <w:bCs w:val="0"/>
          <w:sz w:val="32"/>
          <w:szCs w:val="32"/>
        </w:rPr>
        <w:t>3.</w:t>
      </w:r>
      <w:r>
        <w:rPr>
          <w:rFonts w:hint="default" w:ascii="Times New Roman" w:hAnsi="Times New Roman" w:eastAsia="仿宋" w:cs="Times New Roman"/>
          <w:b/>
          <w:bCs w:val="0"/>
          <w:sz w:val="32"/>
          <w:szCs w:val="32"/>
        </w:rPr>
        <w:t>公务接待费支出</w:t>
      </w:r>
      <w:r>
        <w:rPr>
          <w:rFonts w:hint="eastAsia" w:ascii="仿宋" w:hAnsi="仿宋" w:eastAsia="仿宋"/>
          <w:sz w:val="32"/>
          <w:szCs w:val="32"/>
          <w:lang w:val="en-US" w:eastAsia="zh-CN"/>
        </w:rPr>
        <w:t>0.4</w:t>
      </w:r>
      <w:r>
        <w:rPr>
          <w:rFonts w:hint="eastAsia" w:ascii="仿宋" w:hAnsi="仿宋" w:eastAsia="仿宋"/>
          <w:sz w:val="32"/>
          <w:szCs w:val="32"/>
        </w:rPr>
        <w:t>万元，完成预算</w:t>
      </w:r>
      <w:r>
        <w:rPr>
          <w:rFonts w:hint="eastAsia" w:ascii="仿宋" w:hAnsi="仿宋" w:eastAsia="仿宋"/>
          <w:color w:val="auto"/>
          <w:sz w:val="32"/>
          <w:szCs w:val="32"/>
          <w:highlight w:val="none"/>
          <w:lang w:val="en-US" w:eastAsia="zh-CN"/>
        </w:rPr>
        <w:t>80.00</w:t>
      </w:r>
      <w:r>
        <w:rPr>
          <w:rFonts w:ascii="仿宋" w:hAnsi="仿宋" w:eastAsia="仿宋"/>
          <w:color w:val="auto"/>
          <w:sz w:val="32"/>
          <w:szCs w:val="32"/>
          <w:highlight w:val="none"/>
        </w:rPr>
        <w:t>%</w:t>
      </w:r>
      <w:r>
        <w:rPr>
          <w:rFonts w:hint="default" w:ascii="Times New Roman" w:hAnsi="Times New Roman" w:eastAsia="仿宋" w:cs="Times New Roman"/>
          <w:color w:val="auto"/>
          <w:sz w:val="32"/>
          <w:szCs w:val="32"/>
          <w:highlight w:val="none"/>
        </w:rPr>
        <w:t>。公务接待费支出决算</w:t>
      </w:r>
      <w:r>
        <w:rPr>
          <w:rFonts w:hint="eastAsia" w:eastAsia="仿宋" w:cs="Times New Roman"/>
          <w:color w:val="auto"/>
          <w:sz w:val="32"/>
          <w:szCs w:val="32"/>
          <w:highlight w:val="none"/>
          <w:lang w:val="en-US" w:eastAsia="zh-CN"/>
        </w:rPr>
        <w:t>比</w:t>
      </w:r>
      <w:r>
        <w:rPr>
          <w:rFonts w:hint="eastAsia" w:ascii="仿宋_GB2312" w:eastAsia="仿宋_GB2312"/>
          <w:color w:val="auto"/>
          <w:sz w:val="32"/>
          <w:szCs w:val="32"/>
          <w:highlight w:val="none"/>
          <w:lang w:val="en-US" w:eastAsia="zh-CN"/>
        </w:rPr>
        <w:t>2020年减少0.09万元，下降18.37</w:t>
      </w:r>
      <w:r>
        <w:rPr>
          <w:rFonts w:hint="default" w:ascii="Times New Roman" w:hAnsi="Times New Roman" w:eastAsia="仿宋" w:cs="Times New Roman"/>
          <w:color w:val="auto"/>
          <w:sz w:val="32"/>
          <w:szCs w:val="32"/>
          <w:highlight w:val="none"/>
        </w:rPr>
        <w:t>。</w:t>
      </w:r>
      <w:r>
        <w:rPr>
          <w:rFonts w:hint="eastAsia" w:ascii="Times New Roman" w:hAnsi="Times New Roman" w:eastAsia="仿宋" w:cs="Times New Roman"/>
          <w:color w:val="auto"/>
          <w:sz w:val="32"/>
          <w:szCs w:val="32"/>
          <w:highlight w:val="none"/>
          <w:lang w:eastAsia="zh-CN"/>
        </w:rPr>
        <w:t>主要</w:t>
      </w:r>
      <w:r>
        <w:rPr>
          <w:rFonts w:hint="eastAsia" w:ascii="Times New Roman" w:hAnsi="Times New Roman" w:eastAsia="仿宋" w:cs="Times New Roman"/>
          <w:sz w:val="32"/>
          <w:szCs w:val="32"/>
          <w:lang w:eastAsia="zh-CN"/>
        </w:rPr>
        <w:t>原因是</w:t>
      </w:r>
      <w:r>
        <w:rPr>
          <w:rFonts w:hint="eastAsia" w:ascii="仿宋" w:hAnsi="仿宋" w:eastAsia="仿宋"/>
          <w:color w:val="000000"/>
          <w:sz w:val="32"/>
          <w:szCs w:val="32"/>
          <w:lang w:eastAsia="zh-CN"/>
        </w:rPr>
        <w:t>认真贯彻落实中央八项规定精神，采取有效措施严格控制接待范围和接待标准</w:t>
      </w:r>
      <w:r>
        <w:rPr>
          <w:rFonts w:hint="eastAsia" w:ascii="仿宋" w:hAnsi="仿宋" w:eastAsia="仿宋"/>
          <w:color w:val="000000"/>
          <w:sz w:val="32"/>
          <w:szCs w:val="32"/>
        </w:rPr>
        <w:t>。</w:t>
      </w:r>
      <w:r>
        <w:rPr>
          <w:rFonts w:hint="default" w:ascii="Times New Roman" w:hAnsi="Times New Roman" w:eastAsia="仿宋" w:cs="Times New Roman"/>
          <w:sz w:val="32"/>
          <w:szCs w:val="32"/>
        </w:rPr>
        <w:t>其中：</w:t>
      </w:r>
    </w:p>
    <w:p w14:paraId="73B4A027">
      <w:pPr>
        <w:spacing w:line="600" w:lineRule="exact"/>
        <w:ind w:firstLine="640"/>
        <w:rPr>
          <w:rFonts w:hint="default" w:ascii="Times New Roman" w:hAnsi="Times New Roman" w:eastAsia="仿宋" w:cs="Times New Roman"/>
          <w:sz w:val="32"/>
          <w:szCs w:val="32"/>
          <w:lang w:val="en-US" w:eastAsia="zh-CN"/>
        </w:rPr>
      </w:pPr>
      <w:r>
        <w:rPr>
          <w:rFonts w:hint="default" w:ascii="Times New Roman" w:hAnsi="Times New Roman" w:eastAsia="仿宋" w:cs="Times New Roman"/>
          <w:b/>
          <w:bCs/>
          <w:sz w:val="32"/>
          <w:szCs w:val="32"/>
        </w:rPr>
        <w:t>国内公务接待支出</w:t>
      </w:r>
      <w:r>
        <w:rPr>
          <w:rFonts w:hint="eastAsia" w:eastAsia="仿宋" w:cs="Times New Roman"/>
          <w:sz w:val="32"/>
          <w:szCs w:val="32"/>
          <w:lang w:val="en-US" w:eastAsia="zh-CN"/>
        </w:rPr>
        <w:t>0.4</w:t>
      </w:r>
      <w:r>
        <w:rPr>
          <w:rFonts w:hint="default" w:ascii="Times New Roman" w:hAnsi="Times New Roman" w:eastAsia="仿宋" w:cs="Times New Roman"/>
          <w:sz w:val="32"/>
          <w:szCs w:val="32"/>
        </w:rPr>
        <w:t>万元，主要用于</w:t>
      </w:r>
      <w:r>
        <w:rPr>
          <w:rFonts w:hint="eastAsia" w:ascii="Times New Roman" w:hAnsi="Times New Roman" w:eastAsia="仿宋" w:cs="Times New Roman"/>
          <w:sz w:val="32"/>
          <w:szCs w:val="32"/>
          <w:lang w:eastAsia="zh-CN"/>
        </w:rPr>
        <w:t>接待上级来访、</w:t>
      </w:r>
      <w:r>
        <w:rPr>
          <w:rFonts w:hint="eastAsia" w:ascii="仿宋_GB2312" w:hAnsi="Times New Roman" w:eastAsia="仿宋_GB2312" w:cs="Times New Roman"/>
          <w:color w:val="000000"/>
          <w:kern w:val="2"/>
          <w:sz w:val="32"/>
          <w:szCs w:val="32"/>
          <w:lang w:val="en-US" w:eastAsia="zh-CN" w:bidi="ar"/>
        </w:rPr>
        <w:t>教育教学活动</w:t>
      </w:r>
      <w:r>
        <w:rPr>
          <w:rFonts w:hint="eastAsia" w:ascii="仿宋_GB2312" w:eastAsia="仿宋_GB2312" w:cs="Times New Roman"/>
          <w:color w:val="000000"/>
          <w:kern w:val="2"/>
          <w:sz w:val="32"/>
          <w:szCs w:val="32"/>
          <w:lang w:val="en-US" w:eastAsia="zh-CN" w:bidi="ar"/>
        </w:rPr>
        <w:t>交流、</w:t>
      </w:r>
      <w:r>
        <w:rPr>
          <w:rFonts w:hint="eastAsia" w:ascii="仿宋_GB2312" w:eastAsia="仿宋_GB2312"/>
          <w:color w:val="auto"/>
          <w:sz w:val="32"/>
          <w:szCs w:val="32"/>
          <w:highlight w:val="none"/>
          <w:lang w:val="en-US" w:eastAsia="zh-CN"/>
        </w:rPr>
        <w:t>学生活动费及运动会学生用餐、交通费、体检费等</w:t>
      </w:r>
      <w:r>
        <w:rPr>
          <w:rFonts w:hint="default" w:ascii="Times New Roman" w:hAnsi="Times New Roman" w:eastAsia="仿宋" w:cs="Times New Roman"/>
          <w:sz w:val="32"/>
          <w:szCs w:val="32"/>
        </w:rPr>
        <w:t>。国内公务接待</w:t>
      </w:r>
      <w:r>
        <w:rPr>
          <w:rFonts w:hint="eastAsia" w:eastAsia="仿宋" w:cs="Times New Roman"/>
          <w:sz w:val="32"/>
          <w:szCs w:val="32"/>
          <w:highlight w:val="none"/>
          <w:lang w:val="en-US" w:eastAsia="zh-CN"/>
        </w:rPr>
        <w:t>32</w:t>
      </w:r>
      <w:r>
        <w:rPr>
          <w:rFonts w:hint="default" w:ascii="Times New Roman" w:hAnsi="Times New Roman" w:eastAsia="仿宋" w:cs="Times New Roman"/>
          <w:sz w:val="32"/>
          <w:szCs w:val="32"/>
          <w:highlight w:val="none"/>
        </w:rPr>
        <w:t>批次，</w:t>
      </w:r>
      <w:r>
        <w:rPr>
          <w:rFonts w:hint="eastAsia" w:eastAsia="仿宋" w:cs="Times New Roman"/>
          <w:sz w:val="32"/>
          <w:szCs w:val="32"/>
          <w:highlight w:val="none"/>
          <w:lang w:val="en-US" w:eastAsia="zh-CN"/>
        </w:rPr>
        <w:t>97</w:t>
      </w:r>
      <w:r>
        <w:rPr>
          <w:rFonts w:hint="default" w:ascii="Times New Roman" w:hAnsi="Times New Roman" w:eastAsia="仿宋" w:cs="Times New Roman"/>
          <w:sz w:val="32"/>
          <w:szCs w:val="32"/>
          <w:highlight w:val="none"/>
        </w:rPr>
        <w:t>人次</w:t>
      </w:r>
      <w:r>
        <w:rPr>
          <w:rFonts w:hint="default" w:ascii="Times New Roman" w:hAnsi="Times New Roman" w:eastAsia="仿宋" w:cs="Times New Roman"/>
          <w:sz w:val="32"/>
          <w:szCs w:val="32"/>
        </w:rPr>
        <w:t>（不包括陪同人员），共计支出</w:t>
      </w:r>
      <w:r>
        <w:rPr>
          <w:rFonts w:hint="eastAsia" w:eastAsia="仿宋" w:cs="Times New Roman"/>
          <w:sz w:val="32"/>
          <w:szCs w:val="32"/>
          <w:lang w:val="en-US" w:eastAsia="zh-CN"/>
        </w:rPr>
        <w:t>0.4</w:t>
      </w:r>
      <w:r>
        <w:rPr>
          <w:rFonts w:hint="default" w:ascii="Times New Roman" w:hAnsi="Times New Roman" w:eastAsia="仿宋" w:cs="Times New Roman"/>
          <w:sz w:val="32"/>
          <w:szCs w:val="32"/>
        </w:rPr>
        <w:t>万元</w:t>
      </w:r>
      <w:r>
        <w:rPr>
          <w:rFonts w:hint="eastAsia" w:eastAsia="仿宋" w:cs="Times New Roman"/>
          <w:sz w:val="32"/>
          <w:szCs w:val="32"/>
          <w:lang w:eastAsia="zh-CN"/>
        </w:rPr>
        <w:t>，具体内容包括</w:t>
      </w:r>
      <w:r>
        <w:rPr>
          <w:rFonts w:hint="eastAsia" w:ascii="Times New Roman" w:hAnsi="Times New Roman" w:eastAsia="仿宋" w:cs="Times New Roman"/>
          <w:sz w:val="32"/>
          <w:szCs w:val="32"/>
          <w:lang w:eastAsia="zh-CN"/>
        </w:rPr>
        <w:t>接待上级来访</w:t>
      </w:r>
      <w:r>
        <w:rPr>
          <w:rFonts w:hint="eastAsia" w:eastAsia="仿宋" w:cs="Times New Roman"/>
          <w:sz w:val="32"/>
          <w:szCs w:val="32"/>
          <w:lang w:val="en-US" w:eastAsia="zh-CN"/>
        </w:rPr>
        <w:t>0.2万元</w:t>
      </w:r>
      <w:r>
        <w:rPr>
          <w:rFonts w:hint="eastAsia" w:ascii="Times New Roman" w:hAnsi="Times New Roman" w:eastAsia="仿宋" w:cs="Times New Roman"/>
          <w:sz w:val="32"/>
          <w:szCs w:val="32"/>
          <w:lang w:eastAsia="zh-CN"/>
        </w:rPr>
        <w:t>、</w:t>
      </w:r>
      <w:r>
        <w:rPr>
          <w:rFonts w:hint="eastAsia" w:ascii="仿宋_GB2312" w:hAnsi="Times New Roman" w:eastAsia="仿宋_GB2312" w:cs="Times New Roman"/>
          <w:color w:val="000000"/>
          <w:kern w:val="2"/>
          <w:sz w:val="32"/>
          <w:szCs w:val="32"/>
          <w:lang w:val="en-US" w:eastAsia="zh-CN" w:bidi="ar"/>
        </w:rPr>
        <w:t>教育教学活动</w:t>
      </w:r>
      <w:r>
        <w:rPr>
          <w:rFonts w:hint="eastAsia" w:ascii="仿宋_GB2312" w:eastAsia="仿宋_GB2312" w:cs="Times New Roman"/>
          <w:color w:val="000000"/>
          <w:kern w:val="2"/>
          <w:sz w:val="32"/>
          <w:szCs w:val="32"/>
          <w:lang w:val="en-US" w:eastAsia="zh-CN" w:bidi="ar"/>
        </w:rPr>
        <w:t>交流0.1万元、</w:t>
      </w:r>
      <w:r>
        <w:rPr>
          <w:rFonts w:hint="eastAsia" w:ascii="仿宋_GB2312" w:eastAsia="仿宋_GB2312"/>
          <w:color w:val="auto"/>
          <w:sz w:val="32"/>
          <w:szCs w:val="32"/>
          <w:highlight w:val="none"/>
          <w:lang w:val="en-US" w:eastAsia="zh-CN"/>
        </w:rPr>
        <w:t>学生活动费及运动会学生用餐、交通费、体检费等0.1万元。</w:t>
      </w:r>
    </w:p>
    <w:p w14:paraId="3BDED2D2">
      <w:pPr>
        <w:spacing w:line="600" w:lineRule="exact"/>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外事接待支出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万元，外事接待</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人，共计支出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default" w:ascii="Times New Roman" w:hAnsi="Times New Roman" w:eastAsia="仿宋" w:cs="Times New Roman"/>
          <w:sz w:val="32"/>
          <w:szCs w:val="32"/>
        </w:rPr>
        <w:t>外事接待支出</w:t>
      </w:r>
      <w:r>
        <w:rPr>
          <w:rFonts w:hint="eastAsia" w:ascii="仿宋_GB2312" w:hAnsi="Times New Roman" w:eastAsia="仿宋_GB2312" w:cs="仿宋_GB2312"/>
          <w:color w:val="000000"/>
          <w:kern w:val="2"/>
          <w:sz w:val="32"/>
          <w:szCs w:val="32"/>
          <w:lang w:val="en-US" w:eastAsia="zh-CN" w:bidi="ar"/>
        </w:rPr>
        <w:t>决算与2020年持平</w:t>
      </w:r>
      <w:r>
        <w:rPr>
          <w:rFonts w:hint="eastAsia" w:ascii="Times New Roman" w:hAnsi="Times New Roman" w:eastAsia="仿宋" w:cs="Times New Roman"/>
          <w:sz w:val="32"/>
          <w:szCs w:val="32"/>
        </w:rPr>
        <w:t>。</w:t>
      </w:r>
    </w:p>
    <w:p w14:paraId="56B06EF7">
      <w:pPr>
        <w:spacing w:line="600" w:lineRule="exact"/>
        <w:outlineLvl w:val="1"/>
        <w:rPr>
          <w:rFonts w:ascii="黑体" w:eastAsia="黑体"/>
          <w:sz w:val="32"/>
          <w:szCs w:val="32"/>
        </w:rPr>
      </w:pPr>
      <w:bookmarkStart w:id="40" w:name="_Toc15377218"/>
      <w:bookmarkStart w:id="41" w:name="_Toc15396610"/>
    </w:p>
    <w:p w14:paraId="0EE7C612">
      <w:pPr>
        <w:spacing w:line="600" w:lineRule="exact"/>
        <w:ind w:firstLine="640"/>
        <w:outlineLvl w:val="1"/>
        <w:rPr>
          <w:rStyle w:val="30"/>
          <w:rFonts w:ascii="黑体" w:hAnsi="黑体" w:eastAsia="黑体"/>
        </w:rPr>
      </w:pPr>
      <w:r>
        <w:rPr>
          <w:rFonts w:hint="eastAsia" w:ascii="黑体" w:eastAsia="黑体"/>
          <w:sz w:val="32"/>
          <w:szCs w:val="32"/>
        </w:rPr>
        <w:t>八、</w:t>
      </w:r>
      <w:r>
        <w:rPr>
          <w:rStyle w:val="30"/>
          <w:rFonts w:hint="eastAsia" w:ascii="黑体" w:hAnsi="黑体" w:eastAsia="黑体"/>
          <w:b w:val="0"/>
        </w:rPr>
        <w:t>政府性基金预算支出决算情况说明</w:t>
      </w:r>
      <w:bookmarkEnd w:id="40"/>
      <w:bookmarkEnd w:id="41"/>
    </w:p>
    <w:p w14:paraId="6C5E9A05">
      <w:pPr>
        <w:spacing w:line="600" w:lineRule="exact"/>
        <w:ind w:firstLine="640"/>
        <w:rPr>
          <w:rFonts w:hint="eastAsia" w:ascii="仿宋_GB2312" w:eastAsia="仿宋_GB2312"/>
          <w:color w:val="auto"/>
          <w:sz w:val="32"/>
          <w:szCs w:val="32"/>
          <w:highlight w:val="none"/>
        </w:rPr>
      </w:pPr>
      <w:r>
        <w:rPr>
          <w:rFonts w:ascii="仿宋_GB2312" w:eastAsia="仿宋_GB2312"/>
          <w:sz w:val="32"/>
          <w:szCs w:val="32"/>
        </w:rPr>
        <w:t>20</w:t>
      </w:r>
      <w:r>
        <w:rPr>
          <w:rFonts w:hint="eastAsia" w:ascii="仿宋_GB2312" w:eastAsia="仿宋_GB2312"/>
          <w:sz w:val="32"/>
          <w:szCs w:val="32"/>
        </w:rPr>
        <w:t>21年政府性基金预算财政拨款支出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color w:val="000000"/>
          <w:sz w:val="32"/>
          <w:szCs w:val="32"/>
        </w:rPr>
        <w:t>202</w:t>
      </w:r>
      <w:r>
        <w:rPr>
          <w:rFonts w:hint="eastAsia" w:ascii="仿宋_GB2312" w:eastAsia="仿宋_GB2312"/>
          <w:color w:val="000000"/>
          <w:sz w:val="32"/>
          <w:szCs w:val="32"/>
          <w:lang w:val="en-US" w:eastAsia="zh-CN"/>
        </w:rPr>
        <w:t>1</w:t>
      </w:r>
      <w:r>
        <w:rPr>
          <w:rFonts w:hint="eastAsia" w:ascii="仿宋_GB2312" w:eastAsia="仿宋_GB2312"/>
          <w:color w:val="000000"/>
          <w:sz w:val="32"/>
          <w:szCs w:val="32"/>
        </w:rPr>
        <w:t>年本单位未在政府性基金预算拨款安排“三公”经费支出</w:t>
      </w:r>
      <w:r>
        <w:rPr>
          <w:rFonts w:hint="eastAsia" w:ascii="仿宋_GB2312" w:eastAsia="仿宋_GB2312"/>
          <w:color w:val="auto"/>
          <w:sz w:val="32"/>
          <w:szCs w:val="32"/>
          <w:highlight w:val="none"/>
        </w:rPr>
        <w:t>。</w:t>
      </w:r>
    </w:p>
    <w:p w14:paraId="67A60D56">
      <w:pPr>
        <w:pStyle w:val="16"/>
      </w:pPr>
    </w:p>
    <w:p w14:paraId="4E464E22">
      <w:pPr>
        <w:numPr>
          <w:ilvl w:val="0"/>
          <w:numId w:val="3"/>
        </w:numPr>
        <w:spacing w:line="600" w:lineRule="exact"/>
        <w:ind w:firstLine="640"/>
        <w:outlineLvl w:val="1"/>
        <w:rPr>
          <w:rStyle w:val="30"/>
          <w:rFonts w:ascii="黑体" w:hAnsi="黑体" w:eastAsia="黑体"/>
          <w:b w:val="0"/>
        </w:rPr>
      </w:pPr>
      <w:bookmarkStart w:id="42" w:name="_Toc15377219"/>
      <w:bookmarkStart w:id="43" w:name="_Toc15396611"/>
      <w:r>
        <w:rPr>
          <w:rStyle w:val="30"/>
          <w:rFonts w:hint="eastAsia" w:ascii="黑体" w:hAnsi="黑体" w:eastAsia="黑体"/>
          <w:b w:val="0"/>
        </w:rPr>
        <w:t>国有资本经营预算支出决算情况说明</w:t>
      </w:r>
      <w:bookmarkEnd w:id="42"/>
      <w:bookmarkEnd w:id="43"/>
    </w:p>
    <w:p w14:paraId="6D714DBD">
      <w:pPr>
        <w:spacing w:line="600" w:lineRule="exact"/>
        <w:ind w:firstLine="64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21年国有资本经营预算财政拨款支出0万元，年初未安排预算。</w:t>
      </w:r>
    </w:p>
    <w:p w14:paraId="1006CCB8">
      <w:pPr>
        <w:spacing w:line="580" w:lineRule="exact"/>
        <w:rPr>
          <w:rFonts w:ascii="方正小标宋简体" w:hAnsi="方正小标宋简体" w:eastAsia="方正小标宋简体" w:cs="方正小标宋简体"/>
          <w:sz w:val="44"/>
          <w:szCs w:val="44"/>
        </w:rPr>
      </w:pPr>
    </w:p>
    <w:p w14:paraId="78946E22">
      <w:pPr>
        <w:numPr>
          <w:ilvl w:val="0"/>
          <w:numId w:val="3"/>
        </w:numPr>
        <w:spacing w:line="600" w:lineRule="exact"/>
        <w:ind w:firstLine="640"/>
        <w:outlineLvl w:val="1"/>
        <w:rPr>
          <w:rStyle w:val="30"/>
          <w:rFonts w:ascii="黑体" w:hAnsi="黑体" w:eastAsia="黑体"/>
          <w:b w:val="0"/>
        </w:rPr>
      </w:pPr>
      <w:bookmarkStart w:id="44" w:name="_Toc15396612"/>
      <w:bookmarkStart w:id="45" w:name="_Toc15377221"/>
      <w:r>
        <w:rPr>
          <w:rStyle w:val="30"/>
          <w:rFonts w:hint="eastAsia" w:ascii="黑体" w:hAnsi="黑体" w:eastAsia="黑体"/>
          <w:b w:val="0"/>
        </w:rPr>
        <w:t>预算绩效管理情况</w:t>
      </w:r>
    </w:p>
    <w:p w14:paraId="6932AE64">
      <w:pPr>
        <w:spacing w:line="58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根据预算绩效管理要求，本单位在2021年度预算编制阶段，因无项目支出，故不涉及事前评估和项目绩效目标，预算执行过程中，</w:t>
      </w:r>
      <w:r>
        <w:rPr>
          <w:rFonts w:hint="eastAsia" w:ascii="仿宋_GB2312" w:hAnsi="仿宋_GB2312" w:eastAsia="仿宋_GB2312" w:cs="仿宋_GB2312"/>
          <w:sz w:val="32"/>
          <w:szCs w:val="32"/>
          <w:highlight w:val="none"/>
          <w:lang w:eastAsia="zh-CN"/>
        </w:rPr>
        <w:t>对追</w:t>
      </w:r>
      <w:r>
        <w:rPr>
          <w:rFonts w:hint="eastAsia" w:ascii="仿宋_GB2312" w:hAnsi="仿宋_GB2312" w:eastAsia="仿宋_GB2312" w:cs="仿宋_GB2312"/>
          <w:color w:val="auto"/>
          <w:sz w:val="32"/>
          <w:szCs w:val="32"/>
          <w:highlight w:val="none"/>
          <w:lang w:eastAsia="zh-CN"/>
        </w:rPr>
        <w:t>加预算校舍维修项目</w:t>
      </w:r>
      <w:r>
        <w:rPr>
          <w:rFonts w:hint="eastAsia" w:ascii="仿宋_GB2312" w:hAnsi="仿宋_GB2312" w:eastAsia="仿宋_GB2312" w:cs="仿宋_GB2312"/>
          <w:color w:val="auto"/>
          <w:sz w:val="32"/>
          <w:szCs w:val="32"/>
          <w:highlight w:val="none"/>
        </w:rPr>
        <w:t>编制了绩效目标</w:t>
      </w:r>
      <w:r>
        <w:rPr>
          <w:rFonts w:hint="eastAsia" w:ascii="仿宋_GB2312" w:hAnsi="仿宋_GB2312" w:eastAsia="仿宋_GB2312" w:cs="仿宋_GB2312"/>
          <w:sz w:val="32"/>
          <w:szCs w:val="32"/>
          <w:highlight w:val="none"/>
          <w:lang w:eastAsia="zh-CN"/>
        </w:rPr>
        <w:t>，并</w:t>
      </w:r>
      <w:r>
        <w:rPr>
          <w:rFonts w:hint="eastAsia" w:ascii="仿宋_GB2312" w:hAnsi="仿宋_GB2312" w:eastAsia="仿宋_GB2312" w:cs="仿宋_GB2312"/>
          <w:sz w:val="32"/>
          <w:szCs w:val="32"/>
          <w:highlight w:val="none"/>
        </w:rPr>
        <w:t>开展</w:t>
      </w:r>
      <w:r>
        <w:rPr>
          <w:rFonts w:hint="eastAsia" w:ascii="仿宋_GB2312" w:hAnsi="仿宋_GB2312" w:eastAsia="仿宋_GB2312" w:cs="仿宋_GB2312"/>
          <w:sz w:val="32"/>
          <w:szCs w:val="32"/>
          <w:highlight w:val="none"/>
          <w:lang w:eastAsia="zh-CN"/>
        </w:rPr>
        <w:t>了</w:t>
      </w:r>
      <w:r>
        <w:rPr>
          <w:rFonts w:hint="eastAsia" w:ascii="仿宋_GB2312" w:hAnsi="仿宋_GB2312" w:eastAsia="仿宋_GB2312" w:cs="仿宋_GB2312"/>
          <w:sz w:val="32"/>
          <w:szCs w:val="32"/>
          <w:highlight w:val="none"/>
        </w:rPr>
        <w:t>绩效</w:t>
      </w:r>
      <w:r>
        <w:rPr>
          <w:rFonts w:hint="eastAsia" w:ascii="仿宋_GB2312" w:hAnsi="仿宋_GB2312" w:eastAsia="仿宋_GB2312" w:cs="仿宋_GB2312"/>
          <w:sz w:val="32"/>
          <w:szCs w:val="32"/>
          <w:highlight w:val="none"/>
          <w:lang w:eastAsia="zh-CN"/>
        </w:rPr>
        <w:t>运行</w:t>
      </w:r>
      <w:r>
        <w:rPr>
          <w:rFonts w:hint="eastAsia" w:ascii="仿宋_GB2312" w:hAnsi="仿宋_GB2312" w:eastAsia="仿宋_GB2312" w:cs="仿宋_GB2312"/>
          <w:sz w:val="32"/>
          <w:szCs w:val="32"/>
          <w:highlight w:val="none"/>
        </w:rPr>
        <w:t>监控，年终执行完毕后，</w:t>
      </w:r>
      <w:r>
        <w:rPr>
          <w:rFonts w:hint="eastAsia" w:ascii="仿宋_GB2312" w:hAnsi="仿宋_GB2312" w:eastAsia="仿宋_GB2312" w:cs="仿宋_GB2312"/>
          <w:color w:val="auto"/>
          <w:sz w:val="32"/>
          <w:szCs w:val="32"/>
          <w:highlight w:val="none"/>
        </w:rPr>
        <w:t>对</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个项目开展了</w:t>
      </w:r>
      <w:r>
        <w:rPr>
          <w:rFonts w:hint="eastAsia" w:ascii="仿宋_GB2312" w:hAnsi="仿宋_GB2312" w:eastAsia="仿宋_GB2312" w:cs="仿宋_GB2312"/>
          <w:sz w:val="32"/>
          <w:szCs w:val="32"/>
          <w:highlight w:val="none"/>
        </w:rPr>
        <w:t>绩效自评，2021年部门预算项目绩效目标自评表见附件（第四部分）。</w:t>
      </w:r>
    </w:p>
    <w:p w14:paraId="5CF3D4A6">
      <w:pPr>
        <w:pStyle w:val="2"/>
        <w:spacing w:before="93"/>
      </w:pPr>
    </w:p>
    <w:p w14:paraId="3FE76A5D">
      <w:pPr>
        <w:numPr>
          <w:ilvl w:val="0"/>
          <w:numId w:val="3"/>
        </w:numPr>
        <w:spacing w:line="600" w:lineRule="exact"/>
        <w:ind w:firstLine="640"/>
        <w:outlineLvl w:val="1"/>
        <w:rPr>
          <w:rStyle w:val="30"/>
          <w:rFonts w:ascii="黑体" w:hAnsi="黑体" w:eastAsia="黑体"/>
          <w:b w:val="0"/>
        </w:rPr>
      </w:pPr>
      <w:r>
        <w:rPr>
          <w:rStyle w:val="30"/>
          <w:rFonts w:hint="eastAsia" w:ascii="黑体" w:hAnsi="黑体" w:eastAsia="黑体"/>
          <w:b w:val="0"/>
        </w:rPr>
        <w:t>其他重要事项的情况说明</w:t>
      </w:r>
      <w:bookmarkEnd w:id="44"/>
      <w:bookmarkEnd w:id="45"/>
    </w:p>
    <w:p w14:paraId="10275997">
      <w:pPr>
        <w:spacing w:line="600" w:lineRule="exact"/>
        <w:ind w:firstLine="643" w:firstLineChars="200"/>
        <w:outlineLvl w:val="2"/>
        <w:rPr>
          <w:rFonts w:ascii="仿宋" w:hAnsi="仿宋" w:eastAsia="仿宋"/>
          <w:sz w:val="32"/>
          <w:szCs w:val="32"/>
        </w:rPr>
      </w:pPr>
      <w:bookmarkStart w:id="46" w:name="_Toc15377222"/>
      <w:r>
        <w:rPr>
          <w:rFonts w:hint="eastAsia" w:ascii="仿宋" w:hAnsi="仿宋" w:eastAsia="仿宋"/>
          <w:b/>
          <w:sz w:val="32"/>
          <w:szCs w:val="32"/>
        </w:rPr>
        <w:t>（一）机关运行经费支出情况</w:t>
      </w:r>
      <w:bookmarkEnd w:id="46"/>
    </w:p>
    <w:p w14:paraId="2A4EAC91">
      <w:pPr>
        <w:keepNext w:val="0"/>
        <w:keepLines w:val="0"/>
        <w:widowControl w:val="0"/>
        <w:suppressLineNumbers w:val="0"/>
        <w:spacing w:before="0" w:beforeAutospacing="0" w:after="0" w:afterAutospacing="0" w:line="600" w:lineRule="exact"/>
        <w:ind w:left="0" w:right="0" w:firstLine="640"/>
        <w:jc w:val="both"/>
        <w:rPr>
          <w:rFonts w:hint="eastAsia" w:ascii="仿宋_GB2312" w:eastAsia="仿宋_GB2312" w:cs="仿宋_GB2312"/>
          <w:color w:val="000000"/>
          <w:sz w:val="32"/>
          <w:szCs w:val="32"/>
          <w:lang w:val="en-US"/>
        </w:rPr>
      </w:pPr>
      <w:bookmarkStart w:id="47" w:name="_Toc15377223"/>
      <w:r>
        <w:rPr>
          <w:rFonts w:hint="eastAsia" w:ascii="仿宋_GB2312" w:hAnsi="Times New Roman" w:eastAsia="仿宋_GB2312" w:cs="仿宋_GB2312"/>
          <w:color w:val="000000"/>
          <w:kern w:val="2"/>
          <w:sz w:val="32"/>
          <w:szCs w:val="32"/>
          <w:lang w:val="en-US" w:eastAsia="zh-CN" w:bidi="ar"/>
        </w:rPr>
        <w:t>202</w:t>
      </w:r>
      <w:r>
        <w:rPr>
          <w:rFonts w:hint="eastAsia" w:ascii="仿宋_GB2312" w:eastAsia="仿宋_GB2312" w:cs="仿宋_GB2312"/>
          <w:color w:val="000000"/>
          <w:kern w:val="2"/>
          <w:sz w:val="32"/>
          <w:szCs w:val="32"/>
          <w:lang w:val="en-US" w:eastAsia="zh-CN" w:bidi="ar"/>
        </w:rPr>
        <w:t>1</w:t>
      </w:r>
      <w:r>
        <w:rPr>
          <w:rFonts w:hint="eastAsia" w:ascii="仿宋_GB2312" w:hAnsi="Times New Roman" w:eastAsia="仿宋_GB2312" w:cs="仿宋_GB2312"/>
          <w:color w:val="000000"/>
          <w:kern w:val="2"/>
          <w:sz w:val="32"/>
          <w:szCs w:val="32"/>
          <w:lang w:val="en-US" w:eastAsia="zh-CN" w:bidi="ar"/>
        </w:rPr>
        <w:t>年，</w:t>
      </w:r>
      <w:r>
        <w:rPr>
          <w:rFonts w:hint="eastAsia" w:ascii="仿宋_GB2312" w:hAnsi="Times New Roman" w:eastAsia="仿宋_GB2312" w:cs="仿宋_GB2312"/>
          <w:kern w:val="2"/>
          <w:sz w:val="32"/>
          <w:szCs w:val="32"/>
          <w:lang w:val="en-US" w:eastAsia="zh-CN" w:bidi="ar"/>
        </w:rPr>
        <w:t>我部门</w:t>
      </w:r>
      <w:r>
        <w:rPr>
          <w:rFonts w:hint="eastAsia" w:ascii="仿宋_GB2312" w:eastAsia="仿宋_GB2312" w:cs="仿宋_GB2312"/>
          <w:kern w:val="2"/>
          <w:sz w:val="32"/>
          <w:szCs w:val="32"/>
          <w:lang w:val="en-US" w:eastAsia="zh-CN" w:bidi="ar"/>
        </w:rPr>
        <w:t>机关</w:t>
      </w:r>
      <w:r>
        <w:rPr>
          <w:rFonts w:hint="eastAsia" w:ascii="仿宋_GB2312" w:hAnsi="Times New Roman" w:eastAsia="仿宋_GB2312" w:cs="仿宋_GB2312"/>
          <w:color w:val="000000"/>
          <w:kern w:val="2"/>
          <w:sz w:val="32"/>
          <w:szCs w:val="32"/>
          <w:lang w:val="en-US" w:eastAsia="zh-CN" w:bidi="ar"/>
        </w:rPr>
        <w:t>运行经费支出0元，</w:t>
      </w:r>
      <w:r>
        <w:rPr>
          <w:rFonts w:hint="eastAsia" w:ascii="仿宋_GB2312" w:eastAsia="仿宋_GB2312" w:cs="仿宋_GB2312"/>
          <w:color w:val="000000"/>
          <w:kern w:val="2"/>
          <w:sz w:val="32"/>
          <w:szCs w:val="32"/>
          <w:lang w:val="en-US" w:eastAsia="zh-CN" w:bidi="ar"/>
        </w:rPr>
        <w:t>与</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20</w:t>
      </w:r>
      <w:r>
        <w:rPr>
          <w:rFonts w:hint="eastAsia" w:ascii="仿宋_GB2312" w:eastAsia="仿宋_GB2312"/>
          <w:color w:val="auto"/>
          <w:sz w:val="32"/>
          <w:szCs w:val="32"/>
          <w:highlight w:val="none"/>
        </w:rPr>
        <w:t>年决算数持平</w:t>
      </w:r>
      <w:r>
        <w:rPr>
          <w:rFonts w:hint="eastAsia" w:ascii="仿宋_GB2312" w:hAnsi="Times New Roman" w:eastAsia="仿宋_GB2312" w:cs="仿宋_GB2312"/>
          <w:color w:val="000000"/>
          <w:kern w:val="2"/>
          <w:sz w:val="32"/>
          <w:szCs w:val="32"/>
          <w:lang w:val="en-US" w:eastAsia="zh-CN" w:bidi="ar"/>
        </w:rPr>
        <w:t>。主要原因是本单位为事业单位，</w:t>
      </w:r>
      <w:r>
        <w:rPr>
          <w:rFonts w:hint="eastAsia" w:ascii="仿宋_GB2312" w:eastAsia="仿宋_GB2312" w:cs="仿宋_GB2312"/>
          <w:color w:val="000000"/>
          <w:kern w:val="2"/>
          <w:sz w:val="32"/>
          <w:szCs w:val="32"/>
          <w:lang w:val="en-US" w:eastAsia="zh-CN" w:bidi="ar"/>
        </w:rPr>
        <w:t>未发生</w:t>
      </w:r>
      <w:r>
        <w:rPr>
          <w:rFonts w:hint="eastAsia" w:ascii="仿宋_GB2312" w:hAnsi="Times New Roman" w:eastAsia="仿宋_GB2312" w:cs="仿宋_GB2312"/>
          <w:color w:val="000000"/>
          <w:kern w:val="2"/>
          <w:sz w:val="32"/>
          <w:szCs w:val="32"/>
          <w:lang w:val="en-US" w:eastAsia="zh-CN" w:bidi="ar"/>
        </w:rPr>
        <w:t>机关运行经费支出。</w:t>
      </w:r>
    </w:p>
    <w:p w14:paraId="5C1FF925">
      <w:pPr>
        <w:autoSpaceDE w:val="0"/>
        <w:autoSpaceDN w:val="0"/>
        <w:adjustRightInd w:val="0"/>
        <w:spacing w:line="600" w:lineRule="exact"/>
        <w:ind w:firstLine="643" w:firstLineChars="200"/>
        <w:jc w:val="left"/>
        <w:outlineLvl w:val="2"/>
        <w:rPr>
          <w:rFonts w:ascii="仿宋" w:hAnsi="仿宋" w:eastAsia="仿宋"/>
          <w:b/>
          <w:sz w:val="32"/>
          <w:szCs w:val="32"/>
        </w:rPr>
      </w:pPr>
      <w:r>
        <w:rPr>
          <w:rFonts w:hint="eastAsia" w:ascii="仿宋" w:hAnsi="仿宋" w:eastAsia="仿宋"/>
          <w:b/>
          <w:sz w:val="32"/>
          <w:szCs w:val="32"/>
        </w:rPr>
        <w:t>（二）政府采购支出情况</w:t>
      </w:r>
      <w:bookmarkEnd w:id="47"/>
    </w:p>
    <w:p w14:paraId="1F049E5F">
      <w:pPr>
        <w:spacing w:line="600" w:lineRule="exact"/>
        <w:ind w:firstLine="640" w:firstLineChars="200"/>
        <w:rPr>
          <w:rFonts w:hint="default" w:ascii="仿宋_GB2312" w:eastAsia="仿宋_GB2312"/>
          <w:sz w:val="32"/>
          <w:szCs w:val="32"/>
          <w:highlight w:val="yellow"/>
          <w:lang w:val="en-US" w:eastAsia="zh-CN"/>
        </w:rPr>
      </w:pPr>
      <w:r>
        <w:rPr>
          <w:rFonts w:ascii="仿宋_GB2312" w:eastAsia="仿宋_GB2312"/>
          <w:sz w:val="32"/>
          <w:szCs w:val="32"/>
        </w:rPr>
        <w:t>20</w:t>
      </w:r>
      <w:r>
        <w:rPr>
          <w:rFonts w:hint="eastAsia" w:ascii="仿宋_GB2312" w:eastAsia="仿宋_GB2312"/>
          <w:sz w:val="32"/>
          <w:szCs w:val="32"/>
        </w:rPr>
        <w:t>21年，我单位政府采购支出</w:t>
      </w:r>
      <w:r>
        <w:rPr>
          <w:rFonts w:hint="eastAsia" w:ascii="仿宋_GB2312" w:eastAsia="仿宋_GB2312"/>
          <w:color w:val="000000"/>
          <w:sz w:val="32"/>
          <w:szCs w:val="32"/>
          <w:lang w:eastAsia="zh-CN"/>
        </w:rPr>
        <w:t>年初未预算采购经费，</w:t>
      </w:r>
      <w:r>
        <w:rPr>
          <w:rFonts w:hint="eastAsia" w:ascii="仿宋_GB2312" w:eastAsia="仿宋_GB2312"/>
          <w:color w:val="auto"/>
          <w:sz w:val="32"/>
          <w:szCs w:val="32"/>
          <w:highlight w:val="none"/>
        </w:rPr>
        <w:t>政府采购支出总额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 xml:space="preserve"> </w:t>
      </w:r>
      <w:r>
        <w:rPr>
          <w:rFonts w:hint="eastAsia" w:ascii="仿宋_GB2312" w:eastAsia="仿宋_GB2312" w:cs="仿宋_GB2312"/>
          <w:color w:val="000000"/>
          <w:kern w:val="2"/>
          <w:sz w:val="32"/>
          <w:szCs w:val="32"/>
          <w:lang w:val="en-US" w:eastAsia="zh-CN" w:bidi="ar"/>
        </w:rPr>
        <w:t>与</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20</w:t>
      </w:r>
      <w:r>
        <w:rPr>
          <w:rFonts w:hint="eastAsia" w:ascii="仿宋_GB2312" w:eastAsia="仿宋_GB2312"/>
          <w:color w:val="auto"/>
          <w:sz w:val="32"/>
          <w:szCs w:val="32"/>
          <w:highlight w:val="none"/>
        </w:rPr>
        <w:t>年决算数持平</w:t>
      </w:r>
      <w:r>
        <w:rPr>
          <w:rFonts w:hint="eastAsia" w:ascii="仿宋_GB2312" w:hAnsi="Times New Roman" w:eastAsia="仿宋_GB2312" w:cs="仿宋_GB2312"/>
          <w:color w:val="000000"/>
          <w:kern w:val="2"/>
          <w:sz w:val="32"/>
          <w:szCs w:val="32"/>
          <w:lang w:val="en-US" w:eastAsia="zh-CN" w:bidi="ar"/>
        </w:rPr>
        <w:t>。</w:t>
      </w:r>
    </w:p>
    <w:p w14:paraId="1BE99D7C">
      <w:pPr>
        <w:autoSpaceDE w:val="0"/>
        <w:autoSpaceDN w:val="0"/>
        <w:adjustRightInd w:val="0"/>
        <w:spacing w:line="600" w:lineRule="exact"/>
        <w:ind w:firstLine="643" w:firstLineChars="200"/>
        <w:jc w:val="left"/>
        <w:outlineLvl w:val="2"/>
        <w:rPr>
          <w:rFonts w:ascii="仿宋" w:hAnsi="仿宋" w:eastAsia="仿宋"/>
          <w:b/>
          <w:sz w:val="32"/>
          <w:szCs w:val="32"/>
        </w:rPr>
      </w:pPr>
      <w:bookmarkStart w:id="48" w:name="_Toc15377224"/>
      <w:r>
        <w:rPr>
          <w:rFonts w:hint="eastAsia" w:ascii="仿宋" w:hAnsi="仿宋" w:eastAsia="仿宋"/>
          <w:b/>
          <w:sz w:val="32"/>
          <w:szCs w:val="32"/>
        </w:rPr>
        <w:t>（三）国有资产占有使用情况</w:t>
      </w:r>
      <w:bookmarkEnd w:id="48"/>
    </w:p>
    <w:p w14:paraId="2A880C5C">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eastAsia="仿宋_GB2312"/>
          <w:color w:val="auto"/>
          <w:sz w:val="32"/>
          <w:szCs w:val="32"/>
          <w:highlight w:val="none"/>
          <w:lang w:eastAsia="zh-CN"/>
        </w:rPr>
        <w:t>我单位</w:t>
      </w:r>
      <w:r>
        <w:rPr>
          <w:rFonts w:hint="eastAsia" w:ascii="仿宋_GB2312" w:eastAsia="仿宋_GB2312"/>
          <w:color w:val="auto"/>
          <w:sz w:val="32"/>
          <w:szCs w:val="32"/>
          <w:highlight w:val="none"/>
        </w:rPr>
        <w:t>共有车辆</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辆，其中：主要领导干部用车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辆、机要通信用车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辆、应急保障用车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辆、其他用车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50</w:t>
      </w:r>
      <w:r>
        <w:rPr>
          <w:rFonts w:hint="eastAsia" w:ascii="仿宋_GB2312" w:eastAsia="仿宋_GB2312"/>
          <w:color w:val="auto"/>
          <w:sz w:val="32"/>
          <w:szCs w:val="32"/>
          <w:highlight w:val="none"/>
        </w:rPr>
        <w:t>万元以上通用设备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w:t>
      </w:r>
    </w:p>
    <w:p w14:paraId="406C14D4">
      <w:pPr>
        <w:pStyle w:val="2"/>
        <w:spacing w:before="93"/>
        <w:rPr>
          <w:highlight w:val="yellow"/>
        </w:rPr>
      </w:pPr>
    </w:p>
    <w:p w14:paraId="475447DB">
      <w:pPr>
        <w:widowControl/>
        <w:jc w:val="left"/>
        <w:rPr>
          <w:rFonts w:ascii="仿宋_GB2312" w:eastAsia="仿宋_GB2312"/>
          <w:b/>
          <w:sz w:val="32"/>
          <w:szCs w:val="32"/>
        </w:rPr>
      </w:pPr>
      <w:r>
        <w:rPr>
          <w:rFonts w:ascii="仿宋_GB2312" w:eastAsia="仿宋_GB2312"/>
          <w:b/>
          <w:sz w:val="32"/>
          <w:szCs w:val="32"/>
        </w:rPr>
        <w:br w:type="page"/>
      </w:r>
    </w:p>
    <w:p w14:paraId="01D2D739">
      <w:pPr>
        <w:numPr>
          <w:ilvl w:val="0"/>
          <w:numId w:val="4"/>
        </w:numPr>
        <w:spacing w:line="600" w:lineRule="exact"/>
        <w:ind w:firstLine="660" w:firstLineChars="150"/>
        <w:jc w:val="center"/>
        <w:outlineLvl w:val="0"/>
        <w:rPr>
          <w:rStyle w:val="29"/>
          <w:rFonts w:ascii="黑体" w:hAnsi="黑体" w:eastAsia="黑体"/>
          <w:b w:val="0"/>
        </w:rPr>
      </w:pPr>
      <w:bookmarkStart w:id="49" w:name="_Toc15396613"/>
      <w:bookmarkStart w:id="50" w:name="_Toc15377225"/>
      <w:r>
        <w:rPr>
          <w:rFonts w:hint="eastAsia" w:ascii="黑体" w:hAnsi="黑体" w:eastAsia="黑体"/>
          <w:sz w:val="44"/>
          <w:szCs w:val="44"/>
        </w:rPr>
        <w:t>名</w:t>
      </w:r>
      <w:r>
        <w:rPr>
          <w:rStyle w:val="29"/>
          <w:rFonts w:hint="eastAsia" w:ascii="黑体" w:hAnsi="黑体" w:eastAsia="黑体"/>
          <w:b w:val="0"/>
        </w:rPr>
        <w:t>词解释</w:t>
      </w:r>
      <w:bookmarkEnd w:id="49"/>
      <w:bookmarkEnd w:id="50"/>
    </w:p>
    <w:p w14:paraId="4A39F792">
      <w:pPr>
        <w:spacing w:line="600" w:lineRule="exact"/>
        <w:jc w:val="left"/>
        <w:rPr>
          <w:rFonts w:ascii="宋体"/>
          <w:b/>
          <w:sz w:val="44"/>
          <w:szCs w:val="44"/>
        </w:rPr>
      </w:pPr>
    </w:p>
    <w:p w14:paraId="220077F6">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1.</w:t>
      </w:r>
      <w:r>
        <w:rPr>
          <w:rFonts w:hint="eastAsia" w:ascii="仿宋_GB2312" w:eastAsia="仿宋_GB2312"/>
          <w:color w:val="auto"/>
          <w:sz w:val="32"/>
          <w:szCs w:val="32"/>
        </w:rPr>
        <w:t>财政拨款收入：指单位从同级财政部门取得的财政预算资金。</w:t>
      </w:r>
    </w:p>
    <w:p w14:paraId="17CCD7C3">
      <w:pPr>
        <w:pStyle w:val="27"/>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2</w:t>
      </w:r>
      <w:r>
        <w:rPr>
          <w:rFonts w:ascii="仿宋_GB2312" w:eastAsia="仿宋_GB2312"/>
          <w:color w:val="auto"/>
          <w:sz w:val="32"/>
          <w:szCs w:val="32"/>
        </w:rPr>
        <w:t>.</w:t>
      </w:r>
      <w:r>
        <w:rPr>
          <w:rFonts w:hint="eastAsia" w:ascii="仿宋_GB2312" w:eastAsia="仿宋_GB2312"/>
          <w:color w:val="auto"/>
          <w:sz w:val="32"/>
          <w:szCs w:val="32"/>
        </w:rPr>
        <w:t>使用非财政拨款结余：指事业单位使用以前年度积累的非财政拨款结余弥补当年收支差额的金额。</w:t>
      </w:r>
      <w:r>
        <w:rPr>
          <w:rFonts w:ascii="仿宋_GB2312" w:eastAsia="仿宋_GB2312"/>
          <w:color w:val="auto"/>
          <w:sz w:val="32"/>
          <w:szCs w:val="32"/>
        </w:rPr>
        <w:t xml:space="preserve"> </w:t>
      </w:r>
    </w:p>
    <w:p w14:paraId="6254A0AC">
      <w:pPr>
        <w:pStyle w:val="27"/>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3</w:t>
      </w:r>
      <w:r>
        <w:rPr>
          <w:rFonts w:ascii="仿宋_GB2312" w:eastAsia="仿宋_GB2312"/>
          <w:color w:val="auto"/>
          <w:sz w:val="32"/>
          <w:szCs w:val="32"/>
        </w:rPr>
        <w:t>.</w:t>
      </w:r>
      <w:r>
        <w:rPr>
          <w:rFonts w:hint="eastAsia" w:ascii="仿宋_GB2312" w:eastAsia="仿宋_GB2312"/>
          <w:color w:val="auto"/>
          <w:sz w:val="32"/>
          <w:szCs w:val="32"/>
        </w:rPr>
        <w:t>年初结转和结余：指以前年度尚未完成、结转到本年按有关规定继续使用的资金。</w:t>
      </w:r>
      <w:r>
        <w:rPr>
          <w:rFonts w:ascii="仿宋_GB2312" w:eastAsia="仿宋_GB2312"/>
          <w:color w:val="auto"/>
          <w:sz w:val="32"/>
          <w:szCs w:val="32"/>
        </w:rPr>
        <w:t xml:space="preserve"> </w:t>
      </w:r>
    </w:p>
    <w:p w14:paraId="6DA30E5C">
      <w:pPr>
        <w:pStyle w:val="27"/>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4</w:t>
      </w:r>
      <w:r>
        <w:rPr>
          <w:rFonts w:ascii="仿宋_GB2312" w:eastAsia="仿宋_GB2312"/>
          <w:color w:val="auto"/>
          <w:sz w:val="32"/>
          <w:szCs w:val="32"/>
        </w:rPr>
        <w:t>.</w:t>
      </w:r>
      <w:r>
        <w:rPr>
          <w:rFonts w:hint="eastAsia" w:ascii="仿宋_GB2312" w:eastAsia="仿宋_GB2312"/>
          <w:color w:val="auto"/>
          <w:sz w:val="32"/>
          <w:szCs w:val="32"/>
        </w:rPr>
        <w:t>结余分配：指事业单位按照会计制度规定缴纳的所得税、提取的专用结余以及转入非财政拨款结余的金额等。</w:t>
      </w:r>
    </w:p>
    <w:p w14:paraId="7FDEDC3B">
      <w:pPr>
        <w:pStyle w:val="27"/>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5</w:t>
      </w:r>
      <w:r>
        <w:rPr>
          <w:rFonts w:hint="eastAsia" w:ascii="仿宋_GB2312" w:eastAsia="仿宋_GB2312"/>
          <w:color w:val="auto"/>
          <w:sz w:val="32"/>
          <w:szCs w:val="32"/>
          <w:lang w:val="en-US" w:eastAsia="zh-CN"/>
        </w:rPr>
        <w:t>.</w:t>
      </w:r>
      <w:r>
        <w:rPr>
          <w:rFonts w:hint="eastAsia" w:ascii="仿宋_GB2312" w:eastAsia="仿宋_GB2312"/>
          <w:color w:val="auto"/>
          <w:sz w:val="32"/>
          <w:szCs w:val="32"/>
        </w:rPr>
        <w:t>年末结转和结余：指单位按有关规定结转到下年或以后年度继续使用的资金。</w:t>
      </w:r>
    </w:p>
    <w:p w14:paraId="55E8A814">
      <w:pPr>
        <w:ind w:firstLine="640" w:firstLineChars="200"/>
        <w:rPr>
          <w:rFonts w:ascii="仿宋_GB2312" w:eastAsia="仿宋_GB2312"/>
          <w:sz w:val="32"/>
          <w:szCs w:val="32"/>
        </w:rPr>
      </w:pPr>
      <w:r>
        <w:rPr>
          <w:rFonts w:hint="eastAsia" w:ascii="仿宋_GB2312" w:eastAsia="仿宋_GB2312"/>
          <w:sz w:val="32"/>
          <w:szCs w:val="32"/>
        </w:rPr>
        <w:t>6</w:t>
      </w:r>
      <w:r>
        <w:rPr>
          <w:rFonts w:ascii="仿宋_GB2312" w:eastAsia="仿宋_GB2312"/>
          <w:sz w:val="32"/>
          <w:szCs w:val="32"/>
        </w:rPr>
        <w:t>.</w:t>
      </w:r>
      <w:r>
        <w:rPr>
          <w:rFonts w:hint="eastAsia" w:ascii="仿宋_GB2312" w:eastAsia="仿宋_GB2312"/>
          <w:sz w:val="32"/>
          <w:szCs w:val="32"/>
        </w:rPr>
        <w:t>教育（类）普通教育（款）</w:t>
      </w:r>
      <w:r>
        <w:rPr>
          <w:rFonts w:hint="eastAsia" w:ascii="仿宋_GB2312" w:eastAsia="仿宋_GB2312"/>
          <w:sz w:val="32"/>
          <w:szCs w:val="32"/>
          <w:lang w:val="en-US" w:eastAsia="zh-CN"/>
        </w:rPr>
        <w:t>初中</w:t>
      </w:r>
      <w:r>
        <w:rPr>
          <w:rFonts w:hint="eastAsia" w:ascii="仿宋_GB2312" w:eastAsia="仿宋_GB2312"/>
          <w:sz w:val="32"/>
          <w:szCs w:val="32"/>
        </w:rPr>
        <w:t>教育（项）：指</w:t>
      </w:r>
      <w:r>
        <w:rPr>
          <w:rFonts w:hint="eastAsia" w:ascii="仿宋_GB2312" w:eastAsia="仿宋_GB2312"/>
          <w:sz w:val="32"/>
          <w:szCs w:val="32"/>
          <w:lang w:val="en-US" w:eastAsia="zh-CN"/>
        </w:rPr>
        <w:t>初中</w:t>
      </w:r>
      <w:r>
        <w:rPr>
          <w:rFonts w:hint="eastAsia" w:ascii="仿宋_GB2312" w:eastAsia="仿宋_GB2312"/>
          <w:sz w:val="32"/>
          <w:szCs w:val="32"/>
        </w:rPr>
        <w:t>教育</w:t>
      </w:r>
      <w:r>
        <w:rPr>
          <w:rFonts w:hint="eastAsia" w:ascii="仿宋_GB2312" w:eastAsia="仿宋_GB2312"/>
          <w:sz w:val="32"/>
          <w:szCs w:val="32"/>
          <w:lang w:eastAsia="zh-CN"/>
        </w:rPr>
        <w:t>支出</w:t>
      </w:r>
      <w:r>
        <w:rPr>
          <w:rFonts w:hint="eastAsia" w:ascii="仿宋_GB2312" w:eastAsia="仿宋_GB2312"/>
          <w:sz w:val="32"/>
          <w:szCs w:val="32"/>
        </w:rPr>
        <w:t>。</w:t>
      </w:r>
    </w:p>
    <w:p w14:paraId="740F8972">
      <w:pPr>
        <w:ind w:firstLine="640" w:firstLineChars="200"/>
        <w:rPr>
          <w:rFonts w:hint="eastAsia" w:ascii="仿宋_GB2312" w:eastAsia="仿宋_GB2312"/>
          <w:sz w:val="32"/>
          <w:szCs w:val="32"/>
        </w:rPr>
      </w:pPr>
      <w:r>
        <w:rPr>
          <w:rFonts w:hint="eastAsia" w:ascii="仿宋_GB2312" w:eastAsia="仿宋_GB2312"/>
          <w:sz w:val="32"/>
          <w:szCs w:val="32"/>
        </w:rPr>
        <w:t>7.教育（类）普通教育（款）其他</w:t>
      </w:r>
      <w:r>
        <w:rPr>
          <w:rFonts w:hint="eastAsia" w:ascii="仿宋_GB2312" w:eastAsia="仿宋_GB2312"/>
          <w:sz w:val="32"/>
          <w:szCs w:val="32"/>
          <w:lang w:val="en-US" w:eastAsia="zh-CN"/>
        </w:rPr>
        <w:t>普通</w:t>
      </w:r>
      <w:r>
        <w:rPr>
          <w:rFonts w:hint="eastAsia" w:ascii="仿宋_GB2312" w:eastAsia="仿宋_GB2312"/>
          <w:sz w:val="32"/>
          <w:szCs w:val="32"/>
        </w:rPr>
        <w:t>教育（项）：</w:t>
      </w:r>
      <w:r>
        <w:rPr>
          <w:rFonts w:hint="eastAsia" w:ascii="仿宋_GB2312" w:eastAsia="仿宋_GB2312"/>
          <w:sz w:val="32"/>
          <w:szCs w:val="32"/>
          <w:lang w:val="en-US" w:eastAsia="zh-CN"/>
        </w:rPr>
        <w:t>指</w:t>
      </w:r>
      <w:r>
        <w:rPr>
          <w:rFonts w:hint="eastAsia" w:ascii="仿宋_GB2312" w:eastAsia="仿宋_GB2312"/>
          <w:sz w:val="32"/>
          <w:szCs w:val="32"/>
        </w:rPr>
        <w:t>其他</w:t>
      </w:r>
      <w:r>
        <w:rPr>
          <w:rFonts w:hint="eastAsia" w:ascii="仿宋_GB2312" w:eastAsia="仿宋_GB2312"/>
          <w:sz w:val="32"/>
          <w:szCs w:val="32"/>
          <w:lang w:val="en-US" w:eastAsia="zh-CN"/>
        </w:rPr>
        <w:t>普通</w:t>
      </w:r>
      <w:r>
        <w:rPr>
          <w:rFonts w:hint="eastAsia" w:ascii="仿宋_GB2312" w:eastAsia="仿宋_GB2312"/>
          <w:sz w:val="32"/>
          <w:szCs w:val="32"/>
        </w:rPr>
        <w:t>教育</w:t>
      </w:r>
      <w:r>
        <w:rPr>
          <w:rFonts w:hint="eastAsia" w:ascii="仿宋_GB2312" w:eastAsia="仿宋_GB2312"/>
          <w:sz w:val="32"/>
          <w:szCs w:val="32"/>
          <w:lang w:val="en-US" w:eastAsia="zh-CN"/>
        </w:rPr>
        <w:t>支出</w:t>
      </w:r>
      <w:r>
        <w:rPr>
          <w:rFonts w:hint="eastAsia" w:ascii="仿宋_GB2312" w:eastAsia="仿宋_GB2312"/>
          <w:sz w:val="32"/>
          <w:szCs w:val="32"/>
        </w:rPr>
        <w:t>。</w:t>
      </w:r>
    </w:p>
    <w:p w14:paraId="0FAC8819">
      <w:pPr>
        <w:numPr>
          <w:ilvl w:val="0"/>
          <w:numId w:val="0"/>
        </w:numPr>
        <w:spacing w:line="600" w:lineRule="exact"/>
        <w:ind w:firstLine="640" w:firstLineChars="200"/>
        <w:rPr>
          <w:rFonts w:hint="eastAsia" w:ascii="仿宋_GB2312" w:hAnsi="Calibri" w:eastAsia="仿宋_GB2312" w:cs="仿宋"/>
          <w:color w:val="000000"/>
          <w:kern w:val="0"/>
          <w:sz w:val="32"/>
          <w:szCs w:val="32"/>
          <w:lang w:val="en-US" w:eastAsia="zh-CN" w:bidi="ar-SA"/>
        </w:rPr>
      </w:pPr>
      <w:r>
        <w:rPr>
          <w:rFonts w:hint="eastAsia" w:ascii="仿宋_GB2312" w:hAnsi="Calibri" w:eastAsia="仿宋_GB2312" w:cs="仿宋"/>
          <w:color w:val="000000"/>
          <w:kern w:val="0"/>
          <w:sz w:val="32"/>
          <w:szCs w:val="32"/>
          <w:lang w:val="en-US" w:eastAsia="zh-CN" w:bidi="ar-SA"/>
        </w:rPr>
        <w:t>8.社会保障和就业支出（类）行政事业单位养老支出（款）机关事业单位基本养老保险缴费支出（项）: 指机关事业单位实施养老保险制度由单位缴纳的基本养老保险费支出。</w:t>
      </w:r>
    </w:p>
    <w:p w14:paraId="78D1D626">
      <w:pPr>
        <w:pStyle w:val="16"/>
        <w:ind w:left="0" w:leftChars="0" w:firstLine="640" w:firstLineChars="200"/>
        <w:rPr>
          <w:rFonts w:hint="eastAsia"/>
          <w:lang w:val="en-US" w:eastAsia="zh-CN"/>
        </w:rPr>
      </w:pPr>
      <w:r>
        <w:rPr>
          <w:rFonts w:hint="eastAsia" w:ascii="仿宋_GB2312" w:hAnsi="Calibri" w:eastAsia="仿宋_GB2312" w:cs="仿宋"/>
          <w:color w:val="000000"/>
          <w:kern w:val="0"/>
          <w:sz w:val="32"/>
          <w:szCs w:val="32"/>
          <w:lang w:val="en-US" w:eastAsia="zh-CN" w:bidi="ar-SA"/>
        </w:rPr>
        <w:t>9.社会保障和就业支出（类）其他社会保障和就业支出（款）其他社会保障和就业支出（项）: 指其他用于社会保障和就业方面的支出。</w:t>
      </w:r>
    </w:p>
    <w:p w14:paraId="561A70A3">
      <w:pPr>
        <w:pStyle w:val="2"/>
        <w:ind w:firstLine="640" w:firstLineChars="200"/>
      </w:pPr>
      <w:r>
        <w:rPr>
          <w:rFonts w:hint="eastAsia" w:hAnsi="Calibri" w:cs="仿宋"/>
          <w:color w:val="000000"/>
          <w:kern w:val="0"/>
          <w:sz w:val="32"/>
          <w:szCs w:val="32"/>
          <w:lang w:val="en-US" w:eastAsia="zh-CN"/>
        </w:rPr>
        <w:t>10.</w:t>
      </w:r>
      <w:r>
        <w:rPr>
          <w:rFonts w:hint="eastAsia" w:ascii="仿宋_GB2312" w:hAnsi="Calibri" w:eastAsia="仿宋_GB2312" w:cs="仿宋"/>
          <w:color w:val="000000"/>
          <w:kern w:val="0"/>
          <w:sz w:val="32"/>
          <w:szCs w:val="32"/>
          <w:lang w:val="en-US" w:eastAsia="zh-CN"/>
        </w:rPr>
        <w:t>卫生健康（类）行政事业单位医疗（款）事业单位医疗（项）：指财政部门安排的事业单位基本医疗保险缴费经费，未参加医疗保险的事业单位的公费医疗经费，按国家规定享受离休人员待遇的医疗保险。</w:t>
      </w:r>
    </w:p>
    <w:p w14:paraId="5C2B3FE6">
      <w:pPr>
        <w:pStyle w:val="2"/>
        <w:ind w:firstLine="640" w:firstLineChars="200"/>
      </w:pPr>
      <w:r>
        <w:rPr>
          <w:rFonts w:hint="eastAsia" w:hAnsi="Calibri" w:cs="仿宋"/>
          <w:color w:val="000000"/>
          <w:kern w:val="0"/>
          <w:sz w:val="32"/>
          <w:szCs w:val="32"/>
          <w:lang w:val="en-US" w:eastAsia="zh-CN"/>
        </w:rPr>
        <w:t>11.</w:t>
      </w:r>
      <w:r>
        <w:rPr>
          <w:rFonts w:hint="eastAsia" w:ascii="仿宋_GB2312" w:hAnsi="Calibri" w:eastAsia="仿宋_GB2312" w:cs="仿宋"/>
          <w:color w:val="000000"/>
          <w:kern w:val="0"/>
          <w:sz w:val="32"/>
          <w:szCs w:val="32"/>
          <w:lang w:val="en-US" w:eastAsia="zh-CN"/>
        </w:rPr>
        <w:t>住房保障支出（类）住房改革支出（款）住房公积金（项）：指行政事业单位按人力资源和社会保障部、财政部规定的基本工资和津贴补贴以及规定比例为职工缴纳的住房公积金。</w:t>
      </w:r>
    </w:p>
    <w:p w14:paraId="6AF047C9">
      <w:pPr>
        <w:ind w:firstLine="640" w:firstLineChars="200"/>
        <w:rPr>
          <w:rFonts w:ascii="仿宋_GB2312" w:eastAsia="仿宋_GB2312"/>
          <w:sz w:val="32"/>
          <w:szCs w:val="32"/>
        </w:rPr>
      </w:pPr>
      <w:r>
        <w:rPr>
          <w:rFonts w:hint="eastAsia" w:ascii="仿宋_GB2312" w:eastAsia="仿宋_GB2312"/>
          <w:sz w:val="32"/>
          <w:szCs w:val="32"/>
          <w:lang w:val="en-US" w:eastAsia="zh-CN"/>
        </w:rPr>
        <w:t>12</w:t>
      </w:r>
      <w:r>
        <w:rPr>
          <w:rFonts w:ascii="仿宋_GB2312" w:eastAsia="仿宋_GB2312"/>
          <w:sz w:val="32"/>
          <w:szCs w:val="32"/>
        </w:rPr>
        <w:t>.</w:t>
      </w:r>
      <w:r>
        <w:rPr>
          <w:rFonts w:hint="eastAsia" w:ascii="仿宋_GB2312" w:eastAsia="仿宋_GB2312"/>
          <w:sz w:val="32"/>
          <w:szCs w:val="32"/>
        </w:rPr>
        <w:t>基本支出：指为保障机构正常运转、完成日常工作任务而发生的人员支出和公用支出。</w:t>
      </w:r>
    </w:p>
    <w:p w14:paraId="3594B7DF">
      <w:pPr>
        <w:ind w:firstLine="640" w:firstLineChars="200"/>
        <w:rPr>
          <w:rFonts w:ascii="仿宋_GB2312" w:eastAsia="仿宋_GB2312"/>
          <w:sz w:val="32"/>
          <w:szCs w:val="32"/>
        </w:rPr>
      </w:pPr>
      <w:r>
        <w:rPr>
          <w:rFonts w:hint="eastAsia" w:ascii="仿宋_GB2312" w:eastAsia="仿宋_GB2312"/>
          <w:sz w:val="32"/>
          <w:szCs w:val="32"/>
        </w:rPr>
        <w:t>1</w:t>
      </w:r>
      <w:r>
        <w:rPr>
          <w:rFonts w:hint="eastAsia" w:ascii="仿宋_GB2312" w:eastAsia="仿宋_GB2312"/>
          <w:sz w:val="32"/>
          <w:szCs w:val="32"/>
          <w:lang w:val="en-US" w:eastAsia="zh-CN"/>
        </w:rPr>
        <w:t>3</w:t>
      </w:r>
      <w:r>
        <w:rPr>
          <w:rFonts w:ascii="仿宋_GB2312" w:eastAsia="仿宋_GB2312"/>
          <w:sz w:val="32"/>
          <w:szCs w:val="32"/>
        </w:rPr>
        <w:t>.</w:t>
      </w:r>
      <w:r>
        <w:rPr>
          <w:rFonts w:hint="eastAsia" w:ascii="仿宋_GB2312" w:eastAsia="仿宋_GB2312"/>
          <w:sz w:val="32"/>
          <w:szCs w:val="32"/>
        </w:rPr>
        <w:t>项目支出：指在基本支出之外为完成特定行政任务和事业发展目标所发生的支出。</w:t>
      </w:r>
      <w:r>
        <w:rPr>
          <w:rFonts w:ascii="仿宋_GB2312" w:eastAsia="仿宋_GB2312"/>
          <w:sz w:val="32"/>
          <w:szCs w:val="32"/>
        </w:rPr>
        <w:t xml:space="preserve"> </w:t>
      </w:r>
    </w:p>
    <w:p w14:paraId="43D434A5">
      <w:pPr>
        <w:pStyle w:val="27"/>
        <w:spacing w:line="560" w:lineRule="exact"/>
        <w:ind w:firstLine="640" w:firstLineChars="200"/>
        <w:jc w:val="left"/>
        <w:rPr>
          <w:rFonts w:hint="eastAsia" w:ascii="仿宋_GB2312" w:eastAsia="仿宋_GB2312"/>
          <w:color w:val="auto"/>
          <w:sz w:val="32"/>
          <w:szCs w:val="32"/>
        </w:rPr>
      </w:pPr>
      <w:r>
        <w:rPr>
          <w:rFonts w:hint="eastAsia" w:ascii="仿宋_GB2312" w:eastAsia="仿宋_GB2312"/>
          <w:color w:val="auto"/>
          <w:sz w:val="32"/>
          <w:szCs w:val="32"/>
        </w:rPr>
        <w:t>1</w:t>
      </w:r>
      <w:r>
        <w:rPr>
          <w:rFonts w:hint="eastAsia" w:ascii="仿宋_GB2312" w:eastAsia="仿宋_GB2312"/>
          <w:color w:val="auto"/>
          <w:sz w:val="32"/>
          <w:szCs w:val="32"/>
          <w:lang w:val="en-US" w:eastAsia="zh-CN"/>
        </w:rPr>
        <w:t>4</w:t>
      </w:r>
      <w:r>
        <w:rPr>
          <w:rFonts w:ascii="仿宋_GB2312" w:eastAsia="仿宋_GB2312"/>
          <w:color w:val="auto"/>
          <w:sz w:val="32"/>
          <w:szCs w:val="32"/>
        </w:rPr>
        <w:t>.</w:t>
      </w:r>
      <w:r>
        <w:rPr>
          <w:rFonts w:hint="eastAsia" w:ascii="仿宋_GB2312" w:eastAsia="仿宋_GB2312"/>
          <w:color w:val="auto"/>
          <w:sz w:val="32"/>
          <w:szCs w:val="32"/>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bookmarkStart w:id="51" w:name="_Toc15377226"/>
    </w:p>
    <w:p w14:paraId="50FC1EA9">
      <w:pPr>
        <w:pStyle w:val="27"/>
        <w:spacing w:line="560" w:lineRule="exact"/>
        <w:ind w:firstLine="883" w:firstLineChars="200"/>
        <w:jc w:val="center"/>
        <w:rPr>
          <w:rStyle w:val="29"/>
          <w:rFonts w:hint="eastAsia" w:ascii="黑体" w:hAnsi="黑体" w:eastAsia="黑体"/>
          <w:b w:val="0"/>
          <w:color w:val="auto"/>
        </w:rPr>
      </w:pPr>
      <w:r>
        <w:rPr>
          <w:rFonts w:ascii="宋体"/>
          <w:b/>
          <w:color w:val="auto"/>
          <w:sz w:val="44"/>
          <w:szCs w:val="44"/>
        </w:rPr>
        <w:br w:type="page"/>
      </w:r>
      <w:bookmarkStart w:id="52" w:name="_Toc15396614"/>
      <w:r>
        <w:rPr>
          <w:rFonts w:hint="eastAsia" w:ascii="黑体" w:hAnsi="黑体" w:eastAsia="黑体"/>
          <w:color w:val="auto"/>
          <w:sz w:val="44"/>
          <w:szCs w:val="44"/>
        </w:rPr>
        <w:t>第</w:t>
      </w:r>
      <w:r>
        <w:rPr>
          <w:rStyle w:val="29"/>
          <w:rFonts w:hint="eastAsia" w:ascii="黑体" w:hAnsi="黑体" w:eastAsia="黑体"/>
          <w:b w:val="0"/>
          <w:color w:val="auto"/>
        </w:rPr>
        <w:t>四部分 附件</w:t>
      </w:r>
      <w:bookmarkEnd w:id="52"/>
    </w:p>
    <w:p w14:paraId="0645AAAD">
      <w:pPr>
        <w:spacing w:line="572" w:lineRule="exact"/>
        <w:jc w:val="left"/>
        <w:outlineLvl w:val="0"/>
        <w:rPr>
          <w:rStyle w:val="29"/>
          <w:rFonts w:hint="eastAsia" w:ascii="黑体" w:hAnsi="黑体" w:eastAsia="黑体"/>
          <w:b w:val="0"/>
          <w:color w:val="auto"/>
        </w:rPr>
      </w:pPr>
      <w:r>
        <w:rPr>
          <w:rFonts w:hint="eastAsia" w:ascii="黑体" w:hAnsi="黑体" w:eastAsia="黑体" w:cs="黑体"/>
          <w:sz w:val="32"/>
          <w:szCs w:val="32"/>
        </w:rPr>
        <w:t>附件</w:t>
      </w:r>
      <w:r>
        <w:rPr>
          <w:rFonts w:hint="eastAsia" w:ascii="黑体" w:hAnsi="黑体" w:eastAsia="黑体" w:cs="黑体"/>
          <w:sz w:val="32"/>
          <w:szCs w:val="32"/>
          <w:lang w:val="en-US" w:eastAsia="zh-CN"/>
        </w:rPr>
        <w:t>1</w:t>
      </w:r>
    </w:p>
    <w:tbl>
      <w:tblPr>
        <w:tblStyle w:val="17"/>
        <w:tblpPr w:leftFromText="180" w:rightFromText="180" w:vertAnchor="text" w:horzAnchor="page" w:tblpX="1386" w:tblpY="1234"/>
        <w:tblOverlap w:val="never"/>
        <w:tblW w:w="9454" w:type="dxa"/>
        <w:tblInd w:w="0" w:type="dxa"/>
        <w:tblLayout w:type="fixed"/>
        <w:tblCellMar>
          <w:top w:w="0" w:type="dxa"/>
          <w:left w:w="108" w:type="dxa"/>
          <w:bottom w:w="0" w:type="dxa"/>
          <w:right w:w="108" w:type="dxa"/>
        </w:tblCellMar>
      </w:tblPr>
      <w:tblGrid>
        <w:gridCol w:w="1113"/>
        <w:gridCol w:w="1005"/>
        <w:gridCol w:w="1215"/>
        <w:gridCol w:w="2385"/>
        <w:gridCol w:w="1178"/>
        <w:gridCol w:w="2322"/>
        <w:gridCol w:w="236"/>
      </w:tblGrid>
      <w:tr w14:paraId="465CF354">
        <w:tblPrEx>
          <w:tblCellMar>
            <w:top w:w="0" w:type="dxa"/>
            <w:left w:w="108" w:type="dxa"/>
            <w:bottom w:w="0" w:type="dxa"/>
            <w:right w:w="108" w:type="dxa"/>
          </w:tblCellMar>
        </w:tblPrEx>
        <w:trPr>
          <w:trHeight w:val="739" w:hRule="atLeast"/>
        </w:trPr>
        <w:tc>
          <w:tcPr>
            <w:tcW w:w="9218" w:type="dxa"/>
            <w:gridSpan w:val="6"/>
            <w:tcBorders>
              <w:top w:val="nil"/>
              <w:left w:val="nil"/>
              <w:bottom w:val="nil"/>
              <w:right w:val="nil"/>
            </w:tcBorders>
            <w:shd w:val="clear" w:color="auto" w:fill="auto"/>
            <w:vAlign w:val="center"/>
          </w:tcPr>
          <w:p w14:paraId="4E1C6367">
            <w:pPr>
              <w:keepNext w:val="0"/>
              <w:keepLines w:val="0"/>
              <w:widowControl/>
              <w:suppressLineNumbers w:val="0"/>
              <w:spacing w:before="0" w:beforeAutospacing="0" w:after="0" w:afterAutospacing="0"/>
              <w:ind w:left="0" w:right="0" w:firstLine="1285" w:firstLineChars="400"/>
              <w:jc w:val="both"/>
              <w:textAlignment w:val="center"/>
              <w:rPr>
                <w:rFonts w:hint="eastAsia" w:ascii="宋体" w:hAnsi="宋体" w:eastAsia="宋体" w:cs="宋体"/>
                <w:b/>
                <w:sz w:val="32"/>
                <w:szCs w:val="32"/>
                <w:lang w:eastAsia="zh-CN"/>
              </w:rPr>
            </w:pPr>
            <w:r>
              <w:rPr>
                <w:rFonts w:hint="eastAsia" w:ascii="宋体" w:hAnsi="宋体" w:cs="宋体"/>
                <w:b/>
                <w:sz w:val="32"/>
                <w:szCs w:val="32"/>
              </w:rPr>
              <w:t>2021年部门预算项目绩效目标自评</w:t>
            </w:r>
            <w:r>
              <w:rPr>
                <w:rFonts w:hint="eastAsia" w:ascii="宋体" w:hAnsi="宋体" w:cs="宋体"/>
                <w:b/>
                <w:sz w:val="32"/>
                <w:szCs w:val="32"/>
                <w:lang w:eastAsia="zh-CN"/>
              </w:rPr>
              <w:t>（校舍维修）</w:t>
            </w:r>
          </w:p>
        </w:tc>
        <w:tc>
          <w:tcPr>
            <w:tcW w:w="236" w:type="dxa"/>
            <w:tcBorders>
              <w:top w:val="nil"/>
              <w:left w:val="nil"/>
              <w:bottom w:val="nil"/>
              <w:right w:val="nil"/>
            </w:tcBorders>
            <w:shd w:val="clear" w:color="auto" w:fill="auto"/>
            <w:vAlign w:val="center"/>
          </w:tcPr>
          <w:p w14:paraId="6C0EC02A">
            <w:pPr>
              <w:keepNext w:val="0"/>
              <w:keepLines w:val="0"/>
              <w:widowControl/>
              <w:suppressLineNumbers w:val="0"/>
              <w:spacing w:before="0" w:beforeAutospacing="0" w:after="0" w:afterAutospacing="0"/>
              <w:ind w:left="0" w:right="0"/>
              <w:jc w:val="center"/>
              <w:textAlignment w:val="center"/>
              <w:rPr>
                <w:rFonts w:hint="default" w:ascii="宋体" w:hAnsi="宋体" w:cs="宋体"/>
                <w:b/>
                <w:kern w:val="0"/>
                <w:sz w:val="32"/>
                <w:szCs w:val="32"/>
              </w:rPr>
            </w:pPr>
          </w:p>
        </w:tc>
      </w:tr>
      <w:tr w14:paraId="77EE153B">
        <w:tblPrEx>
          <w:tblCellMar>
            <w:top w:w="0" w:type="dxa"/>
            <w:left w:w="108" w:type="dxa"/>
            <w:bottom w:w="0" w:type="dxa"/>
            <w:right w:w="108" w:type="dxa"/>
          </w:tblCellMar>
        </w:tblPrEx>
        <w:trPr>
          <w:gridAfter w:val="1"/>
          <w:wAfter w:w="236" w:type="dxa"/>
          <w:trHeight w:val="90" w:hRule="atLeast"/>
        </w:trPr>
        <w:tc>
          <w:tcPr>
            <w:tcW w:w="21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B4A3C9">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sz w:val="24"/>
              </w:rPr>
            </w:pPr>
            <w:r>
              <w:rPr>
                <w:rFonts w:hint="eastAsia" w:ascii="宋体" w:hAnsi="宋体" w:cs="宋体"/>
                <w:kern w:val="0"/>
                <w:sz w:val="24"/>
              </w:rPr>
              <w:t>主管部门及代码</w:t>
            </w:r>
          </w:p>
        </w:tc>
        <w:tc>
          <w:tcPr>
            <w:tcW w:w="3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8C8FEF">
            <w:pPr>
              <w:keepNext w:val="0"/>
              <w:keepLines w:val="0"/>
              <w:widowControl/>
              <w:suppressLineNumbers w:val="0"/>
              <w:spacing w:before="0" w:beforeAutospacing="0" w:after="0" w:afterAutospacing="0" w:line="320" w:lineRule="exact"/>
              <w:ind w:left="0" w:right="0"/>
              <w:textAlignment w:val="center"/>
              <w:rPr>
                <w:rFonts w:hint="default" w:ascii="宋体" w:hAnsi="宋体" w:eastAsia="宋体" w:cs="宋体"/>
                <w:sz w:val="24"/>
                <w:lang w:val="en-US" w:eastAsia="zh-CN"/>
              </w:rPr>
            </w:pPr>
            <w:r>
              <w:rPr>
                <w:rFonts w:hint="eastAsia" w:ascii="宋体" w:hAnsi="宋体" w:cs="宋体"/>
                <w:sz w:val="24"/>
                <w:lang w:val="en-US" w:eastAsia="zh-CN"/>
              </w:rPr>
              <w:t>360701</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31ADA">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sz w:val="24"/>
              </w:rPr>
            </w:pPr>
            <w:r>
              <w:rPr>
                <w:rFonts w:hint="eastAsia" w:ascii="宋体" w:hAnsi="宋体" w:cs="宋体"/>
                <w:kern w:val="0"/>
                <w:sz w:val="24"/>
              </w:rPr>
              <w:t>实施单位</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16AD6">
            <w:pPr>
              <w:keepNext w:val="0"/>
              <w:keepLines w:val="0"/>
              <w:widowControl/>
              <w:suppressLineNumbers w:val="0"/>
              <w:spacing w:before="0" w:beforeAutospacing="0" w:after="0" w:afterAutospacing="0" w:line="320" w:lineRule="exact"/>
              <w:ind w:left="0" w:right="0"/>
              <w:textAlignment w:val="center"/>
              <w:rPr>
                <w:rFonts w:hint="eastAsia" w:ascii="宋体" w:hAnsi="宋体" w:eastAsia="宋体" w:cs="宋体"/>
                <w:sz w:val="24"/>
                <w:lang w:eastAsia="zh-CN"/>
              </w:rPr>
            </w:pPr>
            <w:r>
              <w:rPr>
                <w:rFonts w:hint="eastAsia" w:ascii="宋体" w:hAnsi="宋体" w:cs="宋体"/>
                <w:sz w:val="24"/>
                <w:lang w:eastAsia="zh-CN"/>
              </w:rPr>
              <w:t>广元市昭化区民盟烛光中学</w:t>
            </w:r>
          </w:p>
        </w:tc>
      </w:tr>
      <w:tr w14:paraId="448F98A2">
        <w:tblPrEx>
          <w:tblCellMar>
            <w:top w:w="0" w:type="dxa"/>
            <w:left w:w="108" w:type="dxa"/>
            <w:bottom w:w="0" w:type="dxa"/>
            <w:right w:w="108" w:type="dxa"/>
          </w:tblCellMar>
        </w:tblPrEx>
        <w:trPr>
          <w:gridAfter w:val="1"/>
          <w:wAfter w:w="236" w:type="dxa"/>
          <w:trHeight w:val="415" w:hRule="atLeast"/>
        </w:trPr>
        <w:tc>
          <w:tcPr>
            <w:tcW w:w="211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7A6918">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kern w:val="0"/>
                <w:sz w:val="24"/>
              </w:rPr>
            </w:pPr>
            <w:r>
              <w:rPr>
                <w:rFonts w:hint="eastAsia" w:ascii="宋体" w:hAnsi="宋体" w:cs="宋体"/>
                <w:kern w:val="0"/>
                <w:sz w:val="24"/>
              </w:rPr>
              <w:t>项目预算</w:t>
            </w:r>
          </w:p>
          <w:p w14:paraId="3B48B25E">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kern w:val="0"/>
                <w:sz w:val="24"/>
              </w:rPr>
            </w:pPr>
            <w:r>
              <w:rPr>
                <w:rFonts w:hint="eastAsia" w:ascii="宋体" w:hAnsi="宋体" w:cs="宋体"/>
                <w:kern w:val="0"/>
                <w:sz w:val="24"/>
              </w:rPr>
              <w:t>执行情况</w:t>
            </w:r>
          </w:p>
          <w:p w14:paraId="2DB35941">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sz w:val="24"/>
              </w:rPr>
            </w:pPr>
            <w:r>
              <w:rPr>
                <w:rFonts w:hint="eastAsia" w:ascii="宋体" w:hAnsi="宋体" w:cs="宋体"/>
                <w:kern w:val="0"/>
                <w:sz w:val="24"/>
              </w:rPr>
              <w:t>（万元）</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978C4">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sz w:val="24"/>
              </w:rPr>
            </w:pPr>
            <w:r>
              <w:rPr>
                <w:rFonts w:hint="eastAsia" w:ascii="宋体" w:hAnsi="宋体" w:cs="宋体"/>
                <w:kern w:val="0"/>
                <w:sz w:val="24"/>
              </w:rPr>
              <w:t xml:space="preserve"> 预算数：</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2D076">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eastAsia="宋体" w:cs="宋体"/>
                <w:sz w:val="24"/>
                <w:lang w:val="en-US" w:eastAsia="zh-CN"/>
              </w:rPr>
            </w:pPr>
            <w:r>
              <w:rPr>
                <w:rFonts w:hint="eastAsia" w:ascii="宋体" w:hAnsi="宋体" w:cs="宋体"/>
                <w:sz w:val="24"/>
                <w:lang w:val="en-US" w:eastAsia="zh-CN"/>
              </w:rPr>
              <w:t>146</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BBFDD">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sz w:val="24"/>
              </w:rPr>
            </w:pPr>
            <w:r>
              <w:rPr>
                <w:rFonts w:hint="eastAsia" w:ascii="宋体" w:hAnsi="宋体" w:cs="宋体"/>
                <w:kern w:val="0"/>
                <w:sz w:val="24"/>
              </w:rPr>
              <w:t xml:space="preserve"> 执行数：</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DE454">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eastAsia="宋体" w:cs="宋体"/>
                <w:sz w:val="24"/>
                <w:lang w:val="en-US" w:eastAsia="zh-CN"/>
              </w:rPr>
            </w:pPr>
            <w:r>
              <w:rPr>
                <w:rFonts w:hint="eastAsia" w:ascii="宋体" w:hAnsi="宋体" w:cs="宋体"/>
                <w:sz w:val="24"/>
                <w:lang w:val="en-US" w:eastAsia="zh-CN"/>
              </w:rPr>
              <w:t>146</w:t>
            </w:r>
          </w:p>
        </w:tc>
      </w:tr>
      <w:tr w14:paraId="528F6789">
        <w:tblPrEx>
          <w:tblCellMar>
            <w:top w:w="0" w:type="dxa"/>
            <w:left w:w="108" w:type="dxa"/>
            <w:bottom w:w="0" w:type="dxa"/>
            <w:right w:w="108" w:type="dxa"/>
          </w:tblCellMar>
        </w:tblPrEx>
        <w:trPr>
          <w:gridAfter w:val="1"/>
          <w:wAfter w:w="236" w:type="dxa"/>
          <w:trHeight w:val="762"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9F2665">
            <w:pPr>
              <w:keepNext w:val="0"/>
              <w:keepLines w:val="0"/>
              <w:suppressLineNumbers w:val="0"/>
              <w:spacing w:before="0" w:beforeAutospacing="0" w:after="0" w:afterAutospacing="0" w:line="320" w:lineRule="exact"/>
              <w:ind w:left="0" w:right="0"/>
              <w:jc w:val="center"/>
              <w:rPr>
                <w:rFonts w:hint="default" w:ascii="宋体" w:hAnsi="宋体" w:cs="宋体"/>
                <w:sz w:val="24"/>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59E37">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kern w:val="0"/>
                <w:sz w:val="24"/>
              </w:rPr>
            </w:pPr>
            <w:r>
              <w:rPr>
                <w:rFonts w:hint="eastAsia" w:ascii="宋体" w:hAnsi="宋体" w:cs="宋体"/>
                <w:kern w:val="0"/>
                <w:sz w:val="24"/>
              </w:rPr>
              <w:t>其中：</w:t>
            </w:r>
          </w:p>
          <w:p w14:paraId="3BA4F98B">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sz w:val="24"/>
              </w:rPr>
            </w:pPr>
            <w:r>
              <w:rPr>
                <w:rFonts w:hint="eastAsia" w:ascii="宋体" w:hAnsi="宋体" w:cs="宋体"/>
                <w:kern w:val="0"/>
                <w:sz w:val="24"/>
              </w:rPr>
              <w:t>财政拨款</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5862A">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sz w:val="24"/>
                <w:lang w:val="en-US"/>
              </w:rPr>
            </w:pPr>
            <w:r>
              <w:rPr>
                <w:rFonts w:hint="eastAsia" w:ascii="宋体" w:hAnsi="宋体" w:cs="宋体"/>
                <w:sz w:val="24"/>
                <w:lang w:val="en-US" w:eastAsia="zh-CN"/>
              </w:rPr>
              <w:t>146</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1D53C">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kern w:val="0"/>
                <w:sz w:val="24"/>
              </w:rPr>
            </w:pPr>
            <w:r>
              <w:rPr>
                <w:rFonts w:hint="eastAsia" w:ascii="宋体" w:hAnsi="宋体" w:cs="宋体"/>
                <w:kern w:val="0"/>
                <w:sz w:val="24"/>
              </w:rPr>
              <w:t>其中：</w:t>
            </w:r>
          </w:p>
          <w:p w14:paraId="79CBA823">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sz w:val="24"/>
              </w:rPr>
            </w:pPr>
            <w:r>
              <w:rPr>
                <w:rFonts w:hint="eastAsia" w:ascii="宋体" w:hAnsi="宋体" w:cs="宋体"/>
                <w:kern w:val="0"/>
                <w:sz w:val="24"/>
              </w:rPr>
              <w:t>财政拨款</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20FD2">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sz w:val="24"/>
                <w:lang w:val="en-US"/>
              </w:rPr>
            </w:pPr>
            <w:r>
              <w:rPr>
                <w:rFonts w:hint="eastAsia" w:ascii="宋体" w:hAnsi="宋体" w:cs="宋体"/>
                <w:sz w:val="24"/>
                <w:lang w:val="en-US" w:eastAsia="zh-CN"/>
              </w:rPr>
              <w:t>146</w:t>
            </w:r>
          </w:p>
        </w:tc>
      </w:tr>
      <w:tr w14:paraId="3414A1E9">
        <w:tblPrEx>
          <w:tblCellMar>
            <w:top w:w="0" w:type="dxa"/>
            <w:left w:w="108" w:type="dxa"/>
            <w:bottom w:w="0" w:type="dxa"/>
            <w:right w:w="108" w:type="dxa"/>
          </w:tblCellMar>
        </w:tblPrEx>
        <w:trPr>
          <w:gridAfter w:val="1"/>
          <w:wAfter w:w="236" w:type="dxa"/>
          <w:trHeight w:val="415"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4787ED">
            <w:pPr>
              <w:keepNext w:val="0"/>
              <w:keepLines w:val="0"/>
              <w:suppressLineNumbers w:val="0"/>
              <w:spacing w:before="0" w:beforeAutospacing="0" w:after="0" w:afterAutospacing="0" w:line="320" w:lineRule="exact"/>
              <w:ind w:left="0" w:right="0"/>
              <w:jc w:val="center"/>
              <w:rPr>
                <w:rFonts w:hint="default" w:ascii="宋体" w:hAnsi="宋体" w:cs="宋体"/>
                <w:sz w:val="24"/>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9ACF3">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sz w:val="24"/>
              </w:rPr>
            </w:pPr>
            <w:r>
              <w:rPr>
                <w:rFonts w:hint="eastAsia" w:ascii="宋体" w:hAnsi="宋体" w:cs="宋体"/>
                <w:kern w:val="0"/>
                <w:sz w:val="24"/>
              </w:rPr>
              <w:t>其他资金</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0FEC9">
            <w:pPr>
              <w:keepNext w:val="0"/>
              <w:keepLines w:val="0"/>
              <w:widowControl/>
              <w:suppressLineNumbers w:val="0"/>
              <w:spacing w:before="0" w:beforeAutospacing="0" w:after="0" w:afterAutospacing="0" w:line="320" w:lineRule="exact"/>
              <w:ind w:left="0" w:right="0"/>
              <w:jc w:val="left"/>
              <w:textAlignment w:val="center"/>
              <w:rPr>
                <w:rFonts w:hint="eastAsia" w:ascii="宋体" w:hAnsi="宋体" w:eastAsia="宋体" w:cs="宋体"/>
                <w:sz w:val="24"/>
                <w:lang w:val="en-US" w:eastAsia="zh-CN"/>
              </w:rPr>
            </w:pP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68458">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sz w:val="24"/>
              </w:rPr>
            </w:pPr>
            <w:r>
              <w:rPr>
                <w:rFonts w:hint="eastAsia" w:ascii="宋体" w:hAnsi="宋体" w:cs="宋体"/>
                <w:kern w:val="0"/>
                <w:sz w:val="24"/>
              </w:rPr>
              <w:t>其他资金</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97201">
            <w:pPr>
              <w:keepNext w:val="0"/>
              <w:keepLines w:val="0"/>
              <w:widowControl/>
              <w:suppressLineNumbers w:val="0"/>
              <w:spacing w:before="0" w:beforeAutospacing="0" w:after="0" w:afterAutospacing="0" w:line="320" w:lineRule="exact"/>
              <w:ind w:left="0" w:right="0"/>
              <w:jc w:val="center"/>
              <w:textAlignment w:val="center"/>
              <w:rPr>
                <w:rFonts w:hint="eastAsia" w:ascii="宋体" w:hAnsi="宋体" w:eastAsia="宋体" w:cs="宋体"/>
                <w:sz w:val="24"/>
                <w:lang w:val="en-US" w:eastAsia="zh-CN"/>
              </w:rPr>
            </w:pPr>
          </w:p>
        </w:tc>
      </w:tr>
      <w:tr w14:paraId="19298BDF">
        <w:tblPrEx>
          <w:tblCellMar>
            <w:top w:w="0" w:type="dxa"/>
            <w:left w:w="108" w:type="dxa"/>
            <w:bottom w:w="0" w:type="dxa"/>
            <w:right w:w="108" w:type="dxa"/>
          </w:tblCellMar>
        </w:tblPrEx>
        <w:trPr>
          <w:gridAfter w:val="1"/>
          <w:wAfter w:w="236" w:type="dxa"/>
          <w:trHeight w:val="391"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DD4E49">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kern w:val="0"/>
                <w:sz w:val="24"/>
              </w:rPr>
            </w:pPr>
            <w:r>
              <w:rPr>
                <w:rFonts w:hint="eastAsia" w:ascii="宋体" w:hAnsi="宋体" w:cs="宋体"/>
                <w:kern w:val="0"/>
                <w:sz w:val="24"/>
              </w:rPr>
              <w:t>年度总体目标</w:t>
            </w:r>
          </w:p>
          <w:p w14:paraId="5092E6BC">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sz w:val="24"/>
              </w:rPr>
            </w:pPr>
            <w:r>
              <w:rPr>
                <w:rFonts w:hint="eastAsia" w:ascii="宋体" w:hAnsi="宋体" w:cs="宋体"/>
                <w:kern w:val="0"/>
                <w:sz w:val="24"/>
              </w:rPr>
              <w:t>完成情况</w:t>
            </w:r>
          </w:p>
        </w:tc>
        <w:tc>
          <w:tcPr>
            <w:tcW w:w="46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1032A92">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sz w:val="24"/>
              </w:rPr>
            </w:pPr>
            <w:r>
              <w:rPr>
                <w:rFonts w:hint="eastAsia" w:ascii="宋体" w:hAnsi="宋体" w:cs="宋体"/>
                <w:kern w:val="0"/>
                <w:sz w:val="24"/>
              </w:rPr>
              <w:t>预期目标</w:t>
            </w:r>
          </w:p>
        </w:tc>
        <w:tc>
          <w:tcPr>
            <w:tcW w:w="3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439D57">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sz w:val="24"/>
              </w:rPr>
            </w:pPr>
            <w:r>
              <w:rPr>
                <w:rFonts w:hint="eastAsia" w:ascii="宋体" w:hAnsi="宋体" w:cs="宋体"/>
                <w:kern w:val="0"/>
                <w:sz w:val="24"/>
              </w:rPr>
              <w:t>目标实际完成情况</w:t>
            </w:r>
          </w:p>
        </w:tc>
      </w:tr>
      <w:tr w14:paraId="242663A1">
        <w:tblPrEx>
          <w:tblCellMar>
            <w:top w:w="0" w:type="dxa"/>
            <w:left w:w="108" w:type="dxa"/>
            <w:bottom w:w="0" w:type="dxa"/>
            <w:right w:w="108" w:type="dxa"/>
          </w:tblCellMar>
        </w:tblPrEx>
        <w:trPr>
          <w:gridAfter w:val="1"/>
          <w:wAfter w:w="236" w:type="dxa"/>
          <w:trHeight w:val="94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105659">
            <w:pPr>
              <w:keepNext w:val="0"/>
              <w:keepLines w:val="0"/>
              <w:suppressLineNumbers w:val="0"/>
              <w:spacing w:before="0" w:beforeAutospacing="0" w:after="0" w:afterAutospacing="0" w:line="320" w:lineRule="exact"/>
              <w:ind w:left="0" w:right="0"/>
              <w:jc w:val="center"/>
              <w:rPr>
                <w:rFonts w:hint="default" w:ascii="宋体" w:hAnsi="宋体" w:cs="宋体"/>
                <w:sz w:val="24"/>
              </w:rPr>
            </w:pPr>
          </w:p>
        </w:tc>
        <w:tc>
          <w:tcPr>
            <w:tcW w:w="4605" w:type="dxa"/>
            <w:gridSpan w:val="3"/>
            <w:tcBorders>
              <w:top w:val="single" w:color="000000" w:sz="4" w:space="0"/>
              <w:left w:val="single" w:color="000000" w:sz="4" w:space="0"/>
              <w:bottom w:val="single" w:color="000000" w:sz="4" w:space="0"/>
              <w:right w:val="single" w:color="000000" w:sz="4" w:space="0"/>
            </w:tcBorders>
            <w:shd w:val="clear" w:color="auto" w:fill="auto"/>
          </w:tcPr>
          <w:p w14:paraId="20B39778">
            <w:pPr>
              <w:keepNext w:val="0"/>
              <w:keepLines w:val="0"/>
              <w:widowControl/>
              <w:suppressLineNumbers w:val="0"/>
              <w:spacing w:before="0" w:beforeAutospacing="0" w:after="0" w:afterAutospacing="0" w:line="320" w:lineRule="exact"/>
              <w:ind w:left="0" w:right="0"/>
              <w:jc w:val="left"/>
              <w:textAlignment w:val="top"/>
              <w:rPr>
                <w:rFonts w:hint="eastAsia" w:ascii="宋体" w:hAnsi="宋体" w:eastAsia="宋体" w:cs="宋体"/>
                <w:sz w:val="24"/>
                <w:lang w:eastAsia="zh-CN"/>
              </w:rPr>
            </w:pPr>
            <w:r>
              <w:rPr>
                <w:rFonts w:hint="default" w:ascii="宋体" w:hAnsi="宋体" w:cs="宋体"/>
                <w:sz w:val="22"/>
                <w:szCs w:val="22"/>
              </w:rPr>
              <w:t>校舍</w:t>
            </w:r>
            <w:r>
              <w:rPr>
                <w:rFonts w:hint="eastAsia" w:ascii="宋体" w:hAnsi="宋体" w:cs="宋体"/>
                <w:sz w:val="22"/>
                <w:szCs w:val="22"/>
                <w:lang w:eastAsia="zh-CN"/>
              </w:rPr>
              <w:t>维修面积</w:t>
            </w:r>
            <w:r>
              <w:rPr>
                <w:rFonts w:hint="eastAsia" w:ascii="宋体" w:hAnsi="宋体" w:cs="宋体"/>
                <w:sz w:val="22"/>
                <w:szCs w:val="22"/>
                <w:lang w:val="en-US" w:eastAsia="zh-CN"/>
              </w:rPr>
              <w:t>1835</w:t>
            </w:r>
            <w:r>
              <w:rPr>
                <w:rFonts w:hint="default" w:ascii="宋体" w:hAnsi="宋体" w:cs="宋体"/>
                <w:sz w:val="22"/>
                <w:szCs w:val="22"/>
              </w:rPr>
              <w:t>平方米，改善学校办学条件和基础设施配套，提供高质量硬件设施设备，营造良好的学习氛围</w:t>
            </w:r>
            <w:r>
              <w:rPr>
                <w:rFonts w:hint="eastAsia" w:ascii="宋体" w:hAnsi="宋体" w:cs="宋体"/>
                <w:sz w:val="22"/>
                <w:szCs w:val="22"/>
                <w:lang w:eastAsia="zh-CN"/>
              </w:rPr>
              <w:t>。</w:t>
            </w:r>
          </w:p>
        </w:tc>
        <w:tc>
          <w:tcPr>
            <w:tcW w:w="3500" w:type="dxa"/>
            <w:gridSpan w:val="2"/>
            <w:tcBorders>
              <w:top w:val="single" w:color="000000" w:sz="4" w:space="0"/>
              <w:left w:val="single" w:color="000000" w:sz="4" w:space="0"/>
              <w:bottom w:val="single" w:color="000000" w:sz="4" w:space="0"/>
              <w:right w:val="single" w:color="000000" w:sz="4" w:space="0"/>
            </w:tcBorders>
            <w:shd w:val="clear" w:color="auto" w:fill="auto"/>
          </w:tcPr>
          <w:p w14:paraId="663B2EC5">
            <w:pPr>
              <w:keepNext w:val="0"/>
              <w:keepLines w:val="0"/>
              <w:widowControl/>
              <w:suppressLineNumbers w:val="0"/>
              <w:spacing w:before="0" w:beforeAutospacing="0" w:after="0" w:afterAutospacing="0" w:line="320" w:lineRule="exact"/>
              <w:ind w:left="0" w:right="0"/>
              <w:jc w:val="left"/>
              <w:textAlignment w:val="top"/>
              <w:rPr>
                <w:rFonts w:hint="eastAsia" w:ascii="宋体" w:hAnsi="宋体" w:eastAsia="宋体" w:cs="宋体"/>
                <w:sz w:val="24"/>
                <w:lang w:eastAsia="zh-CN"/>
              </w:rPr>
            </w:pPr>
            <w:r>
              <w:rPr>
                <w:rFonts w:hint="eastAsia" w:ascii="宋体" w:hAnsi="宋体" w:eastAsia="宋体" w:cs="宋体"/>
                <w:sz w:val="22"/>
                <w:szCs w:val="22"/>
                <w:lang w:eastAsia="zh-CN"/>
              </w:rPr>
              <w:t>完成</w:t>
            </w:r>
            <w:r>
              <w:rPr>
                <w:rFonts w:hint="eastAsia" w:ascii="宋体" w:hAnsi="宋体" w:cs="宋体"/>
                <w:sz w:val="22"/>
                <w:szCs w:val="22"/>
                <w:lang w:val="en-US" w:eastAsia="zh-CN"/>
              </w:rPr>
              <w:t>1835</w:t>
            </w:r>
            <w:r>
              <w:rPr>
                <w:rFonts w:hint="default" w:ascii="宋体" w:hAnsi="宋体" w:cs="宋体"/>
                <w:sz w:val="22"/>
                <w:szCs w:val="22"/>
              </w:rPr>
              <w:t>平方米</w:t>
            </w:r>
            <w:r>
              <w:rPr>
                <w:rFonts w:hint="eastAsia" w:ascii="宋体" w:hAnsi="宋体" w:cs="宋体"/>
                <w:sz w:val="22"/>
                <w:szCs w:val="22"/>
                <w:lang w:eastAsia="zh-CN"/>
              </w:rPr>
              <w:t>的校舍维修，</w:t>
            </w:r>
            <w:r>
              <w:rPr>
                <w:rFonts w:hint="default" w:ascii="宋体" w:hAnsi="宋体" w:cs="宋体"/>
                <w:sz w:val="22"/>
                <w:szCs w:val="22"/>
              </w:rPr>
              <w:t>改善</w:t>
            </w:r>
            <w:r>
              <w:rPr>
                <w:rFonts w:hint="eastAsia" w:ascii="宋体" w:hAnsi="宋体" w:cs="宋体"/>
                <w:sz w:val="22"/>
                <w:szCs w:val="22"/>
                <w:lang w:eastAsia="zh-CN"/>
              </w:rPr>
              <w:t>了</w:t>
            </w:r>
            <w:r>
              <w:rPr>
                <w:rFonts w:hint="default" w:ascii="宋体" w:hAnsi="宋体" w:cs="宋体"/>
                <w:sz w:val="22"/>
                <w:szCs w:val="22"/>
              </w:rPr>
              <w:t>学校办学条件和基础设施配套，提供</w:t>
            </w:r>
            <w:r>
              <w:rPr>
                <w:rFonts w:hint="eastAsia" w:ascii="宋体" w:hAnsi="宋体" w:cs="宋体"/>
                <w:sz w:val="22"/>
                <w:szCs w:val="22"/>
                <w:lang w:eastAsia="zh-CN"/>
              </w:rPr>
              <w:t>了</w:t>
            </w:r>
            <w:r>
              <w:rPr>
                <w:rFonts w:hint="default" w:ascii="宋体" w:hAnsi="宋体" w:cs="宋体"/>
                <w:sz w:val="22"/>
                <w:szCs w:val="22"/>
              </w:rPr>
              <w:t>高质量硬件设施设备，营造</w:t>
            </w:r>
            <w:r>
              <w:rPr>
                <w:rFonts w:hint="eastAsia" w:ascii="宋体" w:hAnsi="宋体" w:cs="宋体"/>
                <w:sz w:val="22"/>
                <w:szCs w:val="22"/>
                <w:lang w:eastAsia="zh-CN"/>
              </w:rPr>
              <w:t>了</w:t>
            </w:r>
            <w:r>
              <w:rPr>
                <w:rFonts w:hint="default" w:ascii="宋体" w:hAnsi="宋体" w:cs="宋体"/>
                <w:sz w:val="22"/>
                <w:szCs w:val="22"/>
              </w:rPr>
              <w:t>良好的学习氛围</w:t>
            </w:r>
            <w:r>
              <w:rPr>
                <w:rFonts w:hint="eastAsia" w:ascii="宋体" w:hAnsi="宋体" w:cs="宋体"/>
                <w:sz w:val="22"/>
                <w:szCs w:val="22"/>
                <w:lang w:eastAsia="zh-CN"/>
              </w:rPr>
              <w:t>。</w:t>
            </w:r>
          </w:p>
        </w:tc>
      </w:tr>
      <w:tr w14:paraId="6F19C668">
        <w:tblPrEx>
          <w:tblCellMar>
            <w:top w:w="0" w:type="dxa"/>
            <w:left w:w="108" w:type="dxa"/>
            <w:bottom w:w="0" w:type="dxa"/>
            <w:right w:w="108" w:type="dxa"/>
          </w:tblCellMar>
        </w:tblPrEx>
        <w:trPr>
          <w:gridAfter w:val="1"/>
          <w:wAfter w:w="236" w:type="dxa"/>
          <w:trHeight w:val="718" w:hRule="atLeast"/>
        </w:trPr>
        <w:tc>
          <w:tcPr>
            <w:tcW w:w="1113" w:type="dxa"/>
            <w:vMerge w:val="restart"/>
            <w:tcBorders>
              <w:top w:val="single" w:color="000000" w:sz="4" w:space="0"/>
              <w:left w:val="single" w:color="000000" w:sz="4" w:space="0"/>
              <w:right w:val="single" w:color="000000" w:sz="4" w:space="0"/>
            </w:tcBorders>
            <w:shd w:val="clear" w:color="auto" w:fill="auto"/>
            <w:vAlign w:val="center"/>
          </w:tcPr>
          <w:p w14:paraId="0A96B566">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sz w:val="28"/>
                <w:szCs w:val="28"/>
              </w:rPr>
            </w:pPr>
            <w:r>
              <w:rPr>
                <w:rFonts w:hint="eastAsia" w:ascii="仿宋_GB2312" w:hAnsi="仿宋_GB2312" w:eastAsia="仿宋_GB2312" w:cs="仿宋_GB2312"/>
                <w:kern w:val="0"/>
                <w:sz w:val="28"/>
                <w:szCs w:val="28"/>
              </w:rPr>
              <w:t>年度绩效指标完成情况</w:t>
            </w:r>
          </w:p>
        </w:tc>
        <w:tc>
          <w:tcPr>
            <w:tcW w:w="1005" w:type="dxa"/>
            <w:tcBorders>
              <w:top w:val="single" w:color="000000" w:sz="4" w:space="0"/>
              <w:left w:val="nil"/>
              <w:bottom w:val="single" w:color="000000" w:sz="4" w:space="0"/>
              <w:right w:val="single" w:color="000000" w:sz="4" w:space="0"/>
            </w:tcBorders>
            <w:shd w:val="clear" w:color="auto" w:fill="auto"/>
            <w:vAlign w:val="center"/>
          </w:tcPr>
          <w:p w14:paraId="0B0C6D4A">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一级</w:t>
            </w:r>
          </w:p>
          <w:p w14:paraId="771CCBBB">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sz w:val="28"/>
                <w:szCs w:val="28"/>
              </w:rPr>
            </w:pPr>
            <w:r>
              <w:rPr>
                <w:rFonts w:hint="eastAsia" w:ascii="仿宋_GB2312" w:hAnsi="仿宋_GB2312" w:eastAsia="仿宋_GB2312" w:cs="仿宋_GB2312"/>
                <w:kern w:val="0"/>
                <w:sz w:val="28"/>
                <w:szCs w:val="28"/>
              </w:rPr>
              <w:t>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2AA93">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二级</w:t>
            </w:r>
          </w:p>
          <w:p w14:paraId="1CE235B2">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sz w:val="28"/>
                <w:szCs w:val="28"/>
              </w:rPr>
            </w:pPr>
            <w:r>
              <w:rPr>
                <w:rFonts w:hint="eastAsia" w:ascii="仿宋_GB2312" w:hAnsi="仿宋_GB2312" w:eastAsia="仿宋_GB2312" w:cs="仿宋_GB2312"/>
                <w:kern w:val="0"/>
                <w:sz w:val="28"/>
                <w:szCs w:val="28"/>
              </w:rPr>
              <w:t>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FFECA">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三级</w:t>
            </w:r>
          </w:p>
          <w:p w14:paraId="1433D5EA">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sz w:val="28"/>
                <w:szCs w:val="28"/>
              </w:rPr>
            </w:pPr>
            <w:r>
              <w:rPr>
                <w:rFonts w:hint="eastAsia" w:ascii="仿宋_GB2312" w:hAnsi="仿宋_GB2312" w:eastAsia="仿宋_GB2312" w:cs="仿宋_GB2312"/>
                <w:kern w:val="0"/>
                <w:sz w:val="28"/>
                <w:szCs w:val="28"/>
              </w:rPr>
              <w:t>指标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52D71">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sz w:val="28"/>
                <w:szCs w:val="28"/>
              </w:rPr>
            </w:pPr>
            <w:r>
              <w:rPr>
                <w:rFonts w:hint="eastAsia" w:ascii="仿宋_GB2312" w:hAnsi="仿宋_GB2312" w:eastAsia="仿宋_GB2312" w:cs="仿宋_GB2312"/>
                <w:kern w:val="0"/>
                <w:sz w:val="28"/>
                <w:szCs w:val="28"/>
              </w:rPr>
              <w:t>预期指标值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E7801">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sz w:val="28"/>
                <w:szCs w:val="28"/>
              </w:rPr>
            </w:pPr>
            <w:r>
              <w:rPr>
                <w:rFonts w:hint="eastAsia" w:ascii="仿宋_GB2312" w:hAnsi="仿宋_GB2312" w:eastAsia="仿宋_GB2312" w:cs="仿宋_GB2312"/>
                <w:kern w:val="0"/>
                <w:sz w:val="28"/>
                <w:szCs w:val="28"/>
              </w:rPr>
              <w:t>实际完成指标值</w:t>
            </w:r>
          </w:p>
        </w:tc>
      </w:tr>
      <w:tr w14:paraId="26BCCD1B">
        <w:tblPrEx>
          <w:tblCellMar>
            <w:top w:w="0" w:type="dxa"/>
            <w:left w:w="108" w:type="dxa"/>
            <w:bottom w:w="0" w:type="dxa"/>
            <w:right w:w="108" w:type="dxa"/>
          </w:tblCellMar>
        </w:tblPrEx>
        <w:trPr>
          <w:gridAfter w:val="1"/>
          <w:wAfter w:w="236" w:type="dxa"/>
          <w:trHeight w:val="381" w:hRule="atLeast"/>
        </w:trPr>
        <w:tc>
          <w:tcPr>
            <w:tcW w:w="1113" w:type="dxa"/>
            <w:vMerge w:val="continue"/>
            <w:tcBorders>
              <w:left w:val="single" w:color="000000" w:sz="4" w:space="0"/>
              <w:right w:val="single" w:color="000000" w:sz="4" w:space="0"/>
            </w:tcBorders>
            <w:shd w:val="clear" w:color="auto" w:fill="auto"/>
            <w:vAlign w:val="center"/>
          </w:tcPr>
          <w:p w14:paraId="169A03A6">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sz w:val="28"/>
                <w:szCs w:val="28"/>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422E33">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完成</w:t>
            </w:r>
          </w:p>
          <w:p w14:paraId="54346539">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sz w:val="28"/>
                <w:szCs w:val="28"/>
              </w:rPr>
            </w:pPr>
            <w:r>
              <w:rPr>
                <w:rFonts w:hint="eastAsia" w:ascii="仿宋_GB2312" w:hAnsi="仿宋_GB2312" w:eastAsia="仿宋_GB2312" w:cs="仿宋_GB2312"/>
                <w:kern w:val="0"/>
                <w:sz w:val="28"/>
                <w:szCs w:val="28"/>
              </w:rPr>
              <w:t>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048F2">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sz w:val="20"/>
                <w:szCs w:val="20"/>
              </w:rPr>
            </w:pPr>
            <w:r>
              <w:rPr>
                <w:rFonts w:hint="eastAsia" w:ascii="仿宋_GB2312" w:hAnsi="仿宋_GB2312" w:eastAsia="仿宋_GB2312" w:cs="仿宋_GB2312"/>
                <w:kern w:val="0"/>
                <w:sz w:val="20"/>
                <w:szCs w:val="20"/>
              </w:rPr>
              <w:t>数量指标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46342">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sz w:val="20"/>
                <w:szCs w:val="20"/>
              </w:rPr>
            </w:pPr>
            <w:r>
              <w:rPr>
                <w:rFonts w:hint="default" w:ascii="仿宋_GB2312" w:hAnsi="仿宋_GB2312" w:eastAsia="仿宋_GB2312" w:cs="仿宋_GB2312"/>
                <w:sz w:val="20"/>
                <w:szCs w:val="20"/>
              </w:rPr>
              <w:t>改扩建面积</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D43D2">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4800m²</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6C65F">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4800m²</w:t>
            </w:r>
          </w:p>
        </w:tc>
      </w:tr>
      <w:tr w14:paraId="0F49010B">
        <w:tblPrEx>
          <w:tblCellMar>
            <w:top w:w="0" w:type="dxa"/>
            <w:left w:w="108" w:type="dxa"/>
            <w:bottom w:w="0" w:type="dxa"/>
            <w:right w:w="108" w:type="dxa"/>
          </w:tblCellMar>
        </w:tblPrEx>
        <w:trPr>
          <w:gridAfter w:val="1"/>
          <w:wAfter w:w="236" w:type="dxa"/>
          <w:trHeight w:val="380" w:hRule="atLeast"/>
        </w:trPr>
        <w:tc>
          <w:tcPr>
            <w:tcW w:w="1113" w:type="dxa"/>
            <w:vMerge w:val="continue"/>
            <w:tcBorders>
              <w:left w:val="single" w:color="000000" w:sz="4" w:space="0"/>
              <w:right w:val="single" w:color="000000" w:sz="4" w:space="0"/>
            </w:tcBorders>
            <w:shd w:val="clear" w:color="auto" w:fill="auto"/>
            <w:vAlign w:val="center"/>
          </w:tcPr>
          <w:p w14:paraId="075A5C34">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sz w:val="28"/>
                <w:szCs w:val="28"/>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BC0008">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sz w:val="28"/>
                <w:szCs w:val="28"/>
              </w:rPr>
            </w:pPr>
          </w:p>
        </w:tc>
        <w:tc>
          <w:tcPr>
            <w:tcW w:w="1215" w:type="dxa"/>
            <w:vMerge w:val="restart"/>
            <w:tcBorders>
              <w:top w:val="single" w:color="000000" w:sz="4" w:space="0"/>
              <w:left w:val="single" w:color="000000" w:sz="4" w:space="0"/>
              <w:right w:val="single" w:color="000000" w:sz="4" w:space="0"/>
            </w:tcBorders>
            <w:shd w:val="clear" w:color="auto" w:fill="auto"/>
            <w:vAlign w:val="center"/>
          </w:tcPr>
          <w:p w14:paraId="4963CCCB">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sz w:val="20"/>
                <w:szCs w:val="20"/>
              </w:rPr>
            </w:pPr>
            <w:r>
              <w:rPr>
                <w:rFonts w:hint="eastAsia" w:ascii="仿宋_GB2312" w:hAnsi="仿宋_GB2312" w:eastAsia="仿宋_GB2312" w:cs="仿宋_GB2312"/>
                <w:kern w:val="0"/>
                <w:sz w:val="20"/>
                <w:szCs w:val="20"/>
              </w:rPr>
              <w:t>质量指标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33057">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sz w:val="20"/>
                <w:szCs w:val="20"/>
              </w:rPr>
            </w:pPr>
            <w:r>
              <w:rPr>
                <w:rFonts w:hint="eastAsia" w:ascii="仿宋_GB2312" w:hAnsi="仿宋_GB2312" w:eastAsia="仿宋_GB2312" w:cs="仿宋_GB2312"/>
                <w:sz w:val="20"/>
                <w:szCs w:val="20"/>
                <w:lang w:eastAsia="zh-CN"/>
              </w:rPr>
              <w:t>校舍维修</w:t>
            </w:r>
            <w:r>
              <w:rPr>
                <w:rFonts w:hint="default" w:ascii="仿宋_GB2312" w:hAnsi="仿宋_GB2312" w:eastAsia="仿宋_GB2312" w:cs="仿宋_GB2312"/>
                <w:sz w:val="20"/>
                <w:szCs w:val="20"/>
              </w:rPr>
              <w:t>竣工验收合格率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8DBEA">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100%</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F5B57">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100%</w:t>
            </w:r>
          </w:p>
        </w:tc>
      </w:tr>
      <w:tr w14:paraId="5C370EA2">
        <w:tblPrEx>
          <w:tblCellMar>
            <w:top w:w="0" w:type="dxa"/>
            <w:left w:w="108" w:type="dxa"/>
            <w:bottom w:w="0" w:type="dxa"/>
            <w:right w:w="108" w:type="dxa"/>
          </w:tblCellMar>
        </w:tblPrEx>
        <w:trPr>
          <w:gridAfter w:val="1"/>
          <w:wAfter w:w="236" w:type="dxa"/>
          <w:trHeight w:val="216" w:hRule="atLeast"/>
        </w:trPr>
        <w:tc>
          <w:tcPr>
            <w:tcW w:w="1113" w:type="dxa"/>
            <w:vMerge w:val="continue"/>
            <w:tcBorders>
              <w:left w:val="single" w:color="000000" w:sz="4" w:space="0"/>
              <w:right w:val="single" w:color="000000" w:sz="4" w:space="0"/>
            </w:tcBorders>
            <w:shd w:val="clear" w:color="auto" w:fill="auto"/>
            <w:vAlign w:val="center"/>
          </w:tcPr>
          <w:p w14:paraId="72DA8CCA">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sz w:val="28"/>
                <w:szCs w:val="28"/>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6AF613">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sz w:val="28"/>
                <w:szCs w:val="28"/>
              </w:rPr>
            </w:pPr>
          </w:p>
        </w:tc>
        <w:tc>
          <w:tcPr>
            <w:tcW w:w="1215" w:type="dxa"/>
            <w:vMerge w:val="continue"/>
            <w:tcBorders>
              <w:left w:val="single" w:color="000000" w:sz="4" w:space="0"/>
              <w:right w:val="single" w:color="000000" w:sz="4" w:space="0"/>
            </w:tcBorders>
            <w:shd w:val="clear" w:color="auto" w:fill="auto"/>
            <w:vAlign w:val="center"/>
          </w:tcPr>
          <w:p w14:paraId="01F92F4E">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kern w:val="0"/>
                <w:sz w:val="20"/>
                <w:szCs w:val="20"/>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5E347">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sz w:val="20"/>
                <w:szCs w:val="20"/>
              </w:rPr>
            </w:pPr>
            <w:r>
              <w:rPr>
                <w:rFonts w:hint="default" w:ascii="仿宋_GB2312" w:hAnsi="仿宋_GB2312" w:eastAsia="仿宋_GB2312" w:cs="仿宋_GB2312"/>
                <w:sz w:val="20"/>
                <w:szCs w:val="20"/>
              </w:rPr>
              <w:t>校舍</w:t>
            </w:r>
            <w:r>
              <w:rPr>
                <w:rFonts w:hint="eastAsia" w:ascii="仿宋_GB2312" w:hAnsi="仿宋_GB2312" w:eastAsia="仿宋_GB2312" w:cs="仿宋_GB2312"/>
                <w:sz w:val="20"/>
                <w:szCs w:val="20"/>
                <w:lang w:eastAsia="zh-CN"/>
              </w:rPr>
              <w:t>维修</w:t>
            </w:r>
            <w:r>
              <w:rPr>
                <w:rFonts w:hint="default" w:ascii="仿宋_GB2312" w:hAnsi="仿宋_GB2312" w:eastAsia="仿宋_GB2312" w:cs="仿宋_GB2312"/>
                <w:sz w:val="20"/>
                <w:szCs w:val="20"/>
              </w:rPr>
              <w:t>质量标准</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26C4F">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kern w:val="2"/>
                <w:sz w:val="20"/>
                <w:szCs w:val="20"/>
                <w:lang w:val="en-US" w:eastAsia="zh-CN" w:bidi="ar-SA"/>
              </w:rPr>
            </w:pPr>
            <w:r>
              <w:rPr>
                <w:rFonts w:hint="default" w:ascii="仿宋_GB2312" w:hAnsi="仿宋_GB2312" w:eastAsia="仿宋_GB2312" w:cs="仿宋_GB2312"/>
                <w:sz w:val="20"/>
                <w:szCs w:val="20"/>
              </w:rPr>
              <w:t>合格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773BC">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kern w:val="2"/>
                <w:sz w:val="20"/>
                <w:szCs w:val="20"/>
                <w:lang w:val="en-US" w:eastAsia="zh-CN" w:bidi="ar-SA"/>
              </w:rPr>
            </w:pPr>
            <w:r>
              <w:rPr>
                <w:rFonts w:hint="default" w:ascii="仿宋_GB2312" w:hAnsi="仿宋_GB2312" w:eastAsia="仿宋_GB2312" w:cs="仿宋_GB2312"/>
                <w:sz w:val="20"/>
                <w:szCs w:val="20"/>
              </w:rPr>
              <w:t>合格</w:t>
            </w:r>
          </w:p>
        </w:tc>
      </w:tr>
      <w:tr w14:paraId="10C4B030">
        <w:tblPrEx>
          <w:tblCellMar>
            <w:top w:w="0" w:type="dxa"/>
            <w:left w:w="108" w:type="dxa"/>
            <w:bottom w:w="0" w:type="dxa"/>
            <w:right w:w="108" w:type="dxa"/>
          </w:tblCellMar>
        </w:tblPrEx>
        <w:trPr>
          <w:gridAfter w:val="1"/>
          <w:wAfter w:w="236" w:type="dxa"/>
          <w:trHeight w:val="465" w:hRule="atLeast"/>
        </w:trPr>
        <w:tc>
          <w:tcPr>
            <w:tcW w:w="1113" w:type="dxa"/>
            <w:vMerge w:val="continue"/>
            <w:tcBorders>
              <w:left w:val="single" w:color="000000" w:sz="4" w:space="0"/>
              <w:right w:val="single" w:color="000000" w:sz="4" w:space="0"/>
            </w:tcBorders>
            <w:shd w:val="clear" w:color="auto" w:fill="auto"/>
            <w:vAlign w:val="center"/>
          </w:tcPr>
          <w:p w14:paraId="2FA6DC55">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sz w:val="28"/>
                <w:szCs w:val="28"/>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2CCD4D">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sz w:val="28"/>
                <w:szCs w:val="28"/>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14:paraId="4FF3878F">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kern w:val="0"/>
                <w:sz w:val="20"/>
                <w:szCs w:val="20"/>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8B582">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sz w:val="20"/>
                <w:szCs w:val="20"/>
              </w:rPr>
            </w:pPr>
            <w:r>
              <w:rPr>
                <w:rFonts w:hint="default" w:ascii="仿宋_GB2312" w:hAnsi="仿宋_GB2312" w:eastAsia="仿宋_GB2312" w:cs="仿宋_GB2312"/>
                <w:sz w:val="20"/>
                <w:szCs w:val="20"/>
              </w:rPr>
              <w:t>设备购置质量标准</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699DE">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kern w:val="2"/>
                <w:sz w:val="20"/>
                <w:szCs w:val="20"/>
                <w:lang w:val="en-US" w:eastAsia="zh-CN" w:bidi="ar-SA"/>
              </w:rPr>
            </w:pPr>
            <w:r>
              <w:rPr>
                <w:rFonts w:hint="default" w:ascii="仿宋_GB2312" w:hAnsi="仿宋_GB2312" w:eastAsia="仿宋_GB2312" w:cs="仿宋_GB2312"/>
                <w:sz w:val="20"/>
                <w:szCs w:val="20"/>
              </w:rPr>
              <w:t>合格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8A33D">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kern w:val="2"/>
                <w:sz w:val="20"/>
                <w:szCs w:val="20"/>
                <w:lang w:val="en-US" w:eastAsia="zh-CN" w:bidi="ar-SA"/>
              </w:rPr>
            </w:pPr>
            <w:r>
              <w:rPr>
                <w:rFonts w:hint="default" w:ascii="仿宋_GB2312" w:hAnsi="仿宋_GB2312" w:eastAsia="仿宋_GB2312" w:cs="仿宋_GB2312"/>
                <w:sz w:val="20"/>
                <w:szCs w:val="20"/>
              </w:rPr>
              <w:t>合格</w:t>
            </w:r>
          </w:p>
        </w:tc>
      </w:tr>
      <w:tr w14:paraId="2054510D">
        <w:tblPrEx>
          <w:tblCellMar>
            <w:top w:w="0" w:type="dxa"/>
            <w:left w:w="108" w:type="dxa"/>
            <w:bottom w:w="0" w:type="dxa"/>
            <w:right w:w="108" w:type="dxa"/>
          </w:tblCellMar>
        </w:tblPrEx>
        <w:trPr>
          <w:gridAfter w:val="1"/>
          <w:wAfter w:w="236" w:type="dxa"/>
          <w:trHeight w:val="321" w:hRule="atLeast"/>
        </w:trPr>
        <w:tc>
          <w:tcPr>
            <w:tcW w:w="1113" w:type="dxa"/>
            <w:vMerge w:val="continue"/>
            <w:tcBorders>
              <w:left w:val="single" w:color="000000" w:sz="4" w:space="0"/>
              <w:right w:val="single" w:color="000000" w:sz="4" w:space="0"/>
            </w:tcBorders>
            <w:shd w:val="clear" w:color="auto" w:fill="auto"/>
            <w:vAlign w:val="center"/>
          </w:tcPr>
          <w:p w14:paraId="300C9FFE">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sz w:val="28"/>
                <w:szCs w:val="28"/>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F1F779">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sz w:val="28"/>
                <w:szCs w:val="28"/>
              </w:rPr>
            </w:pPr>
          </w:p>
        </w:tc>
        <w:tc>
          <w:tcPr>
            <w:tcW w:w="1215" w:type="dxa"/>
            <w:vMerge w:val="restart"/>
            <w:tcBorders>
              <w:top w:val="single" w:color="000000" w:sz="4" w:space="0"/>
              <w:left w:val="single" w:color="000000" w:sz="4" w:space="0"/>
              <w:right w:val="single" w:color="000000" w:sz="4" w:space="0"/>
            </w:tcBorders>
            <w:shd w:val="clear" w:color="auto" w:fill="auto"/>
            <w:vAlign w:val="center"/>
          </w:tcPr>
          <w:p w14:paraId="153CAA55">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sz w:val="20"/>
                <w:szCs w:val="20"/>
              </w:rPr>
            </w:pPr>
            <w:r>
              <w:rPr>
                <w:rFonts w:hint="eastAsia" w:ascii="仿宋_GB2312" w:hAnsi="仿宋_GB2312" w:eastAsia="仿宋_GB2312" w:cs="仿宋_GB2312"/>
                <w:kern w:val="0"/>
                <w:sz w:val="20"/>
                <w:szCs w:val="20"/>
              </w:rPr>
              <w:t>时效指标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56735">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sz w:val="20"/>
                <w:szCs w:val="20"/>
              </w:rPr>
            </w:pPr>
            <w:r>
              <w:rPr>
                <w:rFonts w:hint="eastAsia" w:ascii="仿宋_GB2312" w:hAnsi="仿宋_GB2312" w:eastAsia="仿宋_GB2312" w:cs="仿宋_GB2312"/>
                <w:sz w:val="20"/>
                <w:szCs w:val="20"/>
                <w:lang w:eastAsia="zh-CN"/>
              </w:rPr>
              <w:t>校舍维修建设周期</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010B3">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1年</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29892">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1年</w:t>
            </w:r>
          </w:p>
        </w:tc>
      </w:tr>
      <w:tr w14:paraId="5C16BCB1">
        <w:tblPrEx>
          <w:tblCellMar>
            <w:top w:w="0" w:type="dxa"/>
            <w:left w:w="108" w:type="dxa"/>
            <w:bottom w:w="0" w:type="dxa"/>
            <w:right w:w="108" w:type="dxa"/>
          </w:tblCellMar>
        </w:tblPrEx>
        <w:trPr>
          <w:gridAfter w:val="1"/>
          <w:wAfter w:w="236" w:type="dxa"/>
          <w:trHeight w:val="306" w:hRule="atLeast"/>
        </w:trPr>
        <w:tc>
          <w:tcPr>
            <w:tcW w:w="1113" w:type="dxa"/>
            <w:vMerge w:val="continue"/>
            <w:tcBorders>
              <w:left w:val="single" w:color="000000" w:sz="4" w:space="0"/>
              <w:right w:val="single" w:color="000000" w:sz="4" w:space="0"/>
            </w:tcBorders>
            <w:shd w:val="clear" w:color="auto" w:fill="auto"/>
            <w:vAlign w:val="center"/>
          </w:tcPr>
          <w:p w14:paraId="40EB07E8">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sz w:val="28"/>
                <w:szCs w:val="28"/>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70B855">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sz w:val="28"/>
                <w:szCs w:val="28"/>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14:paraId="4A649ED8">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kern w:val="0"/>
                <w:sz w:val="20"/>
                <w:szCs w:val="20"/>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E9FC4">
            <w:pPr>
              <w:keepNext w:val="0"/>
              <w:keepLines w:val="0"/>
              <w:widowControl/>
              <w:suppressLineNumbers w:val="0"/>
              <w:spacing w:before="0" w:beforeAutospacing="0" w:after="0" w:afterAutospacing="0" w:line="320" w:lineRule="exact"/>
              <w:ind w:left="0" w:right="0"/>
              <w:jc w:val="left"/>
              <w:textAlignment w:val="bottom"/>
              <w:rPr>
                <w:rFonts w:hint="eastAsia" w:ascii="仿宋_GB2312" w:hAnsi="仿宋_GB2312" w:eastAsia="仿宋_GB2312" w:cs="仿宋_GB2312"/>
                <w:sz w:val="20"/>
                <w:szCs w:val="20"/>
                <w:lang w:eastAsia="zh-CN"/>
              </w:rPr>
            </w:pPr>
            <w:r>
              <w:rPr>
                <w:rFonts w:hint="eastAsia" w:ascii="仿宋_GB2312" w:hAnsi="仿宋_GB2312" w:eastAsia="仿宋_GB2312" w:cs="仿宋_GB2312"/>
                <w:sz w:val="20"/>
                <w:szCs w:val="20"/>
                <w:lang w:eastAsia="zh-CN"/>
              </w:rPr>
              <w:t>设备购置周期</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20CF8">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6个月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576CE">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6个月</w:t>
            </w:r>
          </w:p>
        </w:tc>
      </w:tr>
      <w:tr w14:paraId="05A17C49">
        <w:tblPrEx>
          <w:tblCellMar>
            <w:top w:w="0" w:type="dxa"/>
            <w:left w:w="108" w:type="dxa"/>
            <w:bottom w:w="0" w:type="dxa"/>
            <w:right w:w="108" w:type="dxa"/>
          </w:tblCellMar>
        </w:tblPrEx>
        <w:trPr>
          <w:gridAfter w:val="1"/>
          <w:wAfter w:w="236" w:type="dxa"/>
          <w:trHeight w:val="626" w:hRule="atLeast"/>
        </w:trPr>
        <w:tc>
          <w:tcPr>
            <w:tcW w:w="1113" w:type="dxa"/>
            <w:vMerge w:val="continue"/>
            <w:tcBorders>
              <w:left w:val="single" w:color="000000" w:sz="4" w:space="0"/>
              <w:right w:val="single" w:color="000000" w:sz="4" w:space="0"/>
            </w:tcBorders>
            <w:shd w:val="clear" w:color="auto" w:fill="auto"/>
            <w:vAlign w:val="center"/>
          </w:tcPr>
          <w:p w14:paraId="7980A62A">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sz w:val="28"/>
                <w:szCs w:val="28"/>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603D5D">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sz w:val="28"/>
                <w:szCs w:val="28"/>
              </w:rPr>
            </w:pPr>
          </w:p>
        </w:tc>
        <w:tc>
          <w:tcPr>
            <w:tcW w:w="1215" w:type="dxa"/>
            <w:tcBorders>
              <w:top w:val="single" w:color="000000" w:sz="4" w:space="0"/>
              <w:left w:val="single" w:color="000000" w:sz="4" w:space="0"/>
              <w:bottom w:val="single" w:color="auto" w:sz="4" w:space="0"/>
              <w:right w:val="single" w:color="000000" w:sz="4" w:space="0"/>
            </w:tcBorders>
            <w:shd w:val="clear" w:color="auto" w:fill="auto"/>
            <w:vAlign w:val="center"/>
          </w:tcPr>
          <w:p w14:paraId="117E0F82">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sz w:val="20"/>
                <w:szCs w:val="20"/>
              </w:rPr>
            </w:pPr>
            <w:r>
              <w:rPr>
                <w:rFonts w:hint="eastAsia" w:ascii="仿宋_GB2312" w:hAnsi="仿宋_GB2312" w:eastAsia="仿宋_GB2312" w:cs="仿宋_GB2312"/>
                <w:kern w:val="0"/>
                <w:sz w:val="20"/>
                <w:szCs w:val="20"/>
              </w:rPr>
              <w:t>成本指标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BDEC1">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sz w:val="20"/>
                <w:szCs w:val="20"/>
              </w:rPr>
            </w:pPr>
            <w:r>
              <w:rPr>
                <w:rFonts w:hint="default" w:ascii="仿宋_GB2312" w:hAnsi="仿宋_GB2312" w:eastAsia="仿宋_GB2312" w:cs="仿宋_GB2312"/>
                <w:sz w:val="20"/>
                <w:szCs w:val="20"/>
              </w:rPr>
              <w:t>校舍</w:t>
            </w:r>
            <w:r>
              <w:rPr>
                <w:rFonts w:hint="eastAsia" w:ascii="仿宋_GB2312" w:hAnsi="仿宋_GB2312" w:eastAsia="仿宋_GB2312" w:cs="仿宋_GB2312"/>
                <w:sz w:val="20"/>
                <w:szCs w:val="20"/>
                <w:lang w:eastAsia="zh-CN"/>
              </w:rPr>
              <w:t>维修</w:t>
            </w:r>
            <w:r>
              <w:rPr>
                <w:rFonts w:hint="default" w:ascii="仿宋_GB2312" w:hAnsi="仿宋_GB2312" w:eastAsia="仿宋_GB2312" w:cs="仿宋_GB2312"/>
                <w:sz w:val="20"/>
                <w:szCs w:val="20"/>
              </w:rPr>
              <w:t>类项目每平方米造价</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2B371">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≤800元</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B0A25">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sz w:val="20"/>
                <w:szCs w:val="20"/>
                <w:lang w:val="en-US"/>
              </w:rPr>
            </w:pPr>
            <w:r>
              <w:rPr>
                <w:rFonts w:hint="eastAsia" w:ascii="仿宋_GB2312" w:hAnsi="仿宋_GB2312" w:eastAsia="仿宋_GB2312" w:cs="仿宋_GB2312"/>
                <w:sz w:val="20"/>
                <w:szCs w:val="20"/>
                <w:lang w:val="en-US" w:eastAsia="zh-CN"/>
              </w:rPr>
              <w:t>796元</w:t>
            </w:r>
          </w:p>
        </w:tc>
      </w:tr>
      <w:tr w14:paraId="0A162F51">
        <w:tblPrEx>
          <w:tblCellMar>
            <w:top w:w="0" w:type="dxa"/>
            <w:left w:w="108" w:type="dxa"/>
            <w:bottom w:w="0" w:type="dxa"/>
            <w:right w:w="108" w:type="dxa"/>
          </w:tblCellMar>
        </w:tblPrEx>
        <w:trPr>
          <w:gridAfter w:val="1"/>
          <w:wAfter w:w="236" w:type="dxa"/>
          <w:trHeight w:val="530" w:hRule="atLeast"/>
        </w:trPr>
        <w:tc>
          <w:tcPr>
            <w:tcW w:w="1113" w:type="dxa"/>
            <w:vMerge w:val="continue"/>
            <w:tcBorders>
              <w:left w:val="single" w:color="000000" w:sz="4" w:space="0"/>
              <w:right w:val="single" w:color="000000" w:sz="4" w:space="0"/>
            </w:tcBorders>
            <w:shd w:val="clear" w:color="auto" w:fill="auto"/>
            <w:vAlign w:val="center"/>
          </w:tcPr>
          <w:p w14:paraId="011AF74F">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sz w:val="28"/>
                <w:szCs w:val="28"/>
              </w:rPr>
            </w:pPr>
          </w:p>
        </w:tc>
        <w:tc>
          <w:tcPr>
            <w:tcW w:w="1005" w:type="dxa"/>
            <w:vMerge w:val="restart"/>
            <w:tcBorders>
              <w:top w:val="single" w:color="000000" w:sz="4" w:space="0"/>
              <w:left w:val="single" w:color="000000" w:sz="4" w:space="0"/>
              <w:right w:val="single" w:color="auto" w:sz="4" w:space="0"/>
            </w:tcBorders>
            <w:shd w:val="clear" w:color="auto" w:fill="auto"/>
            <w:vAlign w:val="center"/>
          </w:tcPr>
          <w:p w14:paraId="32877527">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效益</w:t>
            </w:r>
          </w:p>
          <w:p w14:paraId="44CF04E8">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sz w:val="28"/>
                <w:szCs w:val="28"/>
              </w:rPr>
            </w:pPr>
            <w:r>
              <w:rPr>
                <w:rFonts w:hint="eastAsia" w:ascii="仿宋_GB2312" w:hAnsi="仿宋_GB2312" w:eastAsia="仿宋_GB2312" w:cs="仿宋_GB2312"/>
                <w:kern w:val="0"/>
                <w:sz w:val="28"/>
                <w:szCs w:val="28"/>
              </w:rPr>
              <w:t>指标</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14:paraId="0946C648">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sz w:val="20"/>
                <w:szCs w:val="20"/>
              </w:rPr>
            </w:pPr>
            <w:r>
              <w:rPr>
                <w:rFonts w:hint="eastAsia" w:ascii="仿宋_GB2312" w:hAnsi="仿宋_GB2312" w:eastAsia="仿宋_GB2312" w:cs="仿宋_GB2312"/>
                <w:sz w:val="20"/>
                <w:szCs w:val="20"/>
              </w:rPr>
              <w:t>社会效益  指标</w:t>
            </w:r>
          </w:p>
        </w:tc>
        <w:tc>
          <w:tcPr>
            <w:tcW w:w="2385" w:type="dxa"/>
            <w:tcBorders>
              <w:top w:val="single" w:color="000000" w:sz="4" w:space="0"/>
              <w:left w:val="single" w:color="auto" w:sz="4" w:space="0"/>
              <w:bottom w:val="single" w:color="000000" w:sz="4" w:space="0"/>
              <w:right w:val="single" w:color="000000" w:sz="4" w:space="0"/>
            </w:tcBorders>
            <w:shd w:val="clear" w:color="auto" w:fill="auto"/>
            <w:vAlign w:val="center"/>
          </w:tcPr>
          <w:p w14:paraId="4C556BB8">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sz w:val="20"/>
                <w:szCs w:val="20"/>
              </w:rPr>
            </w:pPr>
            <w:r>
              <w:rPr>
                <w:rFonts w:hint="eastAsia" w:ascii="仿宋_GB2312" w:hAnsi="仿宋_GB2312" w:eastAsia="仿宋_GB2312" w:cs="仿宋_GB2312"/>
                <w:sz w:val="20"/>
                <w:szCs w:val="20"/>
              </w:rPr>
              <w:t>改善办学条件</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CE68B">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sz w:val="20"/>
                <w:szCs w:val="20"/>
              </w:rPr>
            </w:pPr>
            <w:r>
              <w:rPr>
                <w:rFonts w:hint="default" w:ascii="仿宋_GB2312" w:hAnsi="仿宋_GB2312" w:eastAsia="仿宋_GB2312" w:cs="仿宋_GB2312"/>
                <w:sz w:val="20"/>
                <w:szCs w:val="20"/>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97FCD">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sz w:val="20"/>
                <w:szCs w:val="20"/>
              </w:rPr>
            </w:pPr>
            <w:r>
              <w:rPr>
                <w:rFonts w:hint="default" w:ascii="仿宋_GB2312" w:hAnsi="仿宋_GB2312" w:eastAsia="仿宋_GB2312" w:cs="仿宋_GB2312"/>
                <w:sz w:val="20"/>
                <w:szCs w:val="20"/>
              </w:rPr>
              <w:t>有效</w:t>
            </w:r>
          </w:p>
        </w:tc>
      </w:tr>
      <w:tr w14:paraId="3A6CB5C7">
        <w:tblPrEx>
          <w:tblCellMar>
            <w:top w:w="0" w:type="dxa"/>
            <w:left w:w="108" w:type="dxa"/>
            <w:bottom w:w="0" w:type="dxa"/>
            <w:right w:w="108" w:type="dxa"/>
          </w:tblCellMar>
        </w:tblPrEx>
        <w:trPr>
          <w:gridAfter w:val="1"/>
          <w:wAfter w:w="236" w:type="dxa"/>
          <w:trHeight w:val="500" w:hRule="atLeast"/>
        </w:trPr>
        <w:tc>
          <w:tcPr>
            <w:tcW w:w="1113" w:type="dxa"/>
            <w:vMerge w:val="continue"/>
            <w:tcBorders>
              <w:left w:val="single" w:color="000000" w:sz="4" w:space="0"/>
              <w:right w:val="single" w:color="000000" w:sz="4" w:space="0"/>
            </w:tcBorders>
            <w:shd w:val="clear" w:color="auto" w:fill="auto"/>
            <w:vAlign w:val="center"/>
          </w:tcPr>
          <w:p w14:paraId="79B3E625">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sz w:val="28"/>
                <w:szCs w:val="28"/>
              </w:rPr>
            </w:pPr>
          </w:p>
        </w:tc>
        <w:tc>
          <w:tcPr>
            <w:tcW w:w="1005" w:type="dxa"/>
            <w:vMerge w:val="continue"/>
            <w:tcBorders>
              <w:left w:val="single" w:color="000000" w:sz="4" w:space="0"/>
              <w:right w:val="single" w:color="auto" w:sz="4" w:space="0"/>
            </w:tcBorders>
            <w:shd w:val="clear" w:color="auto" w:fill="auto"/>
            <w:vAlign w:val="center"/>
          </w:tcPr>
          <w:p w14:paraId="711A09D5">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sz w:val="28"/>
                <w:szCs w:val="28"/>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14:paraId="451A770B">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sz w:val="20"/>
                <w:szCs w:val="20"/>
              </w:rPr>
            </w:pPr>
            <w:r>
              <w:rPr>
                <w:rFonts w:hint="default" w:ascii="仿宋_GB2312" w:hAnsi="仿宋_GB2312" w:eastAsia="仿宋_GB2312" w:cs="仿宋_GB2312"/>
                <w:sz w:val="20"/>
                <w:szCs w:val="20"/>
              </w:rPr>
              <w:t>生态效益</w:t>
            </w:r>
          </w:p>
          <w:p w14:paraId="5C3EBE64">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sz w:val="20"/>
                <w:szCs w:val="20"/>
              </w:rPr>
            </w:pPr>
            <w:r>
              <w:rPr>
                <w:rFonts w:hint="default" w:ascii="仿宋_GB2312" w:hAnsi="仿宋_GB2312" w:eastAsia="仿宋_GB2312" w:cs="仿宋_GB2312"/>
                <w:sz w:val="20"/>
                <w:szCs w:val="20"/>
              </w:rPr>
              <w:t>指标</w:t>
            </w:r>
          </w:p>
        </w:tc>
        <w:tc>
          <w:tcPr>
            <w:tcW w:w="2385" w:type="dxa"/>
            <w:tcBorders>
              <w:top w:val="single" w:color="000000" w:sz="4" w:space="0"/>
              <w:left w:val="single" w:color="auto" w:sz="4" w:space="0"/>
              <w:bottom w:val="single" w:color="000000" w:sz="4" w:space="0"/>
              <w:right w:val="single" w:color="000000" w:sz="4" w:space="0"/>
            </w:tcBorders>
            <w:shd w:val="clear" w:color="auto" w:fill="auto"/>
            <w:vAlign w:val="center"/>
          </w:tcPr>
          <w:p w14:paraId="5EF3BF3A">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sz w:val="20"/>
                <w:szCs w:val="20"/>
              </w:rPr>
            </w:pPr>
            <w:r>
              <w:rPr>
                <w:rFonts w:hint="default" w:ascii="仿宋_GB2312" w:hAnsi="仿宋_GB2312" w:eastAsia="仿宋_GB2312" w:cs="仿宋_GB2312"/>
                <w:sz w:val="20"/>
                <w:szCs w:val="20"/>
              </w:rPr>
              <w:t>建筑能源消耗水平降低</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924B8">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sz w:val="20"/>
                <w:szCs w:val="20"/>
              </w:rPr>
            </w:pPr>
            <w:r>
              <w:rPr>
                <w:rFonts w:hint="default" w:ascii="仿宋_GB2312" w:hAnsi="仿宋_GB2312" w:eastAsia="仿宋_GB2312" w:cs="仿宋_GB2312"/>
                <w:sz w:val="20"/>
                <w:szCs w:val="20"/>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2EB11">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sz w:val="20"/>
                <w:szCs w:val="20"/>
              </w:rPr>
            </w:pPr>
            <w:r>
              <w:rPr>
                <w:rFonts w:hint="default" w:ascii="仿宋_GB2312" w:hAnsi="仿宋_GB2312" w:eastAsia="仿宋_GB2312" w:cs="仿宋_GB2312"/>
                <w:sz w:val="20"/>
                <w:szCs w:val="20"/>
              </w:rPr>
              <w:t>有效</w:t>
            </w:r>
          </w:p>
        </w:tc>
      </w:tr>
      <w:tr w14:paraId="07BA4880">
        <w:tblPrEx>
          <w:tblCellMar>
            <w:top w:w="0" w:type="dxa"/>
            <w:left w:w="108" w:type="dxa"/>
            <w:bottom w:w="0" w:type="dxa"/>
            <w:right w:w="108" w:type="dxa"/>
          </w:tblCellMar>
        </w:tblPrEx>
        <w:trPr>
          <w:gridAfter w:val="1"/>
          <w:wAfter w:w="236" w:type="dxa"/>
          <w:trHeight w:val="492" w:hRule="atLeast"/>
        </w:trPr>
        <w:tc>
          <w:tcPr>
            <w:tcW w:w="1113" w:type="dxa"/>
            <w:vMerge w:val="continue"/>
            <w:tcBorders>
              <w:left w:val="single" w:color="000000" w:sz="4" w:space="0"/>
              <w:right w:val="single" w:color="000000" w:sz="4" w:space="0"/>
            </w:tcBorders>
            <w:shd w:val="clear" w:color="auto" w:fill="auto"/>
            <w:vAlign w:val="center"/>
          </w:tcPr>
          <w:p w14:paraId="5CDBB73B">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sz w:val="28"/>
                <w:szCs w:val="28"/>
              </w:rPr>
            </w:pPr>
          </w:p>
        </w:tc>
        <w:tc>
          <w:tcPr>
            <w:tcW w:w="1005" w:type="dxa"/>
            <w:vMerge w:val="continue"/>
            <w:tcBorders>
              <w:left w:val="single" w:color="000000" w:sz="4" w:space="0"/>
              <w:bottom w:val="single" w:color="000000" w:sz="4" w:space="0"/>
              <w:right w:val="single" w:color="auto" w:sz="4" w:space="0"/>
            </w:tcBorders>
            <w:shd w:val="clear" w:color="auto" w:fill="auto"/>
            <w:vAlign w:val="center"/>
          </w:tcPr>
          <w:p w14:paraId="6D10C595">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sz w:val="28"/>
                <w:szCs w:val="28"/>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14:paraId="1B1FC0B8">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sz w:val="20"/>
                <w:szCs w:val="20"/>
              </w:rPr>
            </w:pPr>
            <w:r>
              <w:rPr>
                <w:rFonts w:hint="default" w:ascii="仿宋_GB2312" w:hAnsi="仿宋_GB2312" w:eastAsia="仿宋_GB2312" w:cs="仿宋_GB2312"/>
                <w:sz w:val="20"/>
                <w:szCs w:val="20"/>
              </w:rPr>
              <w:t>可持续影响指标</w:t>
            </w:r>
          </w:p>
        </w:tc>
        <w:tc>
          <w:tcPr>
            <w:tcW w:w="2385" w:type="dxa"/>
            <w:tcBorders>
              <w:top w:val="single" w:color="000000" w:sz="4" w:space="0"/>
              <w:left w:val="single" w:color="auto" w:sz="4" w:space="0"/>
              <w:bottom w:val="single" w:color="000000" w:sz="4" w:space="0"/>
              <w:right w:val="single" w:color="000000" w:sz="4" w:space="0"/>
            </w:tcBorders>
            <w:shd w:val="clear" w:color="auto" w:fill="auto"/>
            <w:vAlign w:val="center"/>
          </w:tcPr>
          <w:p w14:paraId="1ABA2BF7">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sz w:val="20"/>
                <w:szCs w:val="20"/>
              </w:rPr>
            </w:pPr>
            <w:r>
              <w:rPr>
                <w:rFonts w:hint="default" w:ascii="仿宋_GB2312" w:hAnsi="仿宋_GB2312" w:eastAsia="仿宋_GB2312" w:cs="仿宋_GB2312"/>
                <w:sz w:val="20"/>
                <w:szCs w:val="20"/>
              </w:rPr>
              <w:t>吸引外流学生持续回流</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C96D4">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sz w:val="20"/>
                <w:szCs w:val="20"/>
                <w:lang w:eastAsia="zh-CN"/>
              </w:rPr>
            </w:pPr>
            <w:r>
              <w:rPr>
                <w:rFonts w:hint="eastAsia" w:ascii="仿宋_GB2312" w:hAnsi="仿宋_GB2312" w:eastAsia="仿宋_GB2312" w:cs="仿宋_GB2312"/>
                <w:sz w:val="20"/>
                <w:szCs w:val="20"/>
                <w:lang w:eastAsia="zh-CN"/>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D918A">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sz w:val="20"/>
                <w:szCs w:val="20"/>
              </w:rPr>
            </w:pPr>
            <w:r>
              <w:rPr>
                <w:rFonts w:hint="eastAsia" w:ascii="仿宋_GB2312" w:hAnsi="仿宋_GB2312" w:eastAsia="仿宋_GB2312" w:cs="仿宋_GB2312"/>
                <w:sz w:val="20"/>
                <w:szCs w:val="20"/>
                <w:lang w:eastAsia="zh-CN"/>
              </w:rPr>
              <w:t>有效</w:t>
            </w:r>
          </w:p>
        </w:tc>
      </w:tr>
      <w:tr w14:paraId="4FE73BD9">
        <w:tblPrEx>
          <w:tblCellMar>
            <w:top w:w="0" w:type="dxa"/>
            <w:left w:w="108" w:type="dxa"/>
            <w:bottom w:w="0" w:type="dxa"/>
            <w:right w:w="108" w:type="dxa"/>
          </w:tblCellMar>
        </w:tblPrEx>
        <w:trPr>
          <w:gridAfter w:val="1"/>
          <w:wAfter w:w="236" w:type="dxa"/>
          <w:trHeight w:val="295" w:hRule="atLeast"/>
        </w:trPr>
        <w:tc>
          <w:tcPr>
            <w:tcW w:w="1113" w:type="dxa"/>
            <w:vMerge w:val="continue"/>
            <w:tcBorders>
              <w:left w:val="single" w:color="000000" w:sz="4" w:space="0"/>
              <w:right w:val="single" w:color="000000" w:sz="4" w:space="0"/>
            </w:tcBorders>
            <w:shd w:val="clear" w:color="auto" w:fill="auto"/>
            <w:vAlign w:val="center"/>
          </w:tcPr>
          <w:p w14:paraId="5E952479">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sz w:val="28"/>
                <w:szCs w:val="28"/>
              </w:rPr>
            </w:pPr>
          </w:p>
        </w:tc>
        <w:tc>
          <w:tcPr>
            <w:tcW w:w="1005" w:type="dxa"/>
            <w:vMerge w:val="restart"/>
            <w:tcBorders>
              <w:top w:val="single" w:color="000000" w:sz="4" w:space="0"/>
              <w:left w:val="single" w:color="000000" w:sz="4" w:space="0"/>
              <w:right w:val="single" w:color="000000" w:sz="4" w:space="0"/>
            </w:tcBorders>
            <w:shd w:val="clear" w:color="auto" w:fill="auto"/>
            <w:vAlign w:val="center"/>
          </w:tcPr>
          <w:p w14:paraId="39A153D4">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满意</w:t>
            </w:r>
          </w:p>
          <w:p w14:paraId="2BFBD826">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sz w:val="28"/>
                <w:szCs w:val="28"/>
              </w:rPr>
            </w:pPr>
            <w:r>
              <w:rPr>
                <w:rFonts w:hint="eastAsia" w:ascii="仿宋_GB2312" w:hAnsi="仿宋_GB2312" w:eastAsia="仿宋_GB2312" w:cs="仿宋_GB2312"/>
                <w:kern w:val="0"/>
                <w:sz w:val="28"/>
                <w:szCs w:val="28"/>
              </w:rPr>
              <w:t>度指标</w:t>
            </w:r>
          </w:p>
        </w:tc>
        <w:tc>
          <w:tcPr>
            <w:tcW w:w="1215"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6B875810">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满意度</w:t>
            </w:r>
          </w:p>
          <w:p w14:paraId="17E8F84B">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sz w:val="20"/>
                <w:szCs w:val="20"/>
              </w:rPr>
            </w:pPr>
            <w:r>
              <w:rPr>
                <w:rFonts w:hint="eastAsia" w:ascii="仿宋_GB2312" w:hAnsi="仿宋_GB2312" w:eastAsia="仿宋_GB2312" w:cs="仿宋_GB2312"/>
                <w:kern w:val="0"/>
                <w:sz w:val="20"/>
                <w:szCs w:val="20"/>
              </w:rPr>
              <w:t>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51755">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sz w:val="20"/>
                <w:szCs w:val="20"/>
              </w:rPr>
            </w:pPr>
            <w:r>
              <w:rPr>
                <w:rFonts w:hint="default" w:ascii="仿宋_GB2312" w:hAnsi="仿宋_GB2312" w:eastAsia="仿宋_GB2312" w:cs="仿宋_GB2312"/>
                <w:sz w:val="20"/>
                <w:szCs w:val="20"/>
              </w:rPr>
              <w:t>学生满意度</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47484">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sz w:val="20"/>
                <w:szCs w:val="20"/>
              </w:rPr>
            </w:pPr>
            <w:r>
              <w:rPr>
                <w:rFonts w:hint="default" w:ascii="仿宋_GB2312" w:hAnsi="仿宋_GB2312" w:eastAsia="仿宋_GB2312" w:cs="仿宋_GB2312"/>
                <w:sz w:val="20"/>
                <w:szCs w:val="20"/>
              </w:rPr>
              <w:t>≥95%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194B6">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96%</w:t>
            </w:r>
          </w:p>
        </w:tc>
      </w:tr>
      <w:tr w14:paraId="1B55F8DA">
        <w:tblPrEx>
          <w:tblCellMar>
            <w:top w:w="0" w:type="dxa"/>
            <w:left w:w="108" w:type="dxa"/>
            <w:bottom w:w="0" w:type="dxa"/>
            <w:right w:w="108" w:type="dxa"/>
          </w:tblCellMar>
        </w:tblPrEx>
        <w:trPr>
          <w:gridAfter w:val="1"/>
          <w:wAfter w:w="236" w:type="dxa"/>
          <w:trHeight w:val="415" w:hRule="atLeast"/>
        </w:trPr>
        <w:tc>
          <w:tcPr>
            <w:tcW w:w="1113" w:type="dxa"/>
            <w:vMerge w:val="continue"/>
            <w:tcBorders>
              <w:left w:val="single" w:color="000000" w:sz="4" w:space="0"/>
              <w:bottom w:val="single" w:color="000000" w:sz="4" w:space="0"/>
              <w:right w:val="single" w:color="000000" w:sz="4" w:space="0"/>
            </w:tcBorders>
            <w:shd w:val="clear" w:color="auto" w:fill="auto"/>
            <w:vAlign w:val="center"/>
          </w:tcPr>
          <w:p w14:paraId="0F1CA10D">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sz w:val="28"/>
                <w:szCs w:val="28"/>
              </w:rPr>
            </w:pPr>
          </w:p>
        </w:tc>
        <w:tc>
          <w:tcPr>
            <w:tcW w:w="1005" w:type="dxa"/>
            <w:vMerge w:val="continue"/>
            <w:tcBorders>
              <w:left w:val="single" w:color="000000" w:sz="4" w:space="0"/>
              <w:bottom w:val="single" w:color="000000" w:sz="4" w:space="0"/>
              <w:right w:val="single" w:color="000000" w:sz="4" w:space="0"/>
            </w:tcBorders>
            <w:shd w:val="clear" w:color="auto" w:fill="auto"/>
            <w:vAlign w:val="center"/>
          </w:tcPr>
          <w:p w14:paraId="14298B09">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kern w:val="0"/>
                <w:sz w:val="28"/>
                <w:szCs w:val="28"/>
              </w:rPr>
            </w:pPr>
          </w:p>
        </w:tc>
        <w:tc>
          <w:tcPr>
            <w:tcW w:w="1215"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7DADF6E">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kern w:val="0"/>
                <w:sz w:val="20"/>
                <w:szCs w:val="20"/>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F9A85">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sz w:val="20"/>
                <w:szCs w:val="20"/>
              </w:rPr>
            </w:pPr>
            <w:r>
              <w:rPr>
                <w:rFonts w:hint="default" w:ascii="仿宋_GB2312" w:hAnsi="仿宋_GB2312" w:eastAsia="仿宋_GB2312" w:cs="仿宋_GB2312"/>
                <w:sz w:val="20"/>
                <w:szCs w:val="20"/>
              </w:rPr>
              <w:t>社会满意度</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363ED">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sz w:val="20"/>
                <w:szCs w:val="20"/>
              </w:rPr>
            </w:pPr>
            <w:r>
              <w:rPr>
                <w:rFonts w:hint="default" w:ascii="仿宋_GB2312" w:hAnsi="仿宋_GB2312" w:eastAsia="仿宋_GB2312" w:cs="仿宋_GB2312"/>
                <w:sz w:val="20"/>
                <w:szCs w:val="20"/>
              </w:rPr>
              <w:t>≥95%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0C184">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97%</w:t>
            </w:r>
          </w:p>
        </w:tc>
      </w:tr>
    </w:tbl>
    <w:p w14:paraId="107661F9">
      <w:pPr>
        <w:rPr>
          <w:rFonts w:hint="eastAsia" w:ascii="黑体" w:hAnsi="黑体" w:eastAsia="黑体"/>
          <w:sz w:val="44"/>
          <w:szCs w:val="44"/>
        </w:rPr>
      </w:pPr>
      <w:bookmarkStart w:id="53" w:name="_Toc15396618"/>
      <w:r>
        <w:rPr>
          <w:rFonts w:hint="eastAsia" w:ascii="黑体" w:hAnsi="黑体" w:eastAsia="黑体"/>
          <w:sz w:val="44"/>
          <w:szCs w:val="44"/>
        </w:rPr>
        <w:br w:type="page"/>
      </w:r>
    </w:p>
    <w:p w14:paraId="7830BC36">
      <w:pPr>
        <w:spacing w:line="600" w:lineRule="exact"/>
        <w:jc w:val="center"/>
        <w:outlineLvl w:val="0"/>
        <w:rPr>
          <w:rFonts w:ascii="仿宋" w:hAnsi="仿宋" w:eastAsia="仿宋"/>
        </w:rPr>
      </w:pPr>
      <w:r>
        <w:rPr>
          <w:rFonts w:hint="eastAsia" w:ascii="黑体" w:hAnsi="黑体" w:eastAsia="黑体"/>
          <w:sz w:val="44"/>
          <w:szCs w:val="44"/>
        </w:rPr>
        <w:t>第</w:t>
      </w:r>
      <w:r>
        <w:rPr>
          <w:rStyle w:val="29"/>
          <w:rFonts w:hint="eastAsia" w:ascii="黑体" w:hAnsi="黑体" w:eastAsia="黑体"/>
          <w:b w:val="0"/>
        </w:rPr>
        <w:t>五部分 附表</w:t>
      </w:r>
      <w:bookmarkEnd w:id="51"/>
      <w:bookmarkEnd w:id="53"/>
      <w:bookmarkStart w:id="54" w:name="_Toc15396619"/>
    </w:p>
    <w:p w14:paraId="25014F39">
      <w:pPr>
        <w:pStyle w:val="4"/>
        <w:rPr>
          <w:rFonts w:ascii="仿宋" w:hAnsi="仿宋" w:eastAsia="仿宋"/>
        </w:rPr>
      </w:pPr>
      <w:r>
        <w:rPr>
          <w:rFonts w:hint="eastAsia" w:ascii="仿宋" w:hAnsi="仿宋" w:eastAsia="仿宋"/>
          <w:b w:val="0"/>
        </w:rPr>
        <w:t>一、收</w:t>
      </w:r>
      <w:r>
        <w:rPr>
          <w:rStyle w:val="30"/>
          <w:rFonts w:hint="eastAsia" w:ascii="仿宋" w:hAnsi="仿宋" w:eastAsia="仿宋"/>
          <w:b w:val="0"/>
          <w:bCs w:val="0"/>
        </w:rPr>
        <w:t>入支出决算总表</w:t>
      </w:r>
      <w:bookmarkEnd w:id="54"/>
    </w:p>
    <w:p w14:paraId="1D7DDC00">
      <w:pPr>
        <w:pStyle w:val="4"/>
        <w:rPr>
          <w:rFonts w:ascii="仿宋" w:hAnsi="仿宋" w:eastAsia="仿宋"/>
        </w:rPr>
      </w:pPr>
      <w:bookmarkStart w:id="55" w:name="_Toc15396620"/>
      <w:r>
        <w:rPr>
          <w:rFonts w:hint="eastAsia" w:ascii="仿宋" w:hAnsi="仿宋" w:eastAsia="仿宋"/>
          <w:b w:val="0"/>
        </w:rPr>
        <w:t>二、收</w:t>
      </w:r>
      <w:r>
        <w:rPr>
          <w:rStyle w:val="30"/>
          <w:rFonts w:hint="eastAsia" w:ascii="仿宋" w:hAnsi="仿宋" w:eastAsia="仿宋"/>
          <w:b w:val="0"/>
          <w:bCs w:val="0"/>
        </w:rPr>
        <w:t>入决算表</w:t>
      </w:r>
      <w:bookmarkEnd w:id="55"/>
    </w:p>
    <w:p w14:paraId="79174948">
      <w:pPr>
        <w:pStyle w:val="4"/>
        <w:rPr>
          <w:rFonts w:ascii="仿宋" w:hAnsi="仿宋" w:eastAsia="仿宋"/>
        </w:rPr>
      </w:pPr>
      <w:bookmarkStart w:id="56" w:name="_Toc15396621"/>
      <w:r>
        <w:rPr>
          <w:rStyle w:val="30"/>
          <w:rFonts w:hint="eastAsia" w:ascii="仿宋" w:hAnsi="仿宋" w:eastAsia="仿宋"/>
          <w:b w:val="0"/>
          <w:bCs w:val="0"/>
        </w:rPr>
        <w:t>三、</w:t>
      </w:r>
      <w:r>
        <w:rPr>
          <w:rFonts w:hint="eastAsia" w:ascii="仿宋" w:hAnsi="仿宋" w:eastAsia="仿宋"/>
          <w:b w:val="0"/>
        </w:rPr>
        <w:t>支</w:t>
      </w:r>
      <w:r>
        <w:rPr>
          <w:rStyle w:val="30"/>
          <w:rFonts w:hint="eastAsia" w:ascii="仿宋" w:hAnsi="仿宋" w:eastAsia="仿宋"/>
          <w:b w:val="0"/>
          <w:bCs w:val="0"/>
        </w:rPr>
        <w:t>出决算表</w:t>
      </w:r>
      <w:bookmarkEnd w:id="56"/>
    </w:p>
    <w:p w14:paraId="286FD06E">
      <w:pPr>
        <w:pStyle w:val="4"/>
        <w:rPr>
          <w:rFonts w:ascii="仿宋" w:hAnsi="仿宋" w:eastAsia="仿宋"/>
          <w:b w:val="0"/>
        </w:rPr>
      </w:pPr>
      <w:bookmarkStart w:id="57" w:name="_Toc15396622"/>
      <w:r>
        <w:rPr>
          <w:rStyle w:val="30"/>
          <w:rFonts w:hint="eastAsia" w:ascii="仿宋" w:hAnsi="仿宋" w:eastAsia="仿宋"/>
          <w:b w:val="0"/>
          <w:bCs w:val="0"/>
        </w:rPr>
        <w:t>四、</w:t>
      </w:r>
      <w:r>
        <w:rPr>
          <w:rFonts w:hint="eastAsia" w:ascii="仿宋" w:hAnsi="仿宋" w:eastAsia="仿宋"/>
          <w:b w:val="0"/>
        </w:rPr>
        <w:t>财</w:t>
      </w:r>
      <w:r>
        <w:rPr>
          <w:rStyle w:val="30"/>
          <w:rFonts w:hint="eastAsia" w:ascii="仿宋" w:hAnsi="仿宋" w:eastAsia="仿宋"/>
          <w:b w:val="0"/>
          <w:bCs w:val="0"/>
        </w:rPr>
        <w:t>政拨款收入支出决算总表</w:t>
      </w:r>
      <w:bookmarkEnd w:id="57"/>
    </w:p>
    <w:p w14:paraId="502FCDEB">
      <w:pPr>
        <w:pStyle w:val="4"/>
        <w:rPr>
          <w:rStyle w:val="30"/>
          <w:rFonts w:ascii="仿宋" w:hAnsi="仿宋" w:eastAsia="仿宋"/>
          <w:b w:val="0"/>
          <w:bCs w:val="0"/>
        </w:rPr>
      </w:pPr>
      <w:bookmarkStart w:id="58" w:name="_Toc15396623"/>
      <w:r>
        <w:rPr>
          <w:rStyle w:val="30"/>
          <w:rFonts w:hint="eastAsia" w:ascii="仿宋" w:hAnsi="仿宋" w:eastAsia="仿宋"/>
          <w:b w:val="0"/>
          <w:bCs w:val="0"/>
        </w:rPr>
        <w:t>五、</w:t>
      </w:r>
      <w:r>
        <w:rPr>
          <w:rFonts w:hint="eastAsia" w:ascii="仿宋" w:hAnsi="仿宋" w:eastAsia="仿宋"/>
          <w:b w:val="0"/>
        </w:rPr>
        <w:t>财</w:t>
      </w:r>
      <w:r>
        <w:rPr>
          <w:rStyle w:val="30"/>
          <w:rFonts w:hint="eastAsia" w:ascii="仿宋" w:hAnsi="仿宋" w:eastAsia="仿宋"/>
          <w:b w:val="0"/>
          <w:bCs w:val="0"/>
        </w:rPr>
        <w:t>政拨款支出决算明细表</w:t>
      </w:r>
      <w:bookmarkEnd w:id="58"/>
      <w:bookmarkStart w:id="59" w:name="_Toc15396624"/>
    </w:p>
    <w:p w14:paraId="78572B8A">
      <w:pPr>
        <w:pStyle w:val="4"/>
        <w:rPr>
          <w:rFonts w:ascii="仿宋" w:hAnsi="仿宋" w:eastAsia="仿宋"/>
        </w:rPr>
      </w:pPr>
      <w:r>
        <w:rPr>
          <w:rStyle w:val="30"/>
          <w:rFonts w:hint="eastAsia" w:ascii="仿宋" w:hAnsi="仿宋" w:eastAsia="仿宋"/>
          <w:b w:val="0"/>
          <w:bCs w:val="0"/>
        </w:rPr>
        <w:t>六、</w:t>
      </w:r>
      <w:r>
        <w:rPr>
          <w:rFonts w:hint="eastAsia" w:ascii="仿宋" w:hAnsi="仿宋" w:eastAsia="仿宋"/>
          <w:b w:val="0"/>
        </w:rPr>
        <w:t>一</w:t>
      </w:r>
      <w:r>
        <w:rPr>
          <w:rStyle w:val="30"/>
          <w:rFonts w:hint="eastAsia" w:ascii="仿宋" w:hAnsi="仿宋" w:eastAsia="仿宋"/>
          <w:b w:val="0"/>
          <w:bCs w:val="0"/>
        </w:rPr>
        <w:t>般公共预算财政拨款支出决算表</w:t>
      </w:r>
      <w:bookmarkEnd w:id="59"/>
    </w:p>
    <w:p w14:paraId="63841D8E">
      <w:pPr>
        <w:pStyle w:val="4"/>
        <w:rPr>
          <w:rFonts w:ascii="仿宋" w:hAnsi="仿宋" w:eastAsia="仿宋"/>
        </w:rPr>
      </w:pPr>
      <w:bookmarkStart w:id="60" w:name="_Toc15396625"/>
      <w:r>
        <w:rPr>
          <w:rStyle w:val="30"/>
          <w:rFonts w:hint="eastAsia" w:ascii="仿宋" w:hAnsi="仿宋" w:eastAsia="仿宋"/>
          <w:b w:val="0"/>
          <w:bCs w:val="0"/>
        </w:rPr>
        <w:t>七、</w:t>
      </w:r>
      <w:r>
        <w:rPr>
          <w:rFonts w:hint="eastAsia" w:ascii="仿宋" w:hAnsi="仿宋" w:eastAsia="仿宋"/>
          <w:b w:val="0"/>
        </w:rPr>
        <w:t>一</w:t>
      </w:r>
      <w:r>
        <w:rPr>
          <w:rStyle w:val="30"/>
          <w:rFonts w:hint="eastAsia" w:ascii="仿宋" w:hAnsi="仿宋" w:eastAsia="仿宋"/>
          <w:b w:val="0"/>
          <w:bCs w:val="0"/>
        </w:rPr>
        <w:t>般公共预算财政拨款支出决算明细表</w:t>
      </w:r>
      <w:bookmarkEnd w:id="60"/>
    </w:p>
    <w:p w14:paraId="682EA9F2">
      <w:pPr>
        <w:pStyle w:val="4"/>
        <w:rPr>
          <w:rFonts w:ascii="仿宋" w:hAnsi="仿宋" w:eastAsia="仿宋"/>
        </w:rPr>
      </w:pPr>
      <w:bookmarkStart w:id="61" w:name="_Toc15396626"/>
      <w:r>
        <w:rPr>
          <w:rStyle w:val="30"/>
          <w:rFonts w:hint="eastAsia" w:ascii="仿宋" w:hAnsi="仿宋" w:eastAsia="仿宋"/>
          <w:b w:val="0"/>
          <w:bCs w:val="0"/>
        </w:rPr>
        <w:t>八、</w:t>
      </w:r>
      <w:r>
        <w:rPr>
          <w:rFonts w:hint="eastAsia" w:ascii="仿宋" w:hAnsi="仿宋" w:eastAsia="仿宋"/>
          <w:b w:val="0"/>
        </w:rPr>
        <w:t>一</w:t>
      </w:r>
      <w:r>
        <w:rPr>
          <w:rStyle w:val="30"/>
          <w:rFonts w:hint="eastAsia" w:ascii="仿宋" w:hAnsi="仿宋" w:eastAsia="仿宋"/>
          <w:b w:val="0"/>
          <w:bCs w:val="0"/>
        </w:rPr>
        <w:t>般公共预算财政拨款基本支出决算表</w:t>
      </w:r>
      <w:bookmarkEnd w:id="61"/>
    </w:p>
    <w:p w14:paraId="3A38415A">
      <w:pPr>
        <w:pStyle w:val="4"/>
        <w:rPr>
          <w:rFonts w:ascii="仿宋" w:hAnsi="仿宋" w:eastAsia="仿宋"/>
        </w:rPr>
      </w:pPr>
      <w:bookmarkStart w:id="62" w:name="_Toc15396627"/>
      <w:r>
        <w:rPr>
          <w:rStyle w:val="30"/>
          <w:rFonts w:hint="eastAsia" w:ascii="仿宋" w:hAnsi="仿宋" w:eastAsia="仿宋"/>
          <w:b w:val="0"/>
          <w:bCs w:val="0"/>
        </w:rPr>
        <w:t>九、</w:t>
      </w:r>
      <w:r>
        <w:rPr>
          <w:rFonts w:hint="eastAsia" w:ascii="仿宋" w:hAnsi="仿宋" w:eastAsia="仿宋"/>
          <w:b w:val="0"/>
        </w:rPr>
        <w:t>一</w:t>
      </w:r>
      <w:r>
        <w:rPr>
          <w:rStyle w:val="30"/>
          <w:rFonts w:hint="eastAsia" w:ascii="仿宋" w:hAnsi="仿宋" w:eastAsia="仿宋"/>
          <w:b w:val="0"/>
          <w:bCs w:val="0"/>
        </w:rPr>
        <w:t>般公共预算财政拨款项目支出决算表</w:t>
      </w:r>
      <w:bookmarkEnd w:id="62"/>
    </w:p>
    <w:p w14:paraId="7D9CABEF">
      <w:pPr>
        <w:pStyle w:val="4"/>
        <w:rPr>
          <w:rFonts w:ascii="仿宋" w:hAnsi="仿宋" w:eastAsia="仿宋"/>
        </w:rPr>
      </w:pPr>
      <w:bookmarkStart w:id="63" w:name="_Toc15396628"/>
      <w:r>
        <w:rPr>
          <w:rStyle w:val="30"/>
          <w:rFonts w:hint="eastAsia" w:ascii="仿宋" w:hAnsi="仿宋" w:eastAsia="仿宋"/>
          <w:b w:val="0"/>
          <w:bCs w:val="0"/>
        </w:rPr>
        <w:t>十、</w:t>
      </w:r>
      <w:r>
        <w:rPr>
          <w:rFonts w:hint="eastAsia" w:ascii="仿宋" w:hAnsi="仿宋" w:eastAsia="仿宋"/>
          <w:b w:val="0"/>
        </w:rPr>
        <w:t>一</w:t>
      </w:r>
      <w:r>
        <w:rPr>
          <w:rStyle w:val="30"/>
          <w:rFonts w:hint="eastAsia" w:ascii="仿宋" w:hAnsi="仿宋" w:eastAsia="仿宋"/>
          <w:b w:val="0"/>
          <w:bCs w:val="0"/>
        </w:rPr>
        <w:t>般公共预算财政拨款“三公”经费支出决算表</w:t>
      </w:r>
      <w:bookmarkEnd w:id="63"/>
    </w:p>
    <w:p w14:paraId="08C3DDB6">
      <w:pPr>
        <w:pStyle w:val="4"/>
        <w:rPr>
          <w:rFonts w:ascii="仿宋" w:hAnsi="仿宋" w:eastAsia="仿宋"/>
        </w:rPr>
      </w:pPr>
      <w:bookmarkStart w:id="64" w:name="_Toc15396629"/>
      <w:r>
        <w:rPr>
          <w:rStyle w:val="30"/>
          <w:rFonts w:hint="eastAsia" w:ascii="仿宋" w:hAnsi="仿宋" w:eastAsia="仿宋"/>
          <w:b w:val="0"/>
          <w:bCs w:val="0"/>
        </w:rPr>
        <w:t>十一、</w:t>
      </w:r>
      <w:r>
        <w:rPr>
          <w:rFonts w:hint="eastAsia" w:ascii="仿宋" w:hAnsi="仿宋" w:eastAsia="仿宋"/>
          <w:b w:val="0"/>
        </w:rPr>
        <w:t>政</w:t>
      </w:r>
      <w:r>
        <w:rPr>
          <w:rStyle w:val="30"/>
          <w:rFonts w:hint="eastAsia" w:ascii="仿宋" w:hAnsi="仿宋" w:eastAsia="仿宋"/>
          <w:b w:val="0"/>
          <w:bCs w:val="0"/>
        </w:rPr>
        <w:t>府性基金预算财政拨款收入支出决算表</w:t>
      </w:r>
      <w:bookmarkEnd w:id="64"/>
    </w:p>
    <w:p w14:paraId="6123FCC9">
      <w:pPr>
        <w:pStyle w:val="4"/>
        <w:rPr>
          <w:rFonts w:ascii="仿宋" w:hAnsi="仿宋" w:eastAsia="仿宋"/>
        </w:rPr>
      </w:pPr>
      <w:bookmarkStart w:id="65" w:name="_Toc15396630"/>
      <w:r>
        <w:rPr>
          <w:rStyle w:val="30"/>
          <w:rFonts w:hint="eastAsia" w:ascii="仿宋" w:hAnsi="仿宋" w:eastAsia="仿宋"/>
          <w:b w:val="0"/>
          <w:bCs w:val="0"/>
        </w:rPr>
        <w:t>十二、</w:t>
      </w:r>
      <w:r>
        <w:rPr>
          <w:rFonts w:hint="eastAsia" w:ascii="仿宋" w:hAnsi="仿宋" w:eastAsia="仿宋"/>
          <w:b w:val="0"/>
        </w:rPr>
        <w:t>政</w:t>
      </w:r>
      <w:r>
        <w:rPr>
          <w:rStyle w:val="30"/>
          <w:rFonts w:hint="eastAsia" w:ascii="仿宋" w:hAnsi="仿宋" w:eastAsia="仿宋"/>
          <w:b w:val="0"/>
          <w:bCs w:val="0"/>
        </w:rPr>
        <w:t>府性基金预算财政拨款“三公”经费支出决算表</w:t>
      </w:r>
      <w:bookmarkEnd w:id="65"/>
    </w:p>
    <w:p w14:paraId="15E54A73">
      <w:pPr>
        <w:pStyle w:val="4"/>
        <w:rPr>
          <w:rStyle w:val="30"/>
          <w:rFonts w:ascii="仿宋" w:hAnsi="仿宋" w:eastAsia="仿宋"/>
          <w:b w:val="0"/>
          <w:bCs w:val="0"/>
        </w:rPr>
      </w:pPr>
      <w:bookmarkStart w:id="66" w:name="_Toc15396631"/>
      <w:r>
        <w:rPr>
          <w:rStyle w:val="30"/>
          <w:rFonts w:hint="eastAsia" w:ascii="仿宋" w:hAnsi="仿宋" w:eastAsia="仿宋"/>
          <w:b w:val="0"/>
          <w:bCs w:val="0"/>
        </w:rPr>
        <w:t>十三、</w:t>
      </w:r>
      <w:r>
        <w:rPr>
          <w:rFonts w:hint="eastAsia" w:ascii="仿宋" w:hAnsi="仿宋" w:eastAsia="仿宋"/>
          <w:b w:val="0"/>
        </w:rPr>
        <w:t>国</w:t>
      </w:r>
      <w:r>
        <w:rPr>
          <w:rStyle w:val="30"/>
          <w:rFonts w:hint="eastAsia" w:ascii="仿宋" w:hAnsi="仿宋" w:eastAsia="仿宋"/>
          <w:b w:val="0"/>
          <w:bCs w:val="0"/>
        </w:rPr>
        <w:t>有资本经营预算财政拨款收入支出决算表</w:t>
      </w:r>
      <w:bookmarkEnd w:id="66"/>
    </w:p>
    <w:p w14:paraId="187397F9">
      <w:pPr>
        <w:rPr>
          <w:rFonts w:eastAsia="仿宋"/>
        </w:rPr>
      </w:pPr>
      <w:r>
        <w:rPr>
          <w:rStyle w:val="30"/>
          <w:rFonts w:hint="eastAsia" w:ascii="仿宋" w:hAnsi="仿宋" w:eastAsia="仿宋"/>
          <w:b w:val="0"/>
          <w:bCs w:val="0"/>
        </w:rPr>
        <w:t>十四、国有资本经营预算财政拨款支出决算表</w:t>
      </w:r>
    </w:p>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6755A97-727F-4A69-99ED-9100BB4B33C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C1C67CEF-5773-4A0D-8F68-27BDA897BF42}"/>
  </w:font>
  <w:font w:name="Cambria">
    <w:panose1 w:val="02040503050406030204"/>
    <w:charset w:val="00"/>
    <w:family w:val="roman"/>
    <w:pitch w:val="default"/>
    <w:sig w:usb0="E00006FF" w:usb1="420024FF" w:usb2="02000000" w:usb3="00000000" w:csb0="2000019F" w:csb1="00000000"/>
    <w:embedRegular r:id="rId3" w:fontKey="{37EF4ADF-A3DB-48EF-99C2-4D3718DBB9A4}"/>
  </w:font>
  <w:font w:name="仿宋_GB2312">
    <w:altName w:val="仿宋"/>
    <w:panose1 w:val="00000000000000000000"/>
    <w:charset w:val="86"/>
    <w:family w:val="modern"/>
    <w:pitch w:val="default"/>
    <w:sig w:usb0="00000000" w:usb1="00000000" w:usb2="00000000" w:usb3="00000000" w:csb0="00040000" w:csb1="00000000"/>
    <w:embedRegular r:id="rId4" w:fontKey="{47FDEBFB-5D7C-43E5-96C8-C16EA7D20974}"/>
  </w:font>
  <w:font w:name="仿宋">
    <w:panose1 w:val="02010609060101010101"/>
    <w:charset w:val="86"/>
    <w:family w:val="auto"/>
    <w:pitch w:val="default"/>
    <w:sig w:usb0="800002BF" w:usb1="38CF7CFA" w:usb2="00000016" w:usb3="00000000" w:csb0="00040001" w:csb1="00000000"/>
    <w:embedRegular r:id="rId5" w:fontKey="{6806A6BE-51EE-4DEE-B555-8574B7ADF6CF}"/>
  </w:font>
  <w:font w:name="等线 Light">
    <w:panose1 w:val="02010600030101010101"/>
    <w:charset w:val="86"/>
    <w:family w:val="auto"/>
    <w:pitch w:val="default"/>
    <w:sig w:usb0="A00002BF" w:usb1="38CF7CFA" w:usb2="00000016" w:usb3="00000000" w:csb0="0004000F" w:csb1="00000000"/>
  </w:font>
  <w:font w:name="方正小标宋简体">
    <w:panose1 w:val="02000000000000000000"/>
    <w:charset w:val="86"/>
    <w:family w:val="script"/>
    <w:pitch w:val="default"/>
    <w:sig w:usb0="00000001" w:usb1="08000000" w:usb2="00000000" w:usb3="00000000" w:csb0="00040000" w:csb1="00000000"/>
    <w:embedRegular r:id="rId6" w:fontKey="{A7D95E26-984A-40AD-8CA3-006B9528859F}"/>
  </w:font>
  <w:font w:name="方正小标宋_GBK">
    <w:panose1 w:val="02000000000000000000"/>
    <w:charset w:val="86"/>
    <w:family w:val="auto"/>
    <w:pitch w:val="default"/>
    <w:sig w:usb0="A00002BF" w:usb1="38CF7CFA" w:usb2="00082016" w:usb3="00000000" w:csb0="00040001" w:csb1="00000000"/>
    <w:embedRegular r:id="rId7" w:fontKey="{EF0912BB-9405-4426-8F0C-C22F081AA44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14:paraId="3D03DCB8">
        <w:pPr>
          <w:pStyle w:val="11"/>
          <w:jc w:val="center"/>
        </w:pPr>
        <w:r>
          <w:fldChar w:fldCharType="begin"/>
        </w:r>
        <w:r>
          <w:instrText xml:space="preserve">PAGE   \* MERGEFORMAT</w:instrText>
        </w:r>
        <w:r>
          <w:fldChar w:fldCharType="separate"/>
        </w:r>
        <w:r>
          <w:rPr>
            <w:lang w:val="zh-CN"/>
          </w:rPr>
          <w:t>12</w:t>
        </w:r>
        <w:r>
          <w:fldChar w:fldCharType="end"/>
        </w:r>
      </w:p>
    </w:sdtContent>
  </w:sdt>
  <w:p w14:paraId="4768D4A9">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53CBE8">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6492B4FE"/>
    <w:multiLevelType w:val="singleLevel"/>
    <w:tmpl w:val="6492B4FE"/>
    <w:lvl w:ilvl="0" w:tentative="0">
      <w:start w:val="1"/>
      <w:numFmt w:val="chineseCounting"/>
      <w:suff w:val="nothing"/>
      <w:lvlText w:val="%1、"/>
      <w:lvlJc w:val="left"/>
      <w:pPr>
        <w:ind w:left="630"/>
      </w:pPr>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QxM2Y4NGI5MTg4NGU4YmQ5Y2VjMzM5Y2JkZGU0OTI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33E14"/>
    <w:rsid w:val="00142216"/>
    <w:rsid w:val="00144D6A"/>
    <w:rsid w:val="0014729F"/>
    <w:rsid w:val="00157BAB"/>
    <w:rsid w:val="001654D1"/>
    <w:rsid w:val="00174518"/>
    <w:rsid w:val="0018106D"/>
    <w:rsid w:val="00184031"/>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1B33"/>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469FB"/>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22EF"/>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65C9E"/>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0437"/>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A2032A3"/>
    <w:rsid w:val="0B8A37D8"/>
    <w:rsid w:val="0EC71F0D"/>
    <w:rsid w:val="10C055FF"/>
    <w:rsid w:val="112C7A85"/>
    <w:rsid w:val="118107EC"/>
    <w:rsid w:val="11DD6519"/>
    <w:rsid w:val="12910332"/>
    <w:rsid w:val="157E27B0"/>
    <w:rsid w:val="16BB723D"/>
    <w:rsid w:val="177D300F"/>
    <w:rsid w:val="18015F3F"/>
    <w:rsid w:val="1BE8440E"/>
    <w:rsid w:val="1D155CEE"/>
    <w:rsid w:val="20F57F95"/>
    <w:rsid w:val="23066A21"/>
    <w:rsid w:val="240371BF"/>
    <w:rsid w:val="24D54B4E"/>
    <w:rsid w:val="25C741E6"/>
    <w:rsid w:val="27842671"/>
    <w:rsid w:val="29FD04D3"/>
    <w:rsid w:val="2ABE7A3E"/>
    <w:rsid w:val="2BAE4DE0"/>
    <w:rsid w:val="2C0D4D5A"/>
    <w:rsid w:val="2E0A22D2"/>
    <w:rsid w:val="2EFA178C"/>
    <w:rsid w:val="30B46D73"/>
    <w:rsid w:val="319F7F4E"/>
    <w:rsid w:val="32E05DEF"/>
    <w:rsid w:val="353C0D20"/>
    <w:rsid w:val="37FF10DD"/>
    <w:rsid w:val="39AE70AB"/>
    <w:rsid w:val="3C0C0783"/>
    <w:rsid w:val="3DEF36A8"/>
    <w:rsid w:val="3F1061E7"/>
    <w:rsid w:val="3F795B0E"/>
    <w:rsid w:val="3F9F3A96"/>
    <w:rsid w:val="41F83BB0"/>
    <w:rsid w:val="44AE2F55"/>
    <w:rsid w:val="493C27E9"/>
    <w:rsid w:val="496F39ED"/>
    <w:rsid w:val="49FF41D3"/>
    <w:rsid w:val="4A185DC8"/>
    <w:rsid w:val="4BE068DB"/>
    <w:rsid w:val="4BF6002B"/>
    <w:rsid w:val="4ECE2238"/>
    <w:rsid w:val="4FD61684"/>
    <w:rsid w:val="503645ED"/>
    <w:rsid w:val="508F3649"/>
    <w:rsid w:val="51DB4B86"/>
    <w:rsid w:val="52FB5859"/>
    <w:rsid w:val="540D355E"/>
    <w:rsid w:val="55333C3E"/>
    <w:rsid w:val="58737E60"/>
    <w:rsid w:val="5EEF25B2"/>
    <w:rsid w:val="60EE7955"/>
    <w:rsid w:val="64A80084"/>
    <w:rsid w:val="64CA39A1"/>
    <w:rsid w:val="65B126BB"/>
    <w:rsid w:val="661305A1"/>
    <w:rsid w:val="6C4A05C8"/>
    <w:rsid w:val="6C6E6699"/>
    <w:rsid w:val="6E6831CD"/>
    <w:rsid w:val="6EDA0CDC"/>
    <w:rsid w:val="72734D90"/>
    <w:rsid w:val="727D7081"/>
    <w:rsid w:val="72E456B5"/>
    <w:rsid w:val="74E366CA"/>
    <w:rsid w:val="79E7B28D"/>
    <w:rsid w:val="7AC82E51"/>
    <w:rsid w:val="7B390C4C"/>
    <w:rsid w:val="7BFA24EA"/>
    <w:rsid w:val="7CAB154F"/>
    <w:rsid w:val="7F9F20EE"/>
    <w:rsid w:val="9E3A10E2"/>
    <w:rsid w:val="F2E1F9D4"/>
    <w:rsid w:val="F788081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9"/>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4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3"/>
    <w:unhideWhenUsed/>
    <w:qFormat/>
    <w:uiPriority w:val="9"/>
    <w:pPr>
      <w:keepNext/>
      <w:keepLines/>
      <w:spacing w:before="260" w:after="260" w:line="416" w:lineRule="auto"/>
      <w:outlineLvl w:val="2"/>
    </w:pPr>
    <w:rPr>
      <w:b/>
      <w:bCs/>
      <w:sz w:val="32"/>
      <w:szCs w:val="32"/>
    </w:rPr>
  </w:style>
  <w:style w:type="character" w:default="1" w:styleId="18">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Calibri"/>
      <w:sz w:val="20"/>
      <w:szCs w:val="20"/>
    </w:rPr>
    <w:tblPr>
      <w:tblCellMar>
        <w:top w:w="0" w:type="dxa"/>
        <w:left w:w="108" w:type="dxa"/>
        <w:bottom w:w="0" w:type="dxa"/>
        <w:right w:w="108" w:type="dxa"/>
      </w:tblCellMar>
    </w:tblPr>
  </w:style>
  <w:style w:type="paragraph" w:styleId="2">
    <w:name w:val="Body Text"/>
    <w:basedOn w:val="1"/>
    <w:link w:val="37"/>
    <w:qFormat/>
    <w:uiPriority w:val="99"/>
    <w:pPr>
      <w:spacing w:beforeLines="30"/>
    </w:pPr>
    <w:rPr>
      <w:rFonts w:ascii="仿宋_GB2312" w:eastAsia="仿宋_GB2312"/>
      <w:kern w:val="0"/>
      <w:sz w:val="30"/>
    </w:rPr>
  </w:style>
  <w:style w:type="paragraph" w:styleId="6">
    <w:name w:val="annotation text"/>
    <w:basedOn w:val="1"/>
    <w:semiHidden/>
    <w:unhideWhenUsed/>
    <w:qFormat/>
    <w:uiPriority w:val="99"/>
    <w:pPr>
      <w:jc w:val="left"/>
    </w:pPr>
  </w:style>
  <w:style w:type="paragraph" w:styleId="7">
    <w:name w:val="Salutation"/>
    <w:basedOn w:val="1"/>
    <w:next w:val="1"/>
    <w:qFormat/>
    <w:uiPriority w:val="99"/>
  </w:style>
  <w:style w:type="paragraph" w:styleId="8">
    <w:name w:val="Body Text Indent"/>
    <w:basedOn w:val="1"/>
    <w:link w:val="38"/>
    <w:qFormat/>
    <w:uiPriority w:val="99"/>
    <w:pPr>
      <w:ind w:left="420" w:leftChars="200"/>
    </w:pPr>
  </w:style>
  <w:style w:type="paragraph" w:styleId="9">
    <w:name w:val="toc 3"/>
    <w:basedOn w:val="1"/>
    <w:next w:val="1"/>
    <w:unhideWhenUsed/>
    <w:qFormat/>
    <w:uiPriority w:val="39"/>
    <w:pPr>
      <w:tabs>
        <w:tab w:val="right" w:leader="dot" w:pos="8296"/>
      </w:tabs>
      <w:ind w:left="840" w:leftChars="400"/>
    </w:pPr>
  </w:style>
  <w:style w:type="paragraph" w:styleId="10">
    <w:name w:val="Balloon Text"/>
    <w:basedOn w:val="1"/>
    <w:link w:val="32"/>
    <w:semiHidden/>
    <w:unhideWhenUsed/>
    <w:qFormat/>
    <w:uiPriority w:val="99"/>
    <w:rPr>
      <w:sz w:val="18"/>
      <w:szCs w:val="18"/>
    </w:rPr>
  </w:style>
  <w:style w:type="paragraph" w:styleId="11">
    <w:name w:val="footer"/>
    <w:basedOn w:val="1"/>
    <w:link w:val="24"/>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2"/>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toc 2"/>
    <w:basedOn w:val="1"/>
    <w:next w:val="1"/>
    <w:unhideWhenUsed/>
    <w:qFormat/>
    <w:uiPriority w:val="39"/>
    <w:pPr>
      <w:tabs>
        <w:tab w:val="right" w:leader="dot" w:pos="8296"/>
      </w:tabs>
      <w:ind w:left="420" w:leftChars="200"/>
    </w:pPr>
  </w:style>
  <w:style w:type="paragraph" w:styleId="15">
    <w:name w:val="Normal (Web)"/>
    <w:basedOn w:val="1"/>
    <w:semiHidden/>
    <w:unhideWhenUsed/>
    <w:qFormat/>
    <w:uiPriority w:val="99"/>
    <w:rPr>
      <w:sz w:val="24"/>
    </w:rPr>
  </w:style>
  <w:style w:type="paragraph" w:styleId="16">
    <w:name w:val="Body Text First Indent 2"/>
    <w:basedOn w:val="8"/>
    <w:link w:val="39"/>
    <w:qFormat/>
    <w:uiPriority w:val="99"/>
    <w:pPr>
      <w:ind w:firstLine="420" w:firstLineChars="200"/>
    </w:pPr>
  </w:style>
  <w:style w:type="character" w:styleId="19">
    <w:name w:val="Strong"/>
    <w:basedOn w:val="18"/>
    <w:qFormat/>
    <w:uiPriority w:val="99"/>
    <w:rPr>
      <w:rFonts w:hint="default" w:ascii="Times New Roman" w:hAnsi="Times New Roman" w:cs="Times New Roman"/>
      <w:b/>
    </w:rPr>
  </w:style>
  <w:style w:type="character" w:styleId="20">
    <w:name w:val="Hyperlink"/>
    <w:basedOn w:val="18"/>
    <w:unhideWhenUsed/>
    <w:qFormat/>
    <w:uiPriority w:val="99"/>
    <w:rPr>
      <w:color w:val="0000FF" w:themeColor="hyperlink"/>
      <w:u w:val="single"/>
      <w14:textFill>
        <w14:solidFill>
          <w14:schemeClr w14:val="hlink"/>
        </w14:solidFill>
      </w14:textFill>
    </w:rPr>
  </w:style>
  <w:style w:type="character" w:customStyle="1" w:styleId="21">
    <w:name w:val="Header Char"/>
    <w:basedOn w:val="18"/>
    <w:semiHidden/>
    <w:qFormat/>
    <w:uiPriority w:val="99"/>
    <w:rPr>
      <w:rFonts w:ascii="Times New Roman" w:hAnsi="Times New Roman"/>
      <w:sz w:val="18"/>
      <w:szCs w:val="18"/>
    </w:rPr>
  </w:style>
  <w:style w:type="character" w:customStyle="1" w:styleId="22">
    <w:name w:val="页眉 Char"/>
    <w:link w:val="12"/>
    <w:semiHidden/>
    <w:qFormat/>
    <w:locked/>
    <w:uiPriority w:val="99"/>
    <w:rPr>
      <w:sz w:val="18"/>
    </w:rPr>
  </w:style>
  <w:style w:type="character" w:customStyle="1" w:styleId="23">
    <w:name w:val="Footer Char"/>
    <w:basedOn w:val="18"/>
    <w:semiHidden/>
    <w:qFormat/>
    <w:uiPriority w:val="99"/>
    <w:rPr>
      <w:rFonts w:ascii="Times New Roman" w:hAnsi="Times New Roman"/>
      <w:sz w:val="18"/>
      <w:szCs w:val="18"/>
    </w:rPr>
  </w:style>
  <w:style w:type="character" w:customStyle="1" w:styleId="24">
    <w:name w:val="页脚 Char"/>
    <w:link w:val="11"/>
    <w:qFormat/>
    <w:locked/>
    <w:uiPriority w:val="99"/>
    <w:rPr>
      <w:sz w:val="18"/>
    </w:rPr>
  </w:style>
  <w:style w:type="character" w:customStyle="1" w:styleId="25">
    <w:name w:val="Body Text Char"/>
    <w:basedOn w:val="18"/>
    <w:semiHidden/>
    <w:qFormat/>
    <w:uiPriority w:val="99"/>
    <w:rPr>
      <w:rFonts w:ascii="Times New Roman" w:hAnsi="Times New Roman"/>
      <w:szCs w:val="24"/>
    </w:rPr>
  </w:style>
  <w:style w:type="character" w:customStyle="1" w:styleId="26">
    <w:name w:val="正文文本 Char"/>
    <w:link w:val="2"/>
    <w:qFormat/>
    <w:locked/>
    <w:uiPriority w:val="99"/>
    <w:rPr>
      <w:rFonts w:ascii="仿宋_GB2312" w:hAnsi="Times New Roman" w:eastAsia="仿宋_GB2312"/>
      <w:sz w:val="24"/>
    </w:rPr>
  </w:style>
  <w:style w:type="paragraph" w:customStyle="1" w:styleId="2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8">
    <w:name w:val="List Paragraph"/>
    <w:basedOn w:val="1"/>
    <w:qFormat/>
    <w:uiPriority w:val="34"/>
    <w:pPr>
      <w:ind w:firstLine="420" w:firstLineChars="200"/>
    </w:pPr>
  </w:style>
  <w:style w:type="character" w:customStyle="1" w:styleId="29">
    <w:name w:val="标题 1 Char"/>
    <w:basedOn w:val="18"/>
    <w:link w:val="3"/>
    <w:qFormat/>
    <w:uiPriority w:val="9"/>
    <w:rPr>
      <w:rFonts w:ascii="Times New Roman" w:hAnsi="Times New Roman"/>
      <w:b/>
      <w:bCs/>
      <w:kern w:val="44"/>
      <w:sz w:val="44"/>
      <w:szCs w:val="44"/>
    </w:rPr>
  </w:style>
  <w:style w:type="character" w:customStyle="1" w:styleId="30">
    <w:name w:val="标题 2 Char"/>
    <w:basedOn w:val="18"/>
    <w:link w:val="4"/>
    <w:qFormat/>
    <w:uiPriority w:val="9"/>
    <w:rPr>
      <w:rFonts w:asciiTheme="majorHAnsi" w:hAnsiTheme="majorHAnsi" w:eastAsiaTheme="majorEastAsia" w:cstheme="majorBidi"/>
      <w:b/>
      <w:bCs/>
      <w:kern w:val="2"/>
      <w:sz w:val="32"/>
      <w:szCs w:val="32"/>
    </w:rPr>
  </w:style>
  <w:style w:type="paragraph" w:customStyle="1" w:styleId="31">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2">
    <w:name w:val="批注框文本 Char"/>
    <w:basedOn w:val="18"/>
    <w:link w:val="10"/>
    <w:semiHidden/>
    <w:qFormat/>
    <w:uiPriority w:val="99"/>
    <w:rPr>
      <w:rFonts w:ascii="Times New Roman" w:hAnsi="Times New Roman"/>
      <w:kern w:val="2"/>
      <w:sz w:val="18"/>
      <w:szCs w:val="18"/>
    </w:rPr>
  </w:style>
  <w:style w:type="character" w:customStyle="1" w:styleId="33">
    <w:name w:val="标题 3 Char"/>
    <w:basedOn w:val="18"/>
    <w:link w:val="5"/>
    <w:qFormat/>
    <w:uiPriority w:val="9"/>
    <w:rPr>
      <w:rFonts w:ascii="Times New Roman" w:hAnsi="Times New Roman"/>
      <w:b/>
      <w:bCs/>
      <w:kern w:val="2"/>
      <w:sz w:val="32"/>
      <w:szCs w:val="32"/>
    </w:rPr>
  </w:style>
  <w:style w:type="paragraph" w:customStyle="1" w:styleId="34">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5">
    <w:name w:val="正文文本 字符"/>
    <w:basedOn w:val="18"/>
    <w:qFormat/>
    <w:uiPriority w:val="0"/>
    <w:rPr>
      <w:kern w:val="2"/>
      <w:sz w:val="21"/>
      <w:szCs w:val="24"/>
    </w:rPr>
  </w:style>
  <w:style w:type="character" w:customStyle="1" w:styleId="36">
    <w:name w:val="标题 2 Char1"/>
    <w:basedOn w:val="18"/>
    <w:link w:val="4"/>
    <w:qFormat/>
    <w:uiPriority w:val="0"/>
    <w:rPr>
      <w:rFonts w:ascii="等线 Light" w:hAnsi="等线 Light" w:eastAsia="等线 Light" w:cs="Times New Roman"/>
      <w:b/>
      <w:bCs/>
      <w:kern w:val="2"/>
      <w:sz w:val="32"/>
      <w:szCs w:val="32"/>
    </w:rPr>
  </w:style>
  <w:style w:type="character" w:customStyle="1" w:styleId="37">
    <w:name w:val="正文文本 Char1"/>
    <w:basedOn w:val="18"/>
    <w:link w:val="2"/>
    <w:qFormat/>
    <w:uiPriority w:val="0"/>
    <w:rPr>
      <w:rFonts w:hint="eastAsia" w:ascii="仿宋_GB2312" w:eastAsia="仿宋_GB2312" w:cs="仿宋_GB2312"/>
      <w:sz w:val="24"/>
    </w:rPr>
  </w:style>
  <w:style w:type="character" w:customStyle="1" w:styleId="38">
    <w:name w:val="正文文本缩进 字符"/>
    <w:basedOn w:val="18"/>
    <w:link w:val="8"/>
    <w:qFormat/>
    <w:uiPriority w:val="0"/>
    <w:rPr>
      <w:rFonts w:hint="default" w:ascii="Times New Roman" w:hAnsi="Times New Roman" w:cs="Times New Roman"/>
      <w:kern w:val="2"/>
      <w:sz w:val="21"/>
      <w:szCs w:val="24"/>
    </w:rPr>
  </w:style>
  <w:style w:type="character" w:customStyle="1" w:styleId="39">
    <w:name w:val="正文首行缩进 2 字符"/>
    <w:basedOn w:val="38"/>
    <w:link w:val="16"/>
    <w:qFormat/>
    <w:uiPriority w:val="0"/>
    <w:rPr>
      <w:rFonts w:hint="default" w:ascii="Times New Roman" w:hAnsi="Times New Roman" w:cs="Times New Roman"/>
      <w:kern w:val="2"/>
      <w:sz w:val="21"/>
      <w:szCs w:val="24"/>
    </w:rPr>
  </w:style>
  <w:style w:type="character" w:customStyle="1" w:styleId="40">
    <w:name w:val="标题 2 字符"/>
    <w:basedOn w:val="18"/>
    <w:link w:val="4"/>
    <w:qFormat/>
    <w:uiPriority w:val="0"/>
    <w:rPr>
      <w:rFonts w:ascii="等线 Light" w:hAnsi="等线 Light" w:eastAsia="等线 Light" w:cs="Times New Roman"/>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hart" Target="charts/chart7.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charts/_rels/chart1.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2.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75000"/>
                    <a:lumOff val="25000"/>
                  </a:schemeClr>
                </a:solidFill>
                <a:latin typeface="+mn-lt"/>
                <a:ea typeface="+mn-ea"/>
                <a:cs typeface="+mn-cs"/>
              </a:defRPr>
            </a:pPr>
            <a:r>
              <a:t>收、支决算总计变动情况图</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收入</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1401.91</c:v>
                </c:pt>
                <c:pt idx="1">
                  <c:v>1355.8</c:v>
                </c:pt>
              </c:numCache>
            </c:numRef>
          </c:val>
        </c:ser>
        <c:ser>
          <c:idx val="1"/>
          <c:order val="1"/>
          <c:tx>
            <c:strRef>
              <c:f>Sheet1!$C$1</c:f>
              <c:strCache>
                <c:ptCount val="1"/>
                <c:pt idx="0">
                  <c:v>支出</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Sheet1!$C$2:$C$3</c:f>
              <c:numCache>
                <c:formatCode>General</c:formatCode>
                <c:ptCount val="2"/>
                <c:pt idx="0">
                  <c:v>1401.91</c:v>
                </c:pt>
                <c:pt idx="1">
                  <c:v>1355.8</c:v>
                </c:pt>
              </c:numCache>
            </c:numRef>
          </c:val>
        </c:ser>
        <c:dLbls>
          <c:showLegendKey val="0"/>
          <c:showVal val="1"/>
          <c:showCatName val="0"/>
          <c:showSerName val="0"/>
          <c:showPercent val="0"/>
          <c:showBubbleSize val="0"/>
        </c:dLbls>
        <c:gapWidth val="65"/>
        <c:overlap val="0"/>
        <c:axId val="876838378"/>
        <c:axId val="616419667"/>
      </c:barChart>
      <c:catAx>
        <c:axId val="876838378"/>
        <c:scaling>
          <c:orientation val="minMax"/>
        </c:scaling>
        <c:delete val="0"/>
        <c:axPos val="b"/>
        <c:majorTickMark val="none"/>
        <c:minorTickMark val="none"/>
        <c:tickLblPos val="nextTo"/>
        <c:spPr>
          <a:noFill/>
          <a:ln w="19050" cap="flat" cmpd="sng" algn="ctr">
            <a:solidFill>
              <a:schemeClr val="dk1">
                <a:lumMod val="75000"/>
                <a:lumOff val="25000"/>
              </a:schemeClr>
            </a:solidFill>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616419667"/>
        <c:crosses val="autoZero"/>
        <c:auto val="1"/>
        <c:lblAlgn val="ctr"/>
        <c:lblOffset val="100"/>
        <c:noMultiLvlLbl val="0"/>
      </c:catAx>
      <c:valAx>
        <c:axId val="616419667"/>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876838378"/>
        <c:crosses val="autoZero"/>
        <c:crossBetween val="between"/>
      </c:valAx>
      <c:spPr>
        <a:noFill/>
        <a:ln>
          <a:noFill/>
        </a:ln>
        <a:effectLst/>
      </c:spPr>
    </c:plotArea>
    <c:legend>
      <c:legendPos val="b"/>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extLst>
      <c:ext uri="{0b15fc19-7d7d-44ad-8c2d-2c3a37ce22c3}">
        <chartProps xmlns="https://web.wps.cn/et/2018/main" chartId="{e18d1e98-9541-4055-bfda-42faec92731a}"/>
      </c:ext>
    </c:extLst>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baseline="0">
                <a:solidFill>
                  <a:schemeClr val="tx1">
                    <a:lumMod val="65000"/>
                    <a:lumOff val="35000"/>
                  </a:schemeClr>
                </a:solidFill>
                <a:latin typeface="+mn-lt"/>
                <a:ea typeface="+mn-ea"/>
                <a:cs typeface="+mn-cs"/>
              </a:defRPr>
            </a:pPr>
            <a:r>
              <a:t>收入决算结构图</a:t>
            </a:r>
          </a:p>
        </c:rich>
      </c:tx>
      <c:layout/>
      <c:overlay val="0"/>
      <c:spPr>
        <a:noFill/>
        <a:ln>
          <a:noFill/>
        </a:ln>
        <a:effectLst/>
      </c:spPr>
    </c:title>
    <c:autoTitleDeleted val="0"/>
    <c:plotArea>
      <c:layout>
        <c:manualLayout>
          <c:layoutTarget val="inner"/>
          <c:xMode val="edge"/>
          <c:yMode val="edge"/>
          <c:x val="0.300694444444444"/>
          <c:y val="0.185185185185185"/>
          <c:w val="0.381944444444444"/>
          <c:h val="0.636574074074074"/>
        </c:manualLayout>
      </c:layout>
      <c:pieChart>
        <c:varyColors val="1"/>
        <c:ser>
          <c:idx val="0"/>
          <c:order val="0"/>
          <c:tx>
            <c:strRef>
              <c:f>Sheet1!$B$1</c:f>
              <c:strCache>
                <c:ptCount val="1"/>
                <c:pt idx="0">
                  <c:v>占比</c:v>
                </c:pt>
              </c:strCache>
            </c:strRef>
          </c:tx>
          <c:spPr/>
          <c:explosion val="0"/>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dPt>
          <c:dPt>
            <c:idx val="1"/>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dPt>
          <c:dLbls>
            <c:dLbl>
              <c:idx val="0"/>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extLst>
                <c:ext xmlns:c15="http://schemas.microsoft.com/office/drawing/2012/chart" uri="{CE6537A1-D6FC-4f65-9D91-7224C49458BB}"/>
              </c:extLst>
            </c:dLbl>
            <c:dLbl>
              <c:idx val="1"/>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extLst>
                <c:ext xmlns:c15="http://schemas.microsoft.com/office/drawing/2012/chart" uri="{CE6537A1-D6FC-4f65-9D91-7224C49458BB}"/>
              </c:extLst>
            </c:dLbl>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一般公共预算财政拨款收入</c:v>
                </c:pt>
              </c:strCache>
            </c:strRef>
          </c:cat>
          <c:val>
            <c:numRef>
              <c:f>Sheet1!$B$2:$B$3</c:f>
              <c:numCache>
                <c:formatCode>0.00%</c:formatCode>
                <c:ptCount val="2"/>
                <c:pt idx="0">
                  <c:v>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7cab0450-8ed0-40a7-972e-14e0c018328e}"/>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cap="all" spc="50" baseline="0">
                <a:solidFill>
                  <a:schemeClr val="tx1">
                    <a:lumMod val="65000"/>
                    <a:lumOff val="35000"/>
                  </a:schemeClr>
                </a:solidFill>
                <a:latin typeface="+mn-lt"/>
                <a:ea typeface="+mn-ea"/>
                <a:cs typeface="+mn-cs"/>
              </a:defRPr>
            </a:pPr>
            <a:r>
              <a:t>支出决算结构图</a:t>
            </a:r>
          </a:p>
        </c:rich>
      </c:tx>
      <c:layout>
        <c:manualLayout>
          <c:xMode val="edge"/>
          <c:yMode val="edge"/>
          <c:x val="0.358"/>
          <c:y val="0.0362156291681996"/>
        </c:manualLayout>
      </c:layout>
      <c:overlay val="0"/>
      <c:spPr>
        <a:noFill/>
        <a:ln>
          <a:noFill/>
        </a:ln>
        <a:effectLst/>
      </c:spPr>
    </c:title>
    <c:autoTitleDeleted val="0"/>
    <c:plotArea>
      <c:layout/>
      <c:pieChart>
        <c:varyColors val="1"/>
        <c:ser>
          <c:idx val="0"/>
          <c:order val="0"/>
          <c:tx>
            <c:strRef>
              <c:f>Sheet1!$B$1</c:f>
              <c:strCache>
                <c:ptCount val="1"/>
                <c:pt idx="0">
                  <c:v>2021年本年支出合计</c:v>
                </c:pt>
              </c:strCache>
            </c:strRef>
          </c:tx>
          <c:spPr/>
          <c:explosion val="0"/>
          <c:dPt>
            <c:idx val="0"/>
            <c:bubble3D val="0"/>
            <c:spPr>
              <a:solidFill>
                <a:schemeClr val="accent1"/>
              </a:solidFill>
              <a:ln>
                <a:noFill/>
              </a:ln>
              <a:effectLst/>
            </c:spPr>
          </c:dPt>
          <c:dPt>
            <c:idx val="1"/>
            <c:bubble3D val="0"/>
            <c:spPr>
              <a:solidFill>
                <a:schemeClr val="accent2"/>
              </a:solidFill>
              <a:ln>
                <a:noFill/>
              </a:ln>
              <a:effectLst/>
            </c:spPr>
          </c:dPt>
          <c:dLbls>
            <c:dLbl>
              <c:idx val="0"/>
              <c:layout/>
              <c:tx>
                <c:rich>
                  <a:bodyPr rot="0" spcFirstLastPara="0" vertOverflow="ellipsis" vert="horz" wrap="square" lIns="38100" tIns="19050" rIns="38100" bIns="19050" anchor="ctr" anchorCtr="1"/>
                  <a:lstStyle/>
                  <a:p>
                    <a:pPr defTabSz="914400">
                      <a:defRPr lang="zh-CN" sz="900" b="1" i="0" u="none" strike="noStrike" kern="1200" baseline="0">
                        <a:solidFill>
                          <a:schemeClr val="lt1"/>
                        </a:solidFill>
                        <a:latin typeface="+mn-lt"/>
                        <a:ea typeface="+mn-ea"/>
                        <a:cs typeface="+mn-cs"/>
                      </a:defRPr>
                    </a:pPr>
                    <a:r>
                      <a:rPr lang="en-US" altLang="zh-CN"/>
                      <a:t>89.23</a:t>
                    </a:r>
                    <a:r>
                      <a:t>%</a:t>
                    </a:r>
                  </a:p>
                </c:rich>
              </c:tx>
              <c:dLblPos val="inEnd"/>
              <c:showLegendKey val="0"/>
              <c:showVal val="0"/>
              <c:showCatName val="0"/>
              <c:showSerName val="0"/>
              <c:showPercent val="1"/>
              <c:showBubbleSize val="0"/>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defTabSz="914400">
                      <a:defRPr lang="zh-CN" sz="900" b="1" i="0" u="none" strike="noStrike" kern="1200" baseline="0">
                        <a:solidFill>
                          <a:schemeClr val="lt1"/>
                        </a:solidFill>
                        <a:latin typeface="+mn-lt"/>
                        <a:ea typeface="+mn-ea"/>
                        <a:cs typeface="+mn-cs"/>
                      </a:defRPr>
                    </a:pPr>
                    <a:r>
                      <a:rPr lang="en-US" altLang="zh-CN"/>
                      <a:t>10.77</a:t>
                    </a:r>
                    <a:r>
                      <a:t>%</a:t>
                    </a:r>
                  </a:p>
                </c:rich>
              </c:tx>
              <c:dLblPos val="inEnd"/>
              <c:showLegendKey val="0"/>
              <c:showVal val="0"/>
              <c:showCatName val="0"/>
              <c:showSerName val="0"/>
              <c:showPercent val="1"/>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1209.8</c:v>
                </c:pt>
                <c:pt idx="1">
                  <c:v>146</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extLst>
      <c:ext uri="{0b15fc19-7d7d-44ad-8c2d-2c3a37ce22c3}">
        <chartProps xmlns="https://web.wps.cn/et/2018/main" chartId="{8b5237ef-5b96-4ba1-9837-b3ca220ed0d9}"/>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75000"/>
                    <a:lumOff val="25000"/>
                  </a:schemeClr>
                </a:solidFill>
                <a:latin typeface="+mn-lt"/>
                <a:ea typeface="+mn-ea"/>
                <a:cs typeface="+mn-cs"/>
              </a:defRPr>
            </a:pPr>
            <a:r>
              <a:t>财政拨款收、支决算总体变动情况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收入</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1401.91</c:v>
                </c:pt>
                <c:pt idx="1">
                  <c:v>1355.8</c:v>
                </c:pt>
              </c:numCache>
            </c:numRef>
          </c:val>
        </c:ser>
        <c:ser>
          <c:idx val="1"/>
          <c:order val="1"/>
          <c:tx>
            <c:strRef>
              <c:f>Sheet1!$C$1</c:f>
              <c:strCache>
                <c:ptCount val="1"/>
                <c:pt idx="0">
                  <c:v>支出</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Sheet1!$C$2:$C$3</c:f>
              <c:numCache>
                <c:formatCode>General</c:formatCode>
                <c:ptCount val="2"/>
                <c:pt idx="0">
                  <c:v>1401.91</c:v>
                </c:pt>
                <c:pt idx="1">
                  <c:v>1355.8</c:v>
                </c:pt>
              </c:numCache>
            </c:numRef>
          </c:val>
        </c:ser>
        <c:dLbls>
          <c:showLegendKey val="0"/>
          <c:showVal val="1"/>
          <c:showCatName val="0"/>
          <c:showSerName val="0"/>
          <c:showPercent val="0"/>
          <c:showBubbleSize val="0"/>
        </c:dLbls>
        <c:gapWidth val="65"/>
        <c:overlap val="0"/>
        <c:axId val="876838378"/>
        <c:axId val="616419667"/>
      </c:barChart>
      <c:catAx>
        <c:axId val="876838378"/>
        <c:scaling>
          <c:orientation val="minMax"/>
        </c:scaling>
        <c:delete val="0"/>
        <c:axPos val="b"/>
        <c:majorTickMark val="none"/>
        <c:minorTickMark val="none"/>
        <c:tickLblPos val="nextTo"/>
        <c:spPr>
          <a:noFill/>
          <a:ln w="19050" cap="flat" cmpd="sng" algn="ctr">
            <a:solidFill>
              <a:schemeClr val="dk1">
                <a:lumMod val="75000"/>
                <a:lumOff val="25000"/>
              </a:schemeClr>
            </a:solidFill>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616419667"/>
        <c:crosses val="autoZero"/>
        <c:auto val="1"/>
        <c:lblAlgn val="ctr"/>
        <c:lblOffset val="100"/>
        <c:noMultiLvlLbl val="0"/>
      </c:catAx>
      <c:valAx>
        <c:axId val="616419667"/>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876838378"/>
        <c:crosses val="autoZero"/>
        <c:crossBetween val="between"/>
      </c:valAx>
      <c:spPr>
        <a:noFill/>
        <a:ln>
          <a:noFill/>
        </a:ln>
        <a:effectLst/>
      </c:spPr>
    </c:plotArea>
    <c:legend>
      <c:legendPos val="b"/>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extLst>
      <c:ext uri="{0b15fc19-7d7d-44ad-8c2d-2c3a37ce22c3}">
        <chartProps xmlns="https://web.wps.cn/et/2018/main" chartId="{d376a24a-a8f6-4d4d-934d-ca473700b949}"/>
      </c:ext>
    </c:extLst>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dk1">
                    <a:lumMod val="65000"/>
                    <a:lumOff val="35000"/>
                  </a:schemeClr>
                </a:solidFill>
                <a:effectLst/>
                <a:latin typeface="+mn-lt"/>
                <a:ea typeface="+mn-ea"/>
                <a:cs typeface="+mn-cs"/>
              </a:defRPr>
            </a:pPr>
            <a:r>
              <a:rPr sz="1400" b="1"/>
              <a:t>一般公共预算财政拨款支出决算变动情况</a:t>
            </a:r>
            <a:endParaRPr sz="1400" b="1"/>
          </a:p>
        </c:rich>
      </c:tx>
      <c:layout>
        <c:manualLayout>
          <c:xMode val="edge"/>
          <c:yMode val="edge"/>
          <c:x val="0.193"/>
          <c:y val="0.0358470525756771"/>
        </c:manualLayout>
      </c:layout>
      <c:overlay val="0"/>
      <c:spPr>
        <a:noFill/>
        <a:ln>
          <a:noFill/>
        </a:ln>
        <a:effectLst/>
      </c:spPr>
    </c:title>
    <c:autoTitleDeleted val="0"/>
    <c:plotArea>
      <c:layout/>
      <c:barChart>
        <c:barDir val="col"/>
        <c:grouping val="clustered"/>
        <c:varyColors val="0"/>
        <c:ser>
          <c:idx val="0"/>
          <c:order val="0"/>
          <c:tx>
            <c:strRef>
              <c:f>Sheet1!$B$1</c:f>
              <c:strCache>
                <c:ptCount val="1"/>
                <c:pt idx="0">
                  <c:v>一般公共预算财政拨款支出</c:v>
                </c:pt>
              </c:strCache>
            </c:strRef>
          </c:tx>
          <c:spPr>
            <a:gradFill>
              <a:gsLst>
                <a:gs pos="0">
                  <a:schemeClr val="accent1"/>
                </a:gs>
                <a:gs pos="100000">
                  <a:schemeClr val="accent1">
                    <a:lumMod val="84000"/>
                  </a:schemeClr>
                </a:gs>
              </a:gsLst>
              <a:lin ang="5400000" scaled="1"/>
            </a:gradFill>
            <a:ln>
              <a:noFill/>
            </a:ln>
            <a:effectLst>
              <a:outerShdw blurRad="76200" dir="18900000" sy="23000" kx="-1200000" algn="bl" rotWithShape="0">
                <a:prstClr val="black">
                  <a:alpha val="20000"/>
                </a:prstClr>
              </a:outerShdw>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1401.91</c:v>
                </c:pt>
                <c:pt idx="1">
                  <c:v>1355.8</c:v>
                </c:pt>
              </c:numCache>
            </c:numRef>
          </c:val>
        </c:ser>
        <c:dLbls>
          <c:showLegendKey val="0"/>
          <c:showVal val="1"/>
          <c:showCatName val="0"/>
          <c:showSerName val="0"/>
          <c:showPercent val="0"/>
          <c:showBubbleSize val="0"/>
        </c:dLbls>
        <c:gapWidth val="41"/>
        <c:overlap val="0"/>
        <c:axId val="134079981"/>
        <c:axId val="758071448"/>
      </c:barChart>
      <c:catAx>
        <c:axId val="134079981"/>
        <c:scaling>
          <c:orientation val="minMax"/>
        </c:scaling>
        <c:delete val="0"/>
        <c:axPos val="b"/>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dk1">
                    <a:lumMod val="65000"/>
                    <a:lumOff val="35000"/>
                  </a:schemeClr>
                </a:solidFill>
                <a:effectLst/>
                <a:latin typeface="+mn-lt"/>
                <a:ea typeface="+mn-ea"/>
                <a:cs typeface="+mn-cs"/>
              </a:defRPr>
            </a:pPr>
          </a:p>
        </c:txPr>
        <c:crossAx val="758071448"/>
        <c:crosses val="autoZero"/>
        <c:auto val="1"/>
        <c:lblAlgn val="ctr"/>
        <c:lblOffset val="100"/>
        <c:noMultiLvlLbl val="0"/>
      </c:catAx>
      <c:valAx>
        <c:axId val="758071448"/>
        <c:scaling>
          <c:orientation val="minMax"/>
        </c:scaling>
        <c:delete val="1"/>
        <c:axPos val="l"/>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crossAx val="134079981"/>
        <c:crosses val="autoZero"/>
        <c:crossBetween val="between"/>
      </c:valAx>
      <c:spPr>
        <a:noFill/>
        <a:ln>
          <a:noFill/>
        </a:ln>
        <a:effectLst/>
      </c:spPr>
    </c:plotArea>
    <c:legend>
      <c:legendPos val="t"/>
      <c:legendEntry>
        <c:idx val="0"/>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Entry>
      <c:layout>
        <c:manualLayout>
          <c:xMode val="edge"/>
          <c:yMode val="edge"/>
          <c:x val="0.346625"/>
          <c:y val="0.199150292087095"/>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19d6beee-afff-4f35-bcfc-a8df2485e180}"/>
      </c:ext>
    </c:extLst>
  </c:chart>
  <c:spPr>
    <a:gradFill flip="none" rotWithShape="1">
      <a:gsLst>
        <a:gs pos="0">
          <a:schemeClr val="lt1"/>
        </a:gs>
        <a:gs pos="68000">
          <a:schemeClr val="lt1">
            <a:lumMod val="85000"/>
          </a:schemeClr>
        </a:gs>
        <a:gs pos="100000">
          <a:schemeClr val="lt1"/>
        </a:gs>
      </a:gsLst>
      <a:lin ang="5400000" scaled="1"/>
    </a:gradFill>
    <a:ln w="9525" cap="flat" cmpd="sng" algn="ctr">
      <a:solidFill>
        <a:schemeClr val="dk1">
          <a:lumMod val="15000"/>
          <a:lumOff val="85000"/>
        </a:schemeClr>
      </a:solidFill>
      <a:round/>
    </a:ln>
    <a:effectLst/>
  </c:spPr>
  <c:txPr>
    <a:bodyPr/>
    <a:lstStyle/>
    <a:p>
      <a:pPr>
        <a:defRPr lang="zh-CN" sz="900"/>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65000"/>
                    <a:lumOff val="35000"/>
                  </a:schemeClr>
                </a:solidFill>
                <a:latin typeface="+mn-lt"/>
                <a:ea typeface="+mn-ea"/>
                <a:cs typeface="+mn-cs"/>
              </a:defRPr>
            </a:pPr>
            <a:r>
              <a:t>一般公共预算财政拨款支出决算结构</a:t>
            </a:r>
          </a:p>
        </c:rich>
      </c:tx>
      <c:layout/>
      <c:overlay val="0"/>
      <c:spPr>
        <a:noFill/>
        <a:ln>
          <a:noFill/>
        </a:ln>
        <a:effectLst/>
      </c:spPr>
    </c:title>
    <c:autoTitleDeleted val="0"/>
    <c:plotArea>
      <c:layout/>
      <c:pieChart>
        <c:varyColors val="1"/>
        <c:ser>
          <c:idx val="0"/>
          <c:order val="0"/>
          <c:tx>
            <c:strRef>
              <c:f>Sheet1!$B$1</c:f>
              <c:strCache>
                <c:ptCount val="1"/>
                <c:pt idx="0">
                  <c:v>占比</c:v>
                </c:pt>
              </c:strCache>
            </c:strRef>
          </c:tx>
          <c:spPr/>
          <c:explosion val="0"/>
          <c:dPt>
            <c:idx val="0"/>
            <c:bubble3D val="0"/>
            <c:spPr>
              <a:solidFill>
                <a:schemeClr val="accent1"/>
              </a:solidFill>
              <a:ln>
                <a:noFill/>
              </a:ln>
              <a:effectLst>
                <a:outerShdw blurRad="317500" algn="ctr" rotWithShape="0">
                  <a:prstClr val="black">
                    <a:alpha val="25000"/>
                  </a:prstClr>
                </a:outerShdw>
              </a:effectLst>
            </c:spPr>
          </c:dPt>
          <c:dLbls>
            <c:dLbl>
              <c:idx val="0"/>
              <c:layout>
                <c:manualLayout>
                  <c:x val="-0.00187524234346355"/>
                  <c:y val="-0.363504402515277"/>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教育支出（类）</c:v>
                </c:pt>
              </c:strCache>
            </c:strRef>
          </c:cat>
          <c:val>
            <c:numRef>
              <c:f>Sheet1!$B$2</c:f>
              <c:numCache>
                <c:formatCode>General</c:formatCode>
                <c:ptCount val="1"/>
                <c:pt idx="0">
                  <c:v>100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ayout/>
      <c:overlay val="0"/>
      <c:spPr>
        <a:solidFill>
          <a:schemeClr val="lt1">
            <a:alpha val="78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abe9d8d3-8319-44f9-a1a1-b70539334cf9}"/>
      </c:ext>
    </c:extLst>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baseline="0">
                <a:solidFill>
                  <a:schemeClr val="tx2"/>
                </a:solidFill>
                <a:latin typeface="+mn-lt"/>
                <a:ea typeface="+mn-ea"/>
                <a:cs typeface="+mn-cs"/>
              </a:defRPr>
            </a:pPr>
            <a:r>
              <a:t>“三公”经费财政拨款支出结构</a:t>
            </a:r>
          </a:p>
        </c:rich>
      </c:tx>
      <c:layout/>
      <c:overlay val="0"/>
      <c:spPr>
        <a:noFill/>
        <a:ln>
          <a:noFill/>
        </a:ln>
        <a:effectLst/>
      </c:spPr>
    </c:title>
    <c:autoTitleDeleted val="0"/>
    <c:plotArea>
      <c:layout/>
      <c:pieChart>
        <c:varyColors val="1"/>
        <c:ser>
          <c:idx val="0"/>
          <c:order val="0"/>
          <c:tx>
            <c:strRef>
              <c:f>Sheet1!$B$1</c:f>
              <c:strCache>
                <c:ptCount val="1"/>
                <c:pt idx="0">
                  <c:v>占比</c:v>
                </c:pt>
              </c:strCache>
            </c:strRef>
          </c:tx>
          <c:spPr/>
          <c:explosion val="0"/>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dPt>
          <c:dPt>
            <c:idx val="1"/>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dPt>
          <c:dPt>
            <c:idx val="2"/>
            <c:bubble3D val="0"/>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c:spPr>
          </c:dPt>
          <c:dLbls>
            <c:dLbl>
              <c:idx val="0"/>
              <c:delete val="1"/>
            </c:dLbl>
            <c:dLbl>
              <c:idx val="1"/>
              <c:delete val="1"/>
            </c:dLbl>
            <c:dLbl>
              <c:idx val="2"/>
              <c:layout>
                <c:manualLayout>
                  <c:x val="0.00187439869773377"/>
                  <c:y val="-0.326576072262015"/>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2"/>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a:solidFill>
                        <a:schemeClr val="tx2">
                          <a:lumMod val="35000"/>
                          <a:lumOff val="65000"/>
                        </a:schemeClr>
                      </a:solidFill>
                    </a:ln>
                    <a:effectLst/>
                  </c:spPr>
                </c15:leaderLines>
              </c:ext>
            </c:extLst>
          </c:dLbls>
          <c:cat>
            <c:strRef>
              <c:f>Sheet1!$A$2:$A$4</c:f>
              <c:strCache>
                <c:ptCount val="3"/>
                <c:pt idx="0">
                  <c:v>因公出国（境）费支出</c:v>
                </c:pt>
                <c:pt idx="1">
                  <c:v>公务用车购置及运行维护费支出</c:v>
                </c:pt>
                <c:pt idx="2">
                  <c:v>公务接待费支出</c:v>
                </c:pt>
              </c:strCache>
            </c:strRef>
          </c:cat>
          <c:val>
            <c:numRef>
              <c:f>Sheet1!$B$2:$B$4</c:f>
              <c:numCache>
                <c:formatCode>0%</c:formatCode>
                <c:ptCount val="3"/>
                <c:pt idx="0">
                  <c:v>0</c:v>
                </c:pt>
                <c:pt idx="1">
                  <c:v>0</c:v>
                </c:pt>
                <c:pt idx="2">
                  <c:v>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2"/>
              </a:solidFill>
              <a:latin typeface="+mn-lt"/>
              <a:ea typeface="+mn-ea"/>
              <a:cs typeface="+mn-cs"/>
            </a:defRPr>
          </a:pPr>
        </a:p>
      </c:txPr>
    </c:legend>
    <c:plotVisOnly val="1"/>
    <c:dispBlanksAs val="gap"/>
    <c:showDLblsOverMax val="0"/>
    <c:extLst>
      <c:ext uri="{0b15fc19-7d7d-44ad-8c2d-2c3a37ce22c3}">
        <chartProps xmlns="https://web.wps.cn/et/2018/main" chartId="{2bd02e2e-29a0-4dfb-8ca3-8d4e4c2cd7fc}"/>
      </c:ext>
    </c:extLst>
  </c:chart>
  <c:spPr>
    <a:solidFill>
      <a:schemeClr val="bg1"/>
    </a:solidFill>
    <a:ln w="9525" cap="flat" cmpd="sng" algn="ctr">
      <a:solidFill>
        <a:schemeClr val="tx2">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44">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2.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58">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900" b="1"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solidFill>
      <a:scene3d>
        <a:camera prst="orthographicFront"/>
        <a:lightRig rig="brightRoom" dir="t"/>
      </a:scene3d>
      <a:sp3d prstMaterial="flat">
        <a:bevelT w="50800" h="101600" prst="angle"/>
        <a:contourClr>
          <a:srgbClr val="000000"/>
        </a:contourClr>
      </a:sp3d>
    </cs:spPr>
  </cs:dataPoint>
  <cs:dataPoint3D>
    <cs:lnRef idx="0"/>
    <cs:fillRef idx="0">
      <cs:styleClr val="auto"/>
    </cs:fillRef>
    <cs:effectRef idx="0"/>
    <cs:fontRef idx="minor">
      <a:schemeClr val="tx1"/>
    </cs:fontRef>
    <cs:spPr>
      <a:solidFill>
        <a:schemeClr val="phClr"/>
      </a:solidFill>
      <a:ln w="1905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1" i="0" kern="1200" cap="all" spc="50"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204">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defRPr sz="900" kern="1200">
      <a:effectLst/>
    </cs:defRPr>
  </cs:categoryAxis>
  <cs:chartArea>
    <cs:lnRef idx="0"/>
    <cs:fillRef idx="0"/>
    <cs:effectRef idx="0"/>
    <cs:fontRef idx="minor">
      <a:schemeClr val="dk1"/>
    </cs:fontRef>
    <cs:spPr>
      <a:gradFill flip="none" rotWithShape="1">
        <a:gsLst>
          <a:gs pos="0">
            <a:schemeClr val="lt1"/>
          </a:gs>
          <a:gs pos="68000">
            <a:schemeClr val="lt1">
              <a:lumMod val="85000"/>
            </a:schemeClr>
          </a:gs>
          <a:gs pos="100000">
            <a:schemeClr val="lt1"/>
          </a:gs>
        </a:gsLst>
        <a:lin ang="5400000" scaled="1"/>
      </a:gradFill>
      <a:ln w="9525" cap="flat" cmpd="sng" algn="ctr">
        <a:solidFill>
          <a:schemeClr val="dk1">
            <a:lumMod val="15000"/>
            <a:lumOff val="85000"/>
          </a:schemeClr>
        </a:solidFill>
        <a:round/>
      </a:ln>
    </cs:spPr>
    <cs:defRPr sz="1000" kern="1200"/>
  </cs:chartArea>
  <cs:dataLabel>
    <cs:lnRef idx="0"/>
    <cs:fillRef idx="0"/>
    <cs:effectRef idx="0"/>
    <cs:fontRef idx="minor">
      <a:schemeClr val="lt1"/>
    </cs:fontRef>
    <cs:defRPr sz="10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1000" b="1"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
  <cs:dataPoint3D>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3D>
  <cs:dataPointLine>
    <cs:lnRef idx="0">
      <cs:styleClr val="auto"/>
    </cs:lnRef>
    <cs:fillRef idx="0"/>
    <cs:effectRef idx="0"/>
    <cs:fontRef idx="minor">
      <a:schemeClr val="dk1"/>
    </cs:fontRef>
    <cs:spPr>
      <a:ln w="28575" cap="rnd">
        <a:gradFill>
          <a:gsLst>
            <a:gs pos="0">
              <a:schemeClr val="phClr"/>
            </a:gs>
            <a:gs pos="100000">
              <a:schemeClr val="phClr">
                <a:lumMod val="84000"/>
              </a:schemeClr>
            </a:gs>
          </a:gsLst>
          <a:lin ang="5400000" scaled="1"/>
        </a:gradFill>
        <a:round/>
      </a:ln>
    </cs:spPr>
  </cs:dataPointLine>
  <cs:dataPointMarker>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35000"/>
          <a:lumOff val="65000"/>
        </a:schemeClr>
      </a:solidFill>
      <a:ln w="9525">
        <a:solidFill>
          <a:schemeClr val="dk1">
            <a:lumMod val="50000"/>
            <a:lumOff val="50000"/>
          </a:schemeClr>
        </a:solidFill>
      </a:ln>
    </cs:spPr>
  </cs:downBar>
  <cs:dropLine>
    <cs:lnRef idx="0"/>
    <cs:fillRef idx="0"/>
    <cs:effectRef idx="0"/>
    <cs:fontRef idx="minor">
      <a:schemeClr val="dk1"/>
    </cs:fontRef>
    <cs:spPr>
      <a:ln w="9525">
        <a:solidFill>
          <a:schemeClr val="dk1">
            <a:lumMod val="50000"/>
            <a:lumOff val="50000"/>
          </a:schemeClr>
        </a:solidFill>
        <a:round/>
      </a:ln>
    </cs:spPr>
  </cs:dropLine>
  <cs:errorBar>
    <cs:lnRef idx="0"/>
    <cs:fillRef idx="0"/>
    <cs:effectRef idx="0"/>
    <cs:fontRef idx="minor">
      <a:schemeClr val="dk1"/>
    </cs:fontRef>
    <cs:spPr>
      <a:ln w="9525">
        <a:solidFill>
          <a:schemeClr val="dk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50000"/>
            <a:lumOff val="50000"/>
          </a:schemeClr>
        </a:solidFill>
        <a:round/>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65000"/>
        <a:lumOff val="35000"/>
      </a:schemeClr>
    </cs:fontRef>
    <cs:defRPr kern="1200">
      <a:effectLst/>
    </cs:defRPr>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lumMod val="95000"/>
        </a:schemeClr>
      </a:solidFill>
      <a:ln w="9525">
        <a:solidFill>
          <a:schemeClr val="dk1">
            <a:lumMod val="15000"/>
            <a:lumOff val="85000"/>
          </a:schemeClr>
        </a:solidFill>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6.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7.xml><?xml version="1.0" encoding="utf-8"?>
<cs:chartStyle xmlns:cs="http://schemas.microsoft.com/office/drawing/2012/chartStyle" xmlns:a="http://schemas.openxmlformats.org/drawingml/2006/main" id="255">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四川省财政厅</Company>
  <Pages>23</Pages>
  <Words>8273</Words>
  <Characters>8791</Characters>
  <Lines>47</Lines>
  <Paragraphs>13</Paragraphs>
  <TotalTime>12</TotalTime>
  <ScaleCrop>false</ScaleCrop>
  <LinksUpToDate>false</LinksUpToDate>
  <CharactersWithSpaces>8867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昭化融媒体</cp:lastModifiedBy>
  <cp:lastPrinted>2022-09-27T03:56:00Z</cp:lastPrinted>
  <dcterms:modified xsi:type="dcterms:W3CDTF">2025-01-08T09:15:04Z</dcterms:modified>
  <dc:title>四川省***</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90E9467CCEFE4D188C1A3EBDCF3991AB</vt:lpwstr>
  </property>
  <property fmtid="{D5CDD505-2E9C-101B-9397-08002B2CF9AE}" pid="4" name="KSOTemplateDocerSaveRecord">
    <vt:lpwstr>eyJoZGlkIjoiMGVhYTg4NGNkZWJkODFjNzcyZDRjM2M4Y2UzNjI5ZmUiLCJ1c2VySWQiOiI2MTE2MzEwMDYifQ==</vt:lpwstr>
  </property>
</Properties>
</file>