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425"/>
      <w:bookmarkStart w:id="2" w:name="_Toc15396597"/>
      <w:bookmarkStart w:id="3" w:name="_Toc15378441"/>
      <w:bookmarkStart w:id="4" w:name="_Toc15377193"/>
      <w:bookmarkStart w:id="5" w:name="_Toc1539647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194"/>
      <w:bookmarkStart w:id="7" w:name="_Toc15378442"/>
      <w:bookmarkStart w:id="8" w:name="_Toc15377426"/>
      <w:bookmarkStart w:id="9" w:name="_Toc15396598"/>
      <w:bookmarkStart w:id="10" w:name="_Toc1539647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红岩镇沙坝小学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425" w:num="1"/>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4"/>
        <w:jc w:val="both"/>
        <w:rPr>
          <w:color w:val="auto"/>
          <w:highlight w:val="none"/>
        </w:rPr>
      </w:pPr>
    </w:p>
    <w:p>
      <w:pPr>
        <w:rPr>
          <w:color w:val="auto"/>
          <w:highlight w:val="none"/>
        </w:rPr>
      </w:pP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5"/>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16</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二、收入决算表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三、支出决算表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r>
        <w:rPr>
          <w:rFonts w:ascii="仿宋" w:hAnsi="仿宋" w:eastAsia="仿宋"/>
          <w:b/>
          <w:color w:val="auto"/>
          <w:sz w:val="24"/>
          <w:highlight w:val="none"/>
        </w:rPr>
        <w:br w:type="page"/>
      </w:r>
    </w:p>
    <w:p>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30"/>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1"/>
          <w:rFonts w:ascii="黑体" w:hAnsi="黑体" w:eastAsia="黑体"/>
          <w:b w:val="0"/>
          <w:bCs w:val="0"/>
          <w:color w:val="auto"/>
          <w:highlight w:val="none"/>
        </w:rPr>
      </w:pPr>
      <w:bookmarkStart w:id="14" w:name="_Toc15377197"/>
      <w:bookmarkStart w:id="15" w:name="_Toc15396600"/>
      <w:r>
        <w:rPr>
          <w:rStyle w:val="31"/>
          <w:rFonts w:hint="eastAsia" w:ascii="黑体" w:hAnsi="黑体" w:eastAsia="黑体"/>
          <w:b w:val="0"/>
          <w:bCs w:val="0"/>
          <w:color w:val="auto"/>
          <w:highlight w:val="none"/>
        </w:rPr>
        <w:t>职能简介</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pageBreakBefore w:val="0"/>
        <w:widowControl w:val="0"/>
        <w:kinsoku/>
        <w:wordWrap/>
        <w:overflowPunct/>
        <w:topLinePunct w:val="0"/>
        <w:autoSpaceDE/>
        <w:autoSpaceDN/>
        <w:bidi w:val="0"/>
        <w:adjustRightInd/>
        <w:snapToGrid/>
        <w:spacing w:line="600" w:lineRule="exact"/>
        <w:textAlignment w:val="auto"/>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spacing w:line="576" w:lineRule="exact"/>
        <w:ind w:firstLine="640" w:firstLineChars="200"/>
        <w:rPr>
          <w:rFonts w:ascii="楷体_GB2312" w:eastAsia="楷体_GB2312"/>
          <w:bCs/>
          <w:color w:val="auto"/>
          <w:sz w:val="32"/>
          <w:szCs w:val="32"/>
          <w:highlight w:val="none"/>
        </w:rPr>
      </w:pPr>
      <w:bookmarkStart w:id="16" w:name="_Toc15377204"/>
      <w:bookmarkStart w:id="17" w:name="_Toc15396602"/>
      <w:r>
        <w:rPr>
          <w:rFonts w:hint="eastAsia" w:ascii="楷体_GB2312" w:eastAsia="楷体_GB2312"/>
          <w:bCs/>
          <w:color w:val="auto"/>
          <w:sz w:val="32"/>
          <w:szCs w:val="32"/>
          <w:highlight w:val="none"/>
        </w:rPr>
        <w:t>（一）工作方略</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统一一个思想：积极践行党组织领导下的校长负责制。</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练就一身本领：作为校长，要耐得住，静得下，会思考。</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完善一套机制：对教师的管理，要用学习去提高，用理论去武装，用制度去约束，用成绩去激励，用语言去温暖，用肚量去和谐，用任务去锻炼，用愿景去凝聚。</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4.</w:t>
      </w:r>
      <w:r>
        <w:rPr>
          <w:rFonts w:hint="eastAsia" w:eastAsia="仿宋_GB2312"/>
          <w:bCs/>
          <w:color w:val="auto"/>
          <w:sz w:val="32"/>
          <w:szCs w:val="32"/>
          <w:highlight w:val="none"/>
        </w:rPr>
        <w:t>形成一种风气：领导围着教师转，教师围着学生转，后勤围着前勤转，全校围着教学转。</w:t>
      </w:r>
    </w:p>
    <w:p>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（二）学生成长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保障安全，质量先行。我们把安全管理放在学校工作的第一位。安全管理网络健全，责任明确，措施有力。通过学习、培训、讲座、系列活动等，为全校师生工作学习生活保驾护航。针对新冠疫情防控，学校坚持</w:t>
      </w:r>
      <w:r>
        <w:rPr>
          <w:rFonts w:eastAsia="仿宋_GB2312"/>
          <w:bCs/>
          <w:color w:val="auto"/>
          <w:sz w:val="32"/>
          <w:szCs w:val="32"/>
          <w:highlight w:val="none"/>
        </w:rPr>
        <w:t>“</w:t>
      </w:r>
      <w:r>
        <w:rPr>
          <w:rFonts w:hint="eastAsia" w:eastAsia="仿宋_GB2312"/>
          <w:bCs/>
          <w:color w:val="auto"/>
          <w:sz w:val="32"/>
          <w:szCs w:val="32"/>
          <w:highlight w:val="none"/>
        </w:rPr>
        <w:t>做好规定动作不走样</w:t>
      </w:r>
      <w:r>
        <w:rPr>
          <w:rFonts w:eastAsia="仿宋_GB2312"/>
          <w:bCs/>
          <w:color w:val="auto"/>
          <w:sz w:val="32"/>
          <w:szCs w:val="32"/>
          <w:highlight w:val="none"/>
        </w:rPr>
        <w:t>”</w:t>
      </w:r>
      <w:r>
        <w:rPr>
          <w:rFonts w:hint="eastAsia" w:eastAsia="仿宋_GB2312"/>
          <w:bCs/>
          <w:color w:val="auto"/>
          <w:sz w:val="32"/>
          <w:szCs w:val="32"/>
          <w:highlight w:val="none"/>
        </w:rPr>
        <w:t>，严格按照省中小学防疫指南及各级主管部门要求，规范操作，动态管理，科学防疫，并形成常态机制。</w:t>
      </w:r>
    </w:p>
    <w:p>
      <w:pPr>
        <w:spacing w:line="576"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我们把提高教学质量作为学校工作的生命线。教学实施精细化过程管理，充分调动教师的能动作用，切实抓好教学六认真，向每一堂课、每一个教学环节、每一个学生要质量，打造高效课堂，提高学习效率，缩小差距，提升水平。坚持班子成员联系年级负责制，坚持</w:t>
      </w:r>
      <w:r>
        <w:rPr>
          <w:rFonts w:eastAsia="仿宋_GB2312"/>
          <w:bCs/>
          <w:color w:val="auto"/>
          <w:sz w:val="32"/>
          <w:szCs w:val="32"/>
          <w:highlight w:val="none"/>
        </w:rPr>
        <w:t>“</w:t>
      </w:r>
      <w:r>
        <w:rPr>
          <w:rFonts w:hint="eastAsia" w:eastAsia="仿宋_GB2312"/>
          <w:bCs/>
          <w:color w:val="auto"/>
          <w:sz w:val="32"/>
          <w:szCs w:val="32"/>
          <w:highlight w:val="none"/>
        </w:rPr>
        <w:t>名优</w:t>
      </w:r>
      <w:r>
        <w:rPr>
          <w:rFonts w:eastAsia="仿宋_GB2312"/>
          <w:bCs/>
          <w:color w:val="auto"/>
          <w:sz w:val="32"/>
          <w:szCs w:val="32"/>
          <w:highlight w:val="none"/>
        </w:rPr>
        <w:t>”</w:t>
      </w:r>
      <w:r>
        <w:rPr>
          <w:rFonts w:hint="eastAsia" w:eastAsia="仿宋_GB2312"/>
          <w:bCs/>
          <w:color w:val="auto"/>
          <w:sz w:val="32"/>
          <w:szCs w:val="32"/>
          <w:highlight w:val="none"/>
        </w:rPr>
        <w:t>教师导师制。</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规范管理，外化于行。聚焦八大模块：即仪容仪表、财产管理、小红帽自主管理、课间安全、</w:t>
      </w:r>
      <w:r>
        <w:rPr>
          <w:rFonts w:hint="eastAsia" w:eastAsia="仿宋_GB2312"/>
          <w:bCs/>
          <w:color w:val="auto"/>
          <w:sz w:val="32"/>
          <w:szCs w:val="32"/>
          <w:highlight w:val="none"/>
          <w:lang w:eastAsia="zh-CN"/>
        </w:rPr>
        <w:t>校舍</w:t>
      </w:r>
      <w:r>
        <w:rPr>
          <w:rFonts w:hint="eastAsia" w:eastAsia="仿宋_GB2312"/>
          <w:bCs/>
          <w:color w:val="auto"/>
          <w:sz w:val="32"/>
          <w:szCs w:val="32"/>
          <w:highlight w:val="none"/>
        </w:rPr>
        <w:t>就餐、文明就寝、桌椅摆放、学习向上。分块管理、分人负责。成就了学生的好习惯、好形象，培养了学生个性品质和合作意识。常规管理上，让学生参与其中，通过学生自主管理，教师调控，形成了人人有事做，事事有人管的良好局面。</w:t>
      </w:r>
    </w:p>
    <w:p>
      <w:pPr>
        <w:spacing w:line="576"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学校重视学生全面的兴趣特长，大力实施</w:t>
      </w:r>
      <w:r>
        <w:rPr>
          <w:rFonts w:eastAsia="仿宋_GB2312"/>
          <w:bCs/>
          <w:color w:val="auto"/>
          <w:sz w:val="32"/>
          <w:szCs w:val="32"/>
          <w:highlight w:val="none"/>
        </w:rPr>
        <w:t>“2+1”</w:t>
      </w:r>
      <w:r>
        <w:rPr>
          <w:rFonts w:hint="eastAsia" w:eastAsia="仿宋_GB2312"/>
          <w:bCs/>
          <w:color w:val="auto"/>
          <w:sz w:val="32"/>
          <w:szCs w:val="32"/>
          <w:highlight w:val="none"/>
        </w:rPr>
        <w:t>项目。除开严格艺术教育课堂教学外，还开设了艺术教育社团</w:t>
      </w:r>
      <w:r>
        <w:rPr>
          <w:rFonts w:eastAsia="仿宋_GB2312"/>
          <w:bCs/>
          <w:color w:val="auto"/>
          <w:sz w:val="32"/>
          <w:szCs w:val="32"/>
          <w:highlight w:val="none"/>
        </w:rPr>
        <w:t>18</w:t>
      </w:r>
      <w:r>
        <w:rPr>
          <w:rFonts w:hint="eastAsia" w:eastAsia="仿宋_GB2312"/>
          <w:bCs/>
          <w:color w:val="auto"/>
          <w:sz w:val="32"/>
          <w:szCs w:val="32"/>
          <w:highlight w:val="none"/>
        </w:rPr>
        <w:t>个，采用学生自主选择和</w:t>
      </w:r>
      <w:r>
        <w:rPr>
          <w:rFonts w:eastAsia="仿宋_GB2312"/>
          <w:bCs/>
          <w:color w:val="auto"/>
          <w:sz w:val="32"/>
          <w:szCs w:val="32"/>
          <w:highlight w:val="none"/>
        </w:rPr>
        <w:t>“</w:t>
      </w:r>
      <w:r>
        <w:rPr>
          <w:rFonts w:hint="eastAsia" w:eastAsia="仿宋_GB2312"/>
          <w:bCs/>
          <w:color w:val="auto"/>
          <w:sz w:val="32"/>
          <w:szCs w:val="32"/>
          <w:highlight w:val="none"/>
        </w:rPr>
        <w:t>苗子</w:t>
      </w:r>
      <w:r>
        <w:rPr>
          <w:rFonts w:eastAsia="仿宋_GB2312"/>
          <w:bCs/>
          <w:color w:val="auto"/>
          <w:sz w:val="32"/>
          <w:szCs w:val="32"/>
          <w:highlight w:val="none"/>
        </w:rPr>
        <w:t>”</w:t>
      </w:r>
      <w:r>
        <w:rPr>
          <w:rFonts w:hint="eastAsia" w:eastAsia="仿宋_GB2312"/>
          <w:bCs/>
          <w:color w:val="auto"/>
          <w:sz w:val="32"/>
          <w:szCs w:val="32"/>
          <w:highlight w:val="none"/>
        </w:rPr>
        <w:t>培养的方式，让学生人人发现特长，发展特长。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关注他人，关注社会。引导学生放眼窗外，关注社会。通过德育系列活动，达到立德树人的目标；开展扶贫日捐助、做小小宣传员、深入村社开展脱贫攻坚知识宣讲等活动，让学生学会关心帮助他人；让学生走出校园，在调查、参观中培养综合能力；通过远足、野炊、深入社区义务服务等活动，进行主题学习、观察记录、动手实践，让学生与自然共生，与文化同行。</w:t>
      </w:r>
    </w:p>
    <w:p>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（三）教师发展</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党建为本。统一思想，占领高地，规范行为。一个支部就是一座堡垒，一个党员就是一面旗帜。在纪律作风整顿年充分把</w:t>
      </w:r>
      <w:r>
        <w:rPr>
          <w:rFonts w:eastAsia="仿宋_GB2312"/>
          <w:bCs/>
          <w:color w:val="auto"/>
          <w:sz w:val="32"/>
          <w:szCs w:val="32"/>
          <w:highlight w:val="none"/>
        </w:rPr>
        <w:t>“</w:t>
      </w:r>
      <w:r>
        <w:rPr>
          <w:rFonts w:hint="eastAsia" w:eastAsia="仿宋_GB2312"/>
          <w:bCs/>
          <w:color w:val="auto"/>
          <w:sz w:val="32"/>
          <w:szCs w:val="32"/>
          <w:highlight w:val="none"/>
        </w:rPr>
        <w:t>以案促改”主题活动同学校发展、教师发展、学生发展相结合，突出实效性。努力践行党组织领导下的校长负责制，统一教职工思想，占领育人高地，规范师生行为。目前，我校教师队伍，政治信念坚定立场稳，政治氛围融洽人心齐，政治生活严肃有辣味，政治文化和谐风气正，政治纪律严明守底线，政治规矩严格讲规程，政治操守廉洁形象好。</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精神是源。学校</w:t>
      </w:r>
      <w:r>
        <w:rPr>
          <w:rFonts w:eastAsia="仿宋_GB2312"/>
          <w:bCs/>
          <w:color w:val="auto"/>
          <w:sz w:val="32"/>
          <w:szCs w:val="32"/>
          <w:highlight w:val="none"/>
        </w:rPr>
        <w:t>“</w:t>
      </w:r>
      <w:r>
        <w:rPr>
          <w:rFonts w:hint="eastAsia" w:eastAsia="仿宋_GB2312"/>
          <w:bCs/>
          <w:color w:val="auto"/>
          <w:sz w:val="32"/>
          <w:szCs w:val="32"/>
          <w:highlight w:val="none"/>
        </w:rPr>
        <w:t>善水</w:t>
      </w:r>
      <w:r>
        <w:rPr>
          <w:rFonts w:eastAsia="仿宋_GB2312"/>
          <w:bCs/>
          <w:color w:val="auto"/>
          <w:sz w:val="32"/>
          <w:szCs w:val="32"/>
          <w:highlight w:val="none"/>
        </w:rPr>
        <w:t>”</w:t>
      </w:r>
      <w:r>
        <w:rPr>
          <w:rFonts w:hint="eastAsia" w:eastAsia="仿宋_GB2312"/>
          <w:bCs/>
          <w:color w:val="auto"/>
          <w:sz w:val="32"/>
          <w:szCs w:val="32"/>
          <w:highlight w:val="none"/>
        </w:rPr>
        <w:t>文化主题中的柔韧、谦逊、坚持是全校师生的价值追求，也是我们不断向上的精神之源。在师生中提倡团队精神，在团队中不断学习，培养精神特质。</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培训之乐。我们创造一切机会，走出去、请进来。一年来，学校邀请了广元市小学数学杜甫名师工作室、杭州拱墅区名优教师团队来校把诊问脉、传经送宝；和广元市实验小学长期结对，实施城乡手拉手项目，让我校教师且学且思共成长；和区内元坝一小、卫子小学、昭化小学组成昭化区中国好老师共同体，相互学习、相互帮助、资源共享、共同成长；和区内名校元坝一小结对帮扶，实施共建，方向明、目标清、措施力，效果优；2021年春季带领教师团队到朝天区羊木镇小学观摩学习，他们的天地课堂、农耕文化带给我们太多的思考，行在教育路上，既要仰望星空，又要贴地而行，探索适合校情、富有地方底蕴和特色的渐进理想教育之路。本年度先后与元坝一小、黄龙小学、丁家小学、张家小学开展了以课堂建构和学科教学为主题的教学研究、分享。学校内部，一年来，以课堂教学为主阵地，以教学研究为主旋律开展系列活动，助力青年教师专业大提升，一周一主题，人人露一手。一年来学校外派教师到省、市、区参加各种培训达</w:t>
      </w:r>
      <w:r>
        <w:rPr>
          <w:rFonts w:eastAsia="仿宋_GB2312"/>
          <w:bCs/>
          <w:color w:val="auto"/>
          <w:sz w:val="32"/>
          <w:szCs w:val="32"/>
          <w:highlight w:val="none"/>
        </w:rPr>
        <w:t>13</w:t>
      </w:r>
      <w:r>
        <w:rPr>
          <w:rFonts w:hint="eastAsia" w:eastAsia="仿宋_GB2312"/>
          <w:bCs/>
          <w:color w:val="auto"/>
          <w:sz w:val="32"/>
          <w:szCs w:val="32"/>
          <w:highlight w:val="none"/>
        </w:rPr>
        <w:t>人次。教学研究引领教学实践，本年度我校市级课题和区级课题均顺利结题，市级课题研究成果荣获市级二等奖。种种途径，大力促进了我校师资队伍的专业成长。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4.</w:t>
      </w:r>
      <w:r>
        <w:rPr>
          <w:rFonts w:hint="eastAsia" w:eastAsia="仿宋_GB2312"/>
          <w:bCs/>
          <w:color w:val="auto"/>
          <w:sz w:val="32"/>
          <w:szCs w:val="32"/>
          <w:highlight w:val="none"/>
        </w:rPr>
        <w:t>平台相助。立足课堂实施三大工程：即聚焦核心素养、深化课堂教学改革、重建理想课堂。一年来的努力，数学组提出了新授课的基本流程：创设教学情境</w:t>
      </w:r>
      <w:r>
        <w:rPr>
          <w:rFonts w:eastAsia="仿宋_GB2312"/>
          <w:bCs/>
          <w:color w:val="auto"/>
          <w:sz w:val="32"/>
          <w:szCs w:val="32"/>
          <w:highlight w:val="none"/>
        </w:rPr>
        <w:t>——</w:t>
      </w:r>
      <w:r>
        <w:rPr>
          <w:rFonts w:hint="eastAsia" w:eastAsia="仿宋_GB2312"/>
          <w:bCs/>
          <w:color w:val="auto"/>
          <w:sz w:val="32"/>
          <w:szCs w:val="32"/>
          <w:highlight w:val="none"/>
        </w:rPr>
        <w:t>提出有价值的数学信息</w:t>
      </w:r>
      <w:r>
        <w:rPr>
          <w:rFonts w:eastAsia="仿宋_GB2312"/>
          <w:bCs/>
          <w:color w:val="auto"/>
          <w:sz w:val="32"/>
          <w:szCs w:val="32"/>
          <w:highlight w:val="none"/>
        </w:rPr>
        <w:t>——</w:t>
      </w:r>
      <w:r>
        <w:rPr>
          <w:rFonts w:hint="eastAsia" w:eastAsia="仿宋_GB2312"/>
          <w:bCs/>
          <w:color w:val="auto"/>
          <w:sz w:val="32"/>
          <w:szCs w:val="32"/>
          <w:highlight w:val="none"/>
        </w:rPr>
        <w:t>提出有效的数学问题</w:t>
      </w:r>
      <w:r>
        <w:rPr>
          <w:rFonts w:eastAsia="仿宋_GB2312"/>
          <w:bCs/>
          <w:color w:val="auto"/>
          <w:sz w:val="32"/>
          <w:szCs w:val="32"/>
          <w:highlight w:val="none"/>
        </w:rPr>
        <w:t>——</w:t>
      </w:r>
      <w:r>
        <w:rPr>
          <w:rFonts w:hint="eastAsia" w:eastAsia="仿宋_GB2312"/>
          <w:bCs/>
          <w:color w:val="auto"/>
          <w:sz w:val="32"/>
          <w:szCs w:val="32"/>
          <w:highlight w:val="none"/>
        </w:rPr>
        <w:t>合作分析解决问题</w:t>
      </w:r>
      <w:r>
        <w:rPr>
          <w:rFonts w:eastAsia="仿宋_GB2312"/>
          <w:bCs/>
          <w:color w:val="auto"/>
          <w:sz w:val="32"/>
          <w:szCs w:val="32"/>
          <w:highlight w:val="none"/>
        </w:rPr>
        <w:t>——</w:t>
      </w:r>
      <w:r>
        <w:rPr>
          <w:rFonts w:hint="eastAsia" w:eastAsia="仿宋_GB2312"/>
          <w:bCs/>
          <w:color w:val="auto"/>
          <w:sz w:val="32"/>
          <w:szCs w:val="32"/>
          <w:highlight w:val="none"/>
        </w:rPr>
        <w:t>展示交流</w:t>
      </w:r>
      <w:r>
        <w:rPr>
          <w:rFonts w:eastAsia="仿宋_GB2312"/>
          <w:bCs/>
          <w:color w:val="auto"/>
          <w:sz w:val="32"/>
          <w:szCs w:val="32"/>
          <w:highlight w:val="none"/>
        </w:rPr>
        <w:t>——</w:t>
      </w:r>
      <w:r>
        <w:rPr>
          <w:rFonts w:hint="eastAsia" w:eastAsia="仿宋_GB2312"/>
          <w:bCs/>
          <w:color w:val="auto"/>
          <w:sz w:val="32"/>
          <w:szCs w:val="32"/>
          <w:highlight w:val="none"/>
        </w:rPr>
        <w:t>巩固升华、拓展延伸；语文组提出阅读教学基本模式：创设情境、激趣导课</w:t>
      </w:r>
      <w:r>
        <w:rPr>
          <w:rFonts w:eastAsia="仿宋_GB2312"/>
          <w:bCs/>
          <w:color w:val="auto"/>
          <w:sz w:val="32"/>
          <w:szCs w:val="32"/>
          <w:highlight w:val="none"/>
        </w:rPr>
        <w:t>——</w:t>
      </w:r>
      <w:r>
        <w:rPr>
          <w:rFonts w:hint="eastAsia" w:eastAsia="仿宋_GB2312"/>
          <w:bCs/>
          <w:color w:val="auto"/>
          <w:sz w:val="32"/>
          <w:szCs w:val="32"/>
          <w:highlight w:val="none"/>
        </w:rPr>
        <w:t>自主读书、整体感知</w:t>
      </w:r>
      <w:r>
        <w:rPr>
          <w:rFonts w:eastAsia="仿宋_GB2312"/>
          <w:bCs/>
          <w:color w:val="auto"/>
          <w:sz w:val="32"/>
          <w:szCs w:val="32"/>
          <w:highlight w:val="none"/>
        </w:rPr>
        <w:t>——</w:t>
      </w:r>
      <w:r>
        <w:rPr>
          <w:rFonts w:hint="eastAsia" w:eastAsia="仿宋_GB2312"/>
          <w:bCs/>
          <w:color w:val="auto"/>
          <w:sz w:val="32"/>
          <w:szCs w:val="32"/>
          <w:highlight w:val="none"/>
        </w:rPr>
        <w:t>合作探究、解读文本</w:t>
      </w:r>
      <w:r>
        <w:rPr>
          <w:rFonts w:eastAsia="仿宋_GB2312"/>
          <w:bCs/>
          <w:color w:val="auto"/>
          <w:sz w:val="32"/>
          <w:szCs w:val="32"/>
          <w:highlight w:val="none"/>
        </w:rPr>
        <w:t>——</w:t>
      </w:r>
      <w:r>
        <w:rPr>
          <w:rFonts w:hint="eastAsia" w:eastAsia="仿宋_GB2312"/>
          <w:bCs/>
          <w:color w:val="auto"/>
          <w:sz w:val="32"/>
          <w:szCs w:val="32"/>
          <w:highlight w:val="none"/>
        </w:rPr>
        <w:t>朗读背诵、体会情感</w:t>
      </w:r>
      <w:r>
        <w:rPr>
          <w:rFonts w:eastAsia="仿宋_GB2312"/>
          <w:bCs/>
          <w:color w:val="auto"/>
          <w:sz w:val="32"/>
          <w:szCs w:val="32"/>
          <w:highlight w:val="none"/>
        </w:rPr>
        <w:t>——</w:t>
      </w:r>
      <w:r>
        <w:rPr>
          <w:rFonts w:hint="eastAsia" w:eastAsia="仿宋_GB2312"/>
          <w:bCs/>
          <w:color w:val="auto"/>
          <w:sz w:val="32"/>
          <w:szCs w:val="32"/>
          <w:highlight w:val="none"/>
        </w:rPr>
        <w:t>交流感受、课外延伸。一年来，教师获得各级各类荣誉及奖项共计</w:t>
      </w:r>
      <w:r>
        <w:rPr>
          <w:rFonts w:hint="eastAsia" w:eastAsia="仿宋_GB2312"/>
          <w:bCs/>
          <w:color w:val="auto"/>
          <w:sz w:val="32"/>
          <w:szCs w:val="32"/>
          <w:highlight w:val="none"/>
          <w:lang w:val="en-US" w:eastAsia="zh-CN"/>
        </w:rPr>
        <w:t>18</w:t>
      </w:r>
      <w:r>
        <w:rPr>
          <w:rFonts w:hint="eastAsia" w:eastAsia="仿宋_GB2312"/>
          <w:bCs/>
          <w:color w:val="auto"/>
          <w:sz w:val="32"/>
          <w:szCs w:val="32"/>
          <w:highlight w:val="none"/>
        </w:rPr>
        <w:t>人次、发表及获奖论文</w:t>
      </w:r>
      <w:r>
        <w:rPr>
          <w:rFonts w:hint="eastAsia" w:eastAsia="仿宋_GB2312"/>
          <w:bCs/>
          <w:color w:val="auto"/>
          <w:sz w:val="32"/>
          <w:szCs w:val="32"/>
          <w:highlight w:val="none"/>
          <w:lang w:val="en-US" w:eastAsia="zh-CN"/>
        </w:rPr>
        <w:t>21</w:t>
      </w:r>
      <w:r>
        <w:rPr>
          <w:rFonts w:hint="eastAsia" w:eastAsia="仿宋_GB2312"/>
          <w:bCs/>
          <w:color w:val="auto"/>
          <w:sz w:val="32"/>
          <w:szCs w:val="32"/>
          <w:highlight w:val="none"/>
        </w:rPr>
        <w:t>篇。</w:t>
      </w:r>
    </w:p>
    <w:p>
      <w:pPr>
        <w:spacing w:line="576" w:lineRule="exact"/>
        <w:ind w:firstLine="640" w:firstLineChars="200"/>
        <w:rPr>
          <w:rFonts w:ascii="楷体_GB2312" w:eastAsia="楷体_GB2312"/>
          <w:bCs/>
          <w:color w:val="auto"/>
          <w:sz w:val="32"/>
          <w:szCs w:val="32"/>
          <w:highlight w:val="none"/>
        </w:rPr>
      </w:pPr>
      <w:r>
        <w:rPr>
          <w:rFonts w:ascii="楷体_GB2312" w:eastAsia="楷体_GB2312"/>
          <w:bCs/>
          <w:color w:val="auto"/>
          <w:sz w:val="32"/>
          <w:szCs w:val="32"/>
          <w:highlight w:val="none"/>
        </w:rPr>
        <w:t>(</w:t>
      </w:r>
      <w:r>
        <w:rPr>
          <w:rFonts w:hint="eastAsia" w:ascii="楷体_GB2312" w:eastAsia="楷体_GB2312"/>
          <w:bCs/>
          <w:color w:val="auto"/>
          <w:sz w:val="32"/>
          <w:szCs w:val="32"/>
          <w:highlight w:val="none"/>
        </w:rPr>
        <w:t>四</w:t>
      </w:r>
      <w:r>
        <w:rPr>
          <w:rFonts w:ascii="楷体_GB2312" w:eastAsia="楷体_GB2312"/>
          <w:bCs/>
          <w:color w:val="auto"/>
          <w:sz w:val="32"/>
          <w:szCs w:val="32"/>
          <w:highlight w:val="none"/>
        </w:rPr>
        <w:t>)</w:t>
      </w:r>
      <w:r>
        <w:rPr>
          <w:rFonts w:hint="eastAsia" w:ascii="楷体_GB2312" w:eastAsia="楷体_GB2312"/>
          <w:bCs/>
          <w:color w:val="auto"/>
          <w:sz w:val="32"/>
          <w:szCs w:val="32"/>
          <w:highlight w:val="none"/>
        </w:rPr>
        <w:t>学校变化</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方向更明。学校</w:t>
      </w:r>
      <w:r>
        <w:rPr>
          <w:rFonts w:eastAsia="仿宋_GB2312"/>
          <w:bCs/>
          <w:color w:val="auto"/>
          <w:sz w:val="32"/>
          <w:szCs w:val="32"/>
          <w:highlight w:val="none"/>
        </w:rPr>
        <w:t>1999</w:t>
      </w:r>
      <w:r>
        <w:rPr>
          <w:rFonts w:hint="eastAsia" w:eastAsia="仿宋_GB2312"/>
          <w:bCs/>
          <w:color w:val="auto"/>
          <w:sz w:val="32"/>
          <w:szCs w:val="32"/>
          <w:highlight w:val="none"/>
        </w:rPr>
        <w:t>年创建广元市艺术教育特色学校，</w:t>
      </w:r>
      <w:r>
        <w:rPr>
          <w:rFonts w:eastAsia="仿宋_GB2312"/>
          <w:bCs/>
          <w:color w:val="auto"/>
          <w:sz w:val="32"/>
          <w:szCs w:val="32"/>
          <w:highlight w:val="none"/>
        </w:rPr>
        <w:t>2019</w:t>
      </w:r>
      <w:r>
        <w:rPr>
          <w:rFonts w:hint="eastAsia" w:eastAsia="仿宋_GB2312"/>
          <w:bCs/>
          <w:color w:val="auto"/>
          <w:sz w:val="32"/>
          <w:szCs w:val="32"/>
          <w:highlight w:val="none"/>
        </w:rPr>
        <w:t>年</w:t>
      </w:r>
      <w:r>
        <w:rPr>
          <w:rFonts w:eastAsia="仿宋_GB2312"/>
          <w:bCs/>
          <w:color w:val="auto"/>
          <w:sz w:val="32"/>
          <w:szCs w:val="32"/>
          <w:highlight w:val="none"/>
        </w:rPr>
        <w:t>3</w:t>
      </w:r>
      <w:r>
        <w:rPr>
          <w:rFonts w:hint="eastAsia" w:eastAsia="仿宋_GB2312"/>
          <w:bCs/>
          <w:color w:val="auto"/>
          <w:sz w:val="32"/>
          <w:szCs w:val="32"/>
          <w:highlight w:val="none"/>
        </w:rPr>
        <w:t>月，学校被评为四川省艺术教育特色学校。以艺术教育特色兴校为战略，并制定了中长期规划。本年软笔书法社团申报评为市级优秀艺术社团；四川省绿色校园成功创建。成绩提升是永恒主题，千方百计，多措并举，万涓归流，重塑虎跳小学教学辉煌。</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校园更美。以昭化区教育局</w:t>
      </w:r>
      <w:r>
        <w:rPr>
          <w:rFonts w:eastAsia="仿宋_GB2312"/>
          <w:bCs/>
          <w:color w:val="auto"/>
          <w:sz w:val="32"/>
          <w:szCs w:val="32"/>
          <w:highlight w:val="none"/>
        </w:rPr>
        <w:t>“</w:t>
      </w:r>
      <w:r>
        <w:rPr>
          <w:rFonts w:hint="eastAsia" w:eastAsia="仿宋_GB2312"/>
          <w:bCs/>
          <w:color w:val="auto"/>
          <w:sz w:val="32"/>
          <w:szCs w:val="32"/>
          <w:highlight w:val="none"/>
        </w:rPr>
        <w:t>四大校园</w:t>
      </w:r>
      <w:r>
        <w:rPr>
          <w:rFonts w:eastAsia="仿宋_GB2312"/>
          <w:bCs/>
          <w:color w:val="auto"/>
          <w:sz w:val="32"/>
          <w:szCs w:val="32"/>
          <w:highlight w:val="none"/>
        </w:rPr>
        <w:t>”</w:t>
      </w:r>
      <w:r>
        <w:rPr>
          <w:rFonts w:hint="eastAsia" w:eastAsia="仿宋_GB2312"/>
          <w:bCs/>
          <w:color w:val="auto"/>
          <w:sz w:val="32"/>
          <w:szCs w:val="32"/>
          <w:highlight w:val="none"/>
        </w:rPr>
        <w:t>实施意见为指导，严格落实，长期坚持，适当创新，以义教均衡创建和标准中心校建设为契机，学校设施更完善、功能更齐备、环境更优雅。活动育人、立德树人，书香校园日趋形成。</w:t>
      </w:r>
    </w:p>
    <w:p>
      <w:pPr>
        <w:spacing w:line="576"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一年来，学校获得奖项及荣誉：省级1项，市级</w:t>
      </w:r>
      <w:r>
        <w:rPr>
          <w:rFonts w:eastAsia="仿宋_GB2312"/>
          <w:bCs/>
          <w:color w:val="auto"/>
          <w:sz w:val="32"/>
          <w:szCs w:val="32"/>
          <w:highlight w:val="none"/>
        </w:rPr>
        <w:t>2</w:t>
      </w:r>
      <w:r>
        <w:rPr>
          <w:rFonts w:hint="eastAsia" w:eastAsia="仿宋_GB2312"/>
          <w:bCs/>
          <w:color w:val="auto"/>
          <w:sz w:val="32"/>
          <w:szCs w:val="32"/>
          <w:highlight w:val="none"/>
        </w:rPr>
        <w:t>项、区级3项。</w:t>
      </w: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rPr>
        <w:t>单位决算情况说明</w:t>
      </w:r>
      <w:bookmarkEnd w:id="16"/>
      <w:bookmarkEnd w:id="17"/>
    </w:p>
    <w:p>
      <w:pPr>
        <w:rPr>
          <w:color w:val="auto"/>
          <w:highlight w:val="none"/>
        </w:rPr>
      </w:pP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884.03万元</w:t>
      </w:r>
      <w:r>
        <w:rPr>
          <w:rFonts w:hint="eastAsia" w:ascii="仿宋" w:hAnsi="仿宋" w:eastAsia="仿宋"/>
          <w:color w:val="auto"/>
          <w:sz w:val="32"/>
          <w:szCs w:val="32"/>
          <w:highlight w:val="none"/>
        </w:rPr>
        <w:t>。与2020年相比，收、支总计各</w:t>
      </w:r>
      <w:r>
        <w:rPr>
          <w:rFonts w:hint="eastAsia" w:ascii="仿宋" w:hAnsi="仿宋" w:eastAsia="仿宋"/>
          <w:color w:val="auto"/>
          <w:sz w:val="32"/>
          <w:szCs w:val="32"/>
          <w:highlight w:val="none"/>
          <w:lang w:eastAsia="zh-CN"/>
        </w:rPr>
        <w:t>减少31.36万元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下降3.43%</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color w:val="auto"/>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884.03万元</w:t>
      </w:r>
      <w:r>
        <w:rPr>
          <w:rFonts w:hint="eastAsia" w:ascii="仿宋" w:hAnsi="仿宋" w:eastAsia="仿宋"/>
          <w:color w:val="auto"/>
          <w:sz w:val="32"/>
          <w:szCs w:val="32"/>
          <w:highlight w:val="none"/>
        </w:rPr>
        <w:t>，其中：一般公共预算财政拨款收入</w:t>
      </w:r>
      <w:r>
        <w:rPr>
          <w:rFonts w:hint="eastAsia" w:ascii="仿宋" w:hAnsi="仿宋" w:eastAsia="仿宋"/>
          <w:color w:val="auto"/>
          <w:sz w:val="32"/>
          <w:szCs w:val="32"/>
          <w:highlight w:val="none"/>
          <w:lang w:val="en-US" w:eastAsia="zh-CN"/>
        </w:rPr>
        <w:t>882.53万元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99.83%</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0.17%</w:t>
      </w:r>
      <w:r>
        <w:rPr>
          <w:rFonts w:hint="eastAsia" w:ascii="仿宋" w:hAnsi="仿宋" w:eastAsia="仿宋"/>
          <w:color w:val="auto"/>
          <w:sz w:val="32"/>
          <w:szCs w:val="32"/>
          <w:highlight w:val="none"/>
        </w:rPr>
        <w:t>。</w:t>
      </w:r>
    </w:p>
    <w:p>
      <w:pPr>
        <w:pStyle w:val="17"/>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6432" behindDoc="0" locked="0" layoutInCell="1" allowOverlap="1">
            <wp:simplePos x="0" y="0"/>
            <wp:positionH relativeFrom="column">
              <wp:posOffset>-39370</wp:posOffset>
            </wp:positionH>
            <wp:positionV relativeFrom="paragraph">
              <wp:posOffset>295275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7"/>
        <w:ind w:left="0" w:leftChars="0" w:firstLine="640" w:firstLineChars="200"/>
        <w:rPr>
          <w:rStyle w:val="31"/>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884.03万元</w:t>
      </w:r>
      <w:r>
        <w:rPr>
          <w:rFonts w:hint="eastAsia" w:ascii="仿宋" w:hAnsi="仿宋" w:eastAsia="仿宋"/>
          <w:color w:val="auto"/>
          <w:sz w:val="32"/>
          <w:szCs w:val="32"/>
          <w:highlight w:val="none"/>
        </w:rPr>
        <w:t>，其中：基本支出</w:t>
      </w:r>
      <w:r>
        <w:rPr>
          <w:rFonts w:hint="eastAsia" w:ascii="仿宋" w:hAnsi="仿宋" w:eastAsia="仿宋"/>
          <w:color w:val="auto"/>
          <w:sz w:val="32"/>
          <w:szCs w:val="32"/>
          <w:highlight w:val="none"/>
          <w:lang w:val="en-US" w:eastAsia="zh-CN"/>
        </w:rPr>
        <w:t>617.53万元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69.85%</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266.50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30.15%</w:t>
      </w:r>
      <w:r>
        <w:rPr>
          <w:rFonts w:hint="eastAsia" w:ascii="仿宋" w:hAnsi="仿宋" w:eastAsia="仿宋"/>
          <w:color w:val="auto"/>
          <w:sz w:val="32"/>
          <w:szCs w:val="32"/>
          <w:highlight w:val="none"/>
        </w:rPr>
        <w:t>。</w:t>
      </w:r>
    </w:p>
    <w:p>
      <w:pPr>
        <w:spacing w:line="600" w:lineRule="exact"/>
        <w:ind w:firstLine="640" w:firstLineChars="200"/>
        <w:outlineLvl w:val="1"/>
        <w:rPr>
          <w:rStyle w:val="31"/>
          <w:rFonts w:ascii="黑体" w:hAnsi="黑体" w:eastAsia="黑体"/>
          <w:b w:val="0"/>
          <w:color w:val="auto"/>
          <w:highlight w:val="none"/>
        </w:rPr>
      </w:pPr>
      <w:bookmarkStart w:id="24" w:name="_Toc15396606"/>
      <w:bookmarkStart w:id="25" w:name="_Toc15377208"/>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884.03万元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减少31.36万元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下降3.43%</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pStyle w:val="17"/>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1"/>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882.53万元</w:t>
      </w:r>
      <w:r>
        <w:rPr>
          <w:rFonts w:hint="eastAsia" w:ascii="仿宋" w:hAnsi="仿宋" w:eastAsia="仿宋"/>
          <w:color w:val="auto"/>
          <w:sz w:val="32"/>
          <w:szCs w:val="32"/>
          <w:highlight w:val="none"/>
        </w:rPr>
        <w:t>，占本年支出合计的</w:t>
      </w:r>
      <w:r>
        <w:rPr>
          <w:rFonts w:hint="eastAsia" w:ascii="仿宋" w:hAnsi="仿宋" w:eastAsia="仿宋"/>
          <w:color w:val="auto"/>
          <w:sz w:val="32"/>
          <w:szCs w:val="32"/>
          <w:highlight w:val="none"/>
          <w:lang w:val="en-US" w:eastAsia="zh-CN"/>
        </w:rPr>
        <w:t>99.83%</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912.39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29.86</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3.27</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882.53万元</w:t>
      </w:r>
      <w:r>
        <w:rPr>
          <w:rFonts w:hint="eastAsia" w:ascii="仿宋" w:hAnsi="仿宋" w:eastAsia="仿宋"/>
          <w:color w:val="auto"/>
          <w:sz w:val="32"/>
          <w:szCs w:val="32"/>
          <w:highlight w:val="none"/>
        </w:rPr>
        <w:t>，主要用于以下方面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882.53万元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444"/>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882.53万元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1.教育205（类）普通教育02（款）小学教育02（项）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617.53</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spacing w:line="600" w:lineRule="exact"/>
        <w:ind w:firstLine="643" w:firstLineChars="200"/>
        <w:rPr>
          <w:rStyle w:val="20"/>
          <w:rFonts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2</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其他普通教育</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265</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pStyle w:val="17"/>
        <w:rPr>
          <w:color w:val="auto"/>
          <w:highlight w:val="none"/>
        </w:rPr>
      </w:pPr>
    </w:p>
    <w:p>
      <w:pPr>
        <w:tabs>
          <w:tab w:val="right" w:pos="8306"/>
        </w:tabs>
        <w:spacing w:line="600" w:lineRule="exact"/>
        <w:ind w:firstLine="640"/>
        <w:outlineLvl w:val="1"/>
        <w:rPr>
          <w:rStyle w:val="31"/>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617.53</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524.32</w:t>
      </w:r>
      <w:r>
        <w:rPr>
          <w:rFonts w:hint="eastAsia" w:ascii="仿宋" w:hAnsi="仿宋" w:eastAsia="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93.21</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1"/>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0.48万元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70.59%</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0.48万元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3" w:firstLineChars="20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0.48万元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70.59%</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减少0.04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下降7.69</w:t>
      </w:r>
      <w:r>
        <w:rPr>
          <w:rFonts w:hint="eastAsia" w:ascii="仿宋" w:hAnsi="仿宋" w:eastAsia="仿宋" w:cs="仿宋"/>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0.48万元</w:t>
      </w:r>
      <w:r>
        <w:rPr>
          <w:rFonts w:hint="default" w:ascii="Times New Roman" w:hAnsi="Times New Roman" w:eastAsia="仿宋" w:cs="Times New Roman"/>
          <w:color w:val="auto"/>
          <w:sz w:val="32"/>
          <w:szCs w:val="32"/>
          <w:highlight w:val="none"/>
        </w:rPr>
        <w:t>，主要用于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38</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114</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0.48万元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交流0.2万元、</w:t>
      </w:r>
      <w:r>
        <w:rPr>
          <w:rFonts w:hint="eastAsia" w:ascii="仿宋_GB2312" w:eastAsia="仿宋_GB2312"/>
          <w:color w:val="auto"/>
          <w:sz w:val="32"/>
          <w:szCs w:val="32"/>
          <w:highlight w:val="none"/>
          <w:lang w:val="en-US" w:eastAsia="zh-CN"/>
        </w:rPr>
        <w:t>学生活动费及运动会学生用餐、交通费、体检费等0.18万元。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pPr>
        <w:pStyle w:val="17"/>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2" w:name="_Toc15377219"/>
      <w:bookmarkStart w:id="43" w:name="_Toc15396611"/>
      <w:r>
        <w:rPr>
          <w:rStyle w:val="31"/>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4" w:name="_Toc15396612"/>
      <w:bookmarkStart w:id="45" w:name="_Toc15377221"/>
      <w:r>
        <w:rPr>
          <w:rStyle w:val="31"/>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对追加预算乡村少年宫运行经费项目和校舍维修改造项目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numPr>
          <w:ilvl w:val="0"/>
          <w:numId w:val="4"/>
        </w:numPr>
        <w:spacing w:line="600" w:lineRule="exact"/>
        <w:ind w:firstLine="660" w:firstLineChars="150"/>
        <w:jc w:val="center"/>
        <w:outlineLvl w:val="0"/>
        <w:rPr>
          <w:rStyle w:val="30"/>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pPr>
        <w:ind w:firstLine="640" w:firstLineChars="200"/>
        <w:rPr>
          <w:rFonts w:hint="eastAsia" w:ascii="仿宋_GB2312" w:eastAsia="仿宋_GB2312"/>
          <w:color w:val="auto"/>
          <w:sz w:val="32"/>
          <w:szCs w:val="32"/>
          <w:highlight w:val="none"/>
        </w:rPr>
      </w:pPr>
      <w:bookmarkStart w:id="51" w:name="_Toc15377226"/>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7"/>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8"/>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广元市昭化区红岩镇沙坝小学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8"/>
        <w:tblpPr w:leftFromText="180" w:rightFromText="180" w:vertAnchor="text" w:horzAnchor="page" w:tblpX="1702" w:tblpY="109"/>
        <w:tblOverlap w:val="never"/>
        <w:tblW w:w="9219" w:type="dxa"/>
        <w:tblInd w:w="0" w:type="dxa"/>
        <w:tblLayout w:type="fixed"/>
        <w:tblCellMar>
          <w:top w:w="0" w:type="dxa"/>
          <w:left w:w="108" w:type="dxa"/>
          <w:bottom w:w="0" w:type="dxa"/>
          <w:right w:w="108" w:type="dxa"/>
        </w:tblCellMar>
      </w:tblPr>
      <w:tblGrid>
        <w:gridCol w:w="1084"/>
        <w:gridCol w:w="979"/>
        <w:gridCol w:w="1183"/>
        <w:gridCol w:w="2325"/>
        <w:gridCol w:w="1147"/>
        <w:gridCol w:w="2265"/>
        <w:gridCol w:w="236"/>
      </w:tblGrid>
      <w:tr>
        <w:tblPrEx>
          <w:tblCellMar>
            <w:top w:w="0" w:type="dxa"/>
            <w:left w:w="108" w:type="dxa"/>
            <w:bottom w:w="0" w:type="dxa"/>
            <w:right w:w="108" w:type="dxa"/>
          </w:tblCellMar>
        </w:tblPrEx>
        <w:trPr>
          <w:trHeight w:val="583" w:hRule="atLeast"/>
        </w:trPr>
        <w:tc>
          <w:tcPr>
            <w:tcW w:w="8983"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（红岩镇沙坝小学</w:t>
            </w:r>
            <w:bookmarkStart w:id="67" w:name="_GoBack"/>
            <w:bookmarkEnd w:id="67"/>
            <w:r>
              <w:rPr>
                <w:rFonts w:hint="eastAsia" w:ascii="宋体" w:hAnsi="宋体" w:cs="宋体"/>
                <w:b/>
                <w:color w:val="auto"/>
                <w:sz w:val="32"/>
                <w:szCs w:val="32"/>
                <w:highlight w:val="none"/>
                <w:lang w:eastAsia="zh-CN"/>
              </w:rPr>
              <w:t>校舍维修改造项目）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513" w:hRule="atLeast"/>
        </w:trPr>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360337</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广元市昭化区红岩镇沙坝小学</w:t>
            </w:r>
          </w:p>
        </w:tc>
      </w:tr>
      <w:tr>
        <w:tblPrEx>
          <w:tblCellMar>
            <w:top w:w="0" w:type="dxa"/>
            <w:left w:w="108" w:type="dxa"/>
            <w:bottom w:w="0" w:type="dxa"/>
            <w:right w:w="108" w:type="dxa"/>
          </w:tblCellMar>
        </w:tblPrEx>
        <w:trPr>
          <w:gridAfter w:val="1"/>
          <w:wAfter w:w="236" w:type="dxa"/>
          <w:trHeight w:val="336" w:hRule="atLeast"/>
        </w:trPr>
        <w:tc>
          <w:tcPr>
            <w:tcW w:w="2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265</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265</w:t>
            </w:r>
          </w:p>
        </w:tc>
      </w:tr>
      <w:tr>
        <w:tblPrEx>
          <w:tblCellMar>
            <w:top w:w="0" w:type="dxa"/>
            <w:left w:w="108" w:type="dxa"/>
            <w:bottom w:w="0" w:type="dxa"/>
            <w:right w:w="108" w:type="dxa"/>
          </w:tblCellMar>
        </w:tblPrEx>
        <w:trPr>
          <w:gridAfter w:val="1"/>
          <w:wAfter w:w="236" w:type="dxa"/>
          <w:trHeight w:val="609"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265</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265</w:t>
            </w:r>
          </w:p>
        </w:tc>
      </w:tr>
      <w:tr>
        <w:tblPrEx>
          <w:tblCellMar>
            <w:top w:w="0" w:type="dxa"/>
            <w:left w:w="108" w:type="dxa"/>
            <w:bottom w:w="0" w:type="dxa"/>
            <w:right w:w="108" w:type="dxa"/>
          </w:tblCellMar>
        </w:tblPrEx>
        <w:trPr>
          <w:gridAfter w:val="1"/>
          <w:wAfter w:w="236" w:type="dxa"/>
          <w:trHeight w:val="336"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17" w:hRule="atLeast"/>
        </w:trPr>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018" w:hRule="atLeast"/>
        </w:trPr>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校舍维修改造面积</w:t>
            </w:r>
            <w:r>
              <w:rPr>
                <w:rFonts w:hint="eastAsia" w:ascii="宋体" w:hAnsi="宋体" w:cs="宋体"/>
                <w:color w:val="auto"/>
                <w:sz w:val="22"/>
                <w:szCs w:val="22"/>
                <w:highlight w:val="none"/>
                <w:lang w:val="en-US" w:eastAsia="zh-CN"/>
              </w:rPr>
              <w:t>3350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18"/>
                <w:szCs w:val="18"/>
                <w:highlight w:val="none"/>
                <w:lang w:eastAsia="zh-CN"/>
              </w:rPr>
              <w:t>完成</w:t>
            </w:r>
            <w:r>
              <w:rPr>
                <w:rFonts w:hint="eastAsia" w:ascii="宋体" w:hAnsi="宋体" w:cs="宋体"/>
                <w:color w:val="auto"/>
                <w:sz w:val="18"/>
                <w:szCs w:val="18"/>
                <w:highlight w:val="none"/>
                <w:lang w:val="en-US" w:eastAsia="zh-CN"/>
              </w:rPr>
              <w:t>3350</w:t>
            </w:r>
            <w:r>
              <w:rPr>
                <w:rFonts w:hint="default" w:ascii="宋体" w:hAnsi="宋体" w:cs="宋体"/>
                <w:color w:val="auto"/>
                <w:sz w:val="18"/>
                <w:szCs w:val="18"/>
                <w:highlight w:val="none"/>
              </w:rPr>
              <w:t>平方米</w:t>
            </w:r>
            <w:r>
              <w:rPr>
                <w:rFonts w:hint="eastAsia" w:ascii="宋体" w:hAnsi="宋体" w:cs="宋体"/>
                <w:color w:val="auto"/>
                <w:sz w:val="18"/>
                <w:szCs w:val="18"/>
                <w:highlight w:val="none"/>
                <w:lang w:eastAsia="zh-CN"/>
              </w:rPr>
              <w:t>的校舍维修改造，惠及</w:t>
            </w:r>
            <w:r>
              <w:rPr>
                <w:rFonts w:hint="eastAsia" w:ascii="宋体" w:hAnsi="宋体" w:cs="宋体"/>
                <w:color w:val="auto"/>
                <w:sz w:val="18"/>
                <w:szCs w:val="18"/>
                <w:highlight w:val="none"/>
                <w:lang w:val="en-US" w:eastAsia="zh-CN"/>
              </w:rPr>
              <w:t>113名学生，</w:t>
            </w:r>
            <w:r>
              <w:rPr>
                <w:rFonts w:hint="default" w:ascii="宋体" w:hAnsi="宋体" w:cs="宋体"/>
                <w:color w:val="auto"/>
                <w:sz w:val="18"/>
                <w:szCs w:val="18"/>
                <w:highlight w:val="none"/>
              </w:rPr>
              <w:t>改善</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学校办学条件和基础设施配套，提供</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高质量硬件设施设备，营造</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良好的学习氛围</w:t>
            </w:r>
            <w:r>
              <w:rPr>
                <w:rFonts w:hint="eastAsia" w:ascii="宋体" w:hAnsi="宋体" w:cs="宋体"/>
                <w:color w:val="auto"/>
                <w:sz w:val="18"/>
                <w:szCs w:val="18"/>
                <w:highlight w:val="none"/>
                <w:lang w:eastAsia="zh-CN"/>
              </w:rPr>
              <w:t>。</w:t>
            </w:r>
          </w:p>
        </w:tc>
      </w:tr>
      <w:tr>
        <w:tblPrEx>
          <w:tblCellMar>
            <w:top w:w="0" w:type="dxa"/>
            <w:left w:w="108" w:type="dxa"/>
            <w:bottom w:w="0" w:type="dxa"/>
            <w:right w:w="108" w:type="dxa"/>
          </w:tblCellMar>
        </w:tblPrEx>
        <w:trPr>
          <w:gridAfter w:val="1"/>
          <w:wAfter w:w="236" w:type="dxa"/>
          <w:trHeight w:val="658" w:hRule="atLeast"/>
        </w:trPr>
        <w:tc>
          <w:tcPr>
            <w:tcW w:w="108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7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494"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3350m²</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3350m²</w:t>
            </w:r>
          </w:p>
        </w:tc>
      </w:tr>
      <w:tr>
        <w:tblPrEx>
          <w:tblCellMar>
            <w:top w:w="0" w:type="dxa"/>
            <w:left w:w="108" w:type="dxa"/>
            <w:bottom w:w="0" w:type="dxa"/>
            <w:right w:w="108" w:type="dxa"/>
          </w:tblCellMar>
        </w:tblPrEx>
        <w:trPr>
          <w:gridAfter w:val="1"/>
          <w:wAfter w:w="236" w:type="dxa"/>
          <w:trHeight w:val="526"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6"/>
                <w:szCs w:val="16"/>
                <w:highlight w:val="none"/>
                <w:lang w:eastAsia="zh-CN"/>
              </w:rPr>
              <w:t>校舍维修改造</w:t>
            </w:r>
            <w:r>
              <w:rPr>
                <w:rFonts w:hint="default" w:ascii="仿宋_GB2312" w:hAnsi="仿宋_GB2312" w:eastAsia="仿宋_GB2312" w:cs="仿宋_GB2312"/>
                <w:color w:val="auto"/>
                <w:sz w:val="16"/>
                <w:szCs w:val="16"/>
                <w:highlight w:val="none"/>
              </w:rPr>
              <w:t>竣工验收合格率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46"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校舍维修改造</w:t>
            </w:r>
            <w:r>
              <w:rPr>
                <w:rFonts w:hint="default" w:ascii="仿宋_GB2312" w:hAnsi="仿宋_GB2312" w:eastAsia="仿宋_GB2312" w:cs="仿宋_GB2312"/>
                <w:color w:val="auto"/>
                <w:sz w:val="20"/>
                <w:szCs w:val="20"/>
                <w:highlight w:val="none"/>
              </w:rPr>
              <w:t>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75"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48"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校舍维修改造建设周期</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325"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11个月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11个月</w:t>
            </w:r>
          </w:p>
        </w:tc>
      </w:tr>
      <w:tr>
        <w:tblPrEx>
          <w:tblCellMar>
            <w:top w:w="0" w:type="dxa"/>
            <w:left w:w="108" w:type="dxa"/>
            <w:bottom w:w="0" w:type="dxa"/>
            <w:right w:w="108" w:type="dxa"/>
          </w:tblCellMar>
        </w:tblPrEx>
        <w:trPr>
          <w:gridAfter w:val="1"/>
          <w:wAfter w:w="236" w:type="dxa"/>
          <w:trHeight w:val="601"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校舍维修改造</w:t>
            </w:r>
            <w:r>
              <w:rPr>
                <w:rFonts w:hint="default" w:ascii="仿宋_GB2312" w:hAnsi="仿宋_GB2312" w:eastAsia="仿宋_GB2312" w:cs="仿宋_GB2312"/>
                <w:color w:val="auto"/>
                <w:sz w:val="20"/>
                <w:szCs w:val="20"/>
                <w:highlight w:val="none"/>
              </w:rPr>
              <w:t>类项目每平方米造价</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791元</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564"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8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775" w:hRule="atLeast"/>
        </w:trPr>
        <w:tc>
          <w:tcPr>
            <w:tcW w:w="108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8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footerReference r:id="rId6" w:type="first"/>
      <w:footerReference r:id="rId5"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2"/>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4A1F"/>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4054"/>
    <w:rsid w:val="02F079B0"/>
    <w:rsid w:val="038D3451"/>
    <w:rsid w:val="06642230"/>
    <w:rsid w:val="077961C6"/>
    <w:rsid w:val="099A2423"/>
    <w:rsid w:val="09BF1E8A"/>
    <w:rsid w:val="09E7514C"/>
    <w:rsid w:val="0A2032A3"/>
    <w:rsid w:val="0A2201E6"/>
    <w:rsid w:val="0B8A37D8"/>
    <w:rsid w:val="0C6F5DE9"/>
    <w:rsid w:val="0D58062B"/>
    <w:rsid w:val="0D766D04"/>
    <w:rsid w:val="0DE51190"/>
    <w:rsid w:val="0E6354DA"/>
    <w:rsid w:val="0EC71F0D"/>
    <w:rsid w:val="0F7F0045"/>
    <w:rsid w:val="10C055FF"/>
    <w:rsid w:val="112C7A85"/>
    <w:rsid w:val="118107EC"/>
    <w:rsid w:val="11DD6519"/>
    <w:rsid w:val="12910332"/>
    <w:rsid w:val="15520056"/>
    <w:rsid w:val="157E27B0"/>
    <w:rsid w:val="16BB723D"/>
    <w:rsid w:val="1763130A"/>
    <w:rsid w:val="177D300F"/>
    <w:rsid w:val="18015F3F"/>
    <w:rsid w:val="198A4D38"/>
    <w:rsid w:val="1BE8440E"/>
    <w:rsid w:val="1C4032FE"/>
    <w:rsid w:val="1C5E01AD"/>
    <w:rsid w:val="1D155CEE"/>
    <w:rsid w:val="1D70376F"/>
    <w:rsid w:val="1D7A073C"/>
    <w:rsid w:val="1F886296"/>
    <w:rsid w:val="20F57F95"/>
    <w:rsid w:val="21156B08"/>
    <w:rsid w:val="22493BF5"/>
    <w:rsid w:val="22E26EBD"/>
    <w:rsid w:val="23066A21"/>
    <w:rsid w:val="23813850"/>
    <w:rsid w:val="240371BF"/>
    <w:rsid w:val="24D54B4E"/>
    <w:rsid w:val="25551BC9"/>
    <w:rsid w:val="25576716"/>
    <w:rsid w:val="25C741E6"/>
    <w:rsid w:val="26013AFE"/>
    <w:rsid w:val="277B1EA4"/>
    <w:rsid w:val="27842671"/>
    <w:rsid w:val="2818067D"/>
    <w:rsid w:val="28942A08"/>
    <w:rsid w:val="28B66606"/>
    <w:rsid w:val="29FD04D3"/>
    <w:rsid w:val="2ABE7A3E"/>
    <w:rsid w:val="2BAE4DE0"/>
    <w:rsid w:val="2BD15D21"/>
    <w:rsid w:val="2C0D4D5A"/>
    <w:rsid w:val="2D0D0FDB"/>
    <w:rsid w:val="2D2B320F"/>
    <w:rsid w:val="2D777E62"/>
    <w:rsid w:val="2EB15680"/>
    <w:rsid w:val="2EE0388D"/>
    <w:rsid w:val="2EEC0981"/>
    <w:rsid w:val="2EFA178C"/>
    <w:rsid w:val="2FB77A00"/>
    <w:rsid w:val="30A82681"/>
    <w:rsid w:val="30B46D73"/>
    <w:rsid w:val="31100374"/>
    <w:rsid w:val="319F7F4E"/>
    <w:rsid w:val="3209113A"/>
    <w:rsid w:val="32E05DEF"/>
    <w:rsid w:val="353C0D20"/>
    <w:rsid w:val="372B44BA"/>
    <w:rsid w:val="391A1D33"/>
    <w:rsid w:val="39705BD5"/>
    <w:rsid w:val="39AE70AB"/>
    <w:rsid w:val="3C0C0783"/>
    <w:rsid w:val="3C5D0925"/>
    <w:rsid w:val="3F206990"/>
    <w:rsid w:val="3F795B0E"/>
    <w:rsid w:val="3F9F3A96"/>
    <w:rsid w:val="3FFE2572"/>
    <w:rsid w:val="42E44460"/>
    <w:rsid w:val="453A5463"/>
    <w:rsid w:val="45682C77"/>
    <w:rsid w:val="462C5BD6"/>
    <w:rsid w:val="46A14816"/>
    <w:rsid w:val="47EB386F"/>
    <w:rsid w:val="48BC102A"/>
    <w:rsid w:val="4914143E"/>
    <w:rsid w:val="493C27E9"/>
    <w:rsid w:val="496F39ED"/>
    <w:rsid w:val="49FF41D3"/>
    <w:rsid w:val="4A0707E1"/>
    <w:rsid w:val="4A185DC8"/>
    <w:rsid w:val="4BD44D46"/>
    <w:rsid w:val="4BE068DB"/>
    <w:rsid w:val="4BE647E3"/>
    <w:rsid w:val="4BF6002B"/>
    <w:rsid w:val="4DA11160"/>
    <w:rsid w:val="4ECE2238"/>
    <w:rsid w:val="4F6732B5"/>
    <w:rsid w:val="4F9F38BD"/>
    <w:rsid w:val="4FD61684"/>
    <w:rsid w:val="503645ED"/>
    <w:rsid w:val="508F3649"/>
    <w:rsid w:val="50B16F43"/>
    <w:rsid w:val="51DB4B86"/>
    <w:rsid w:val="52CF5BE8"/>
    <w:rsid w:val="52FB5859"/>
    <w:rsid w:val="538925BA"/>
    <w:rsid w:val="547F5A6B"/>
    <w:rsid w:val="55333C3E"/>
    <w:rsid w:val="55654C60"/>
    <w:rsid w:val="558E2409"/>
    <w:rsid w:val="571B7CCD"/>
    <w:rsid w:val="58737E60"/>
    <w:rsid w:val="5B1E7D8B"/>
    <w:rsid w:val="5C3617AD"/>
    <w:rsid w:val="5D6E5C59"/>
    <w:rsid w:val="5D8E10AE"/>
    <w:rsid w:val="5EEF25B2"/>
    <w:rsid w:val="60A2320D"/>
    <w:rsid w:val="61812E22"/>
    <w:rsid w:val="63FE2E3D"/>
    <w:rsid w:val="64340620"/>
    <w:rsid w:val="64772D5C"/>
    <w:rsid w:val="64A80084"/>
    <w:rsid w:val="64CA39A1"/>
    <w:rsid w:val="65B126BB"/>
    <w:rsid w:val="65BC770B"/>
    <w:rsid w:val="67E07E95"/>
    <w:rsid w:val="69B53996"/>
    <w:rsid w:val="69D312C4"/>
    <w:rsid w:val="6AE04DBB"/>
    <w:rsid w:val="6C4A05C8"/>
    <w:rsid w:val="6C6E6699"/>
    <w:rsid w:val="6C9F2CF6"/>
    <w:rsid w:val="6EDA0CDC"/>
    <w:rsid w:val="6F950767"/>
    <w:rsid w:val="72734D90"/>
    <w:rsid w:val="727D7081"/>
    <w:rsid w:val="72E456B5"/>
    <w:rsid w:val="74E366CA"/>
    <w:rsid w:val="75137DDD"/>
    <w:rsid w:val="75583A65"/>
    <w:rsid w:val="79E7B28D"/>
    <w:rsid w:val="7AC82E51"/>
    <w:rsid w:val="7BFA24EA"/>
    <w:rsid w:val="7CAB154F"/>
    <w:rsid w:val="7CE915DA"/>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8"/>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9"/>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0"/>
    <w:pPr>
      <w:spacing w:after="120" w:line="480" w:lineRule="auto"/>
      <w:ind w:left="420" w:leftChars="200" w:firstLine="200" w:firstLineChars="200"/>
    </w:pPr>
    <w:rPr>
      <w:rFonts w:ascii="Times New Roman" w:hAnsi="Times New Roman" w:eastAsia="宋体" w:cs="Times New Roman"/>
      <w:sz w:val="24"/>
      <w:szCs w:val="21"/>
    </w:rPr>
  </w:style>
  <w:style w:type="paragraph" w:styleId="11">
    <w:name w:val="Balloon Text"/>
    <w:basedOn w:val="1"/>
    <w:link w:val="33"/>
    <w:semiHidden/>
    <w:unhideWhenUsed/>
    <w:qFormat/>
    <w:uiPriority w:val="99"/>
    <w:rPr>
      <w:sz w:val="18"/>
      <w:szCs w:val="18"/>
    </w:rPr>
  </w:style>
  <w:style w:type="paragraph" w:styleId="12">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paragraph" w:styleId="17">
    <w:name w:val="Body Text First Indent 2"/>
    <w:basedOn w:val="8"/>
    <w:link w:val="40"/>
    <w:qFormat/>
    <w:uiPriority w:val="99"/>
    <w:pPr>
      <w:ind w:firstLine="420" w:firstLineChars="200"/>
    </w:p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3"/>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2"/>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1"/>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2"/>
    <w:qFormat/>
    <w:uiPriority w:val="0"/>
    <w:rPr>
      <w:rFonts w:hint="eastAsia" w:ascii="仿宋_GB2312" w:eastAsia="仿宋_GB2312" w:cs="仿宋_GB2312"/>
      <w:sz w:val="24"/>
    </w:rPr>
  </w:style>
  <w:style w:type="character" w:customStyle="1" w:styleId="39">
    <w:name w:val="正文文本缩进 字符"/>
    <w:basedOn w:val="19"/>
    <w:link w:val="8"/>
    <w:qFormat/>
    <w:uiPriority w:val="0"/>
    <w:rPr>
      <w:rFonts w:hint="default" w:ascii="Times New Roman" w:hAnsi="Times New Roman" w:cs="Times New Roman"/>
      <w:kern w:val="2"/>
      <w:sz w:val="21"/>
      <w:szCs w:val="24"/>
    </w:rPr>
  </w:style>
  <w:style w:type="character" w:customStyle="1" w:styleId="40">
    <w:name w:val="正文首行缩进 2 字符"/>
    <w:basedOn w:val="39"/>
    <w:link w:val="17"/>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915.39</c:v>
                </c:pt>
                <c:pt idx="1">
                  <c:v>884.03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915.39</c:v>
                </c:pt>
                <c:pt idx="1">
                  <c:v>884.03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0.9983</c:v>
                </c:pt>
                <c:pt idx="1">
                  <c:v>0.0017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155924829242534"/>
                  <c:y val="-0.0553108541765522"/>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69.85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37299827618891"/>
                  <c:y val="0.087610879142869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30.15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0.6985</c:v>
                </c:pt>
                <c:pt idx="1">
                  <c:v>0.3015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915.39</c:v>
                </c:pt>
                <c:pt idx="1">
                  <c:v>884.03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915.39</c:v>
                </c:pt>
                <c:pt idx="1">
                  <c:v>884.03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912.39</c:v>
                </c:pt>
                <c:pt idx="1">
                  <c:v>882.53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20</Pages>
  <Words>7088</Words>
  <Characters>7572</Characters>
  <Lines>47</Lines>
  <Paragraphs>13</Paragraphs>
  <TotalTime>2</TotalTime>
  <ScaleCrop>false</ScaleCrop>
  <LinksUpToDate>false</LinksUpToDate>
  <CharactersWithSpaces>7631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2022-09-30T15:32:01Z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0A6A36C01AD04F8A9367E349F5DBC292</vt:lpwstr>
  </property>
</Properties>
</file>