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99FB9">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6F46F8EA">
      <w:pPr>
        <w:spacing w:line="600" w:lineRule="exact"/>
        <w:jc w:val="center"/>
        <w:outlineLvl w:val="0"/>
        <w:rPr>
          <w:rFonts w:ascii="方正小标宋简体" w:hAnsi="宋体" w:eastAsia="方正小标宋简体"/>
          <w:color w:val="auto"/>
          <w:sz w:val="72"/>
          <w:szCs w:val="72"/>
          <w:highlight w:val="none"/>
        </w:rPr>
      </w:pPr>
    </w:p>
    <w:p w14:paraId="48082867">
      <w:pPr>
        <w:spacing w:line="600" w:lineRule="exact"/>
        <w:jc w:val="center"/>
        <w:outlineLvl w:val="0"/>
        <w:rPr>
          <w:rFonts w:ascii="方正小标宋简体" w:hAnsi="宋体" w:eastAsia="方正小标宋简体"/>
          <w:color w:val="auto"/>
          <w:sz w:val="72"/>
          <w:szCs w:val="72"/>
          <w:highlight w:val="none"/>
        </w:rPr>
      </w:pPr>
    </w:p>
    <w:p w14:paraId="1DAA354D">
      <w:pPr>
        <w:spacing w:line="600" w:lineRule="exact"/>
        <w:jc w:val="center"/>
        <w:outlineLvl w:val="0"/>
        <w:rPr>
          <w:rFonts w:ascii="方正小标宋简体" w:hAnsi="宋体" w:eastAsia="方正小标宋简体"/>
          <w:color w:val="auto"/>
          <w:sz w:val="72"/>
          <w:szCs w:val="72"/>
          <w:highlight w:val="none"/>
        </w:rPr>
      </w:pPr>
    </w:p>
    <w:p w14:paraId="657046C3">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425"/>
      <w:bookmarkStart w:id="2" w:name="_Toc15396597"/>
      <w:bookmarkStart w:id="3" w:name="_Toc15378441"/>
      <w:bookmarkStart w:id="4" w:name="_Toc15396475"/>
      <w:bookmarkStart w:id="5"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14:paraId="32E1B9B2">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8442"/>
      <w:bookmarkStart w:id="7" w:name="_Toc15377194"/>
      <w:bookmarkStart w:id="8" w:name="_Toc15396476"/>
      <w:bookmarkStart w:id="9" w:name="_Toc15396598"/>
      <w:bookmarkStart w:id="10" w:name="_Toc1537742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14:paraId="7B064DB9">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红岩镇小学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14:paraId="14DBED1A">
      <w:pPr>
        <w:widowControl/>
        <w:jc w:val="center"/>
        <w:rPr>
          <w:rFonts w:hint="eastAsia" w:ascii="黑体" w:hAnsi="黑体" w:eastAsia="黑体"/>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425" w:num="1"/>
          <w:docGrid w:type="lines" w:linePitch="312" w:charSpace="0"/>
        </w:sectPr>
      </w:pPr>
    </w:p>
    <w:p w14:paraId="75C57D22">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14:paraId="2A6F3828">
      <w:pPr>
        <w:pStyle w:val="14"/>
        <w:jc w:val="both"/>
        <w:rPr>
          <w:color w:val="auto"/>
          <w:highlight w:val="none"/>
        </w:rPr>
      </w:pPr>
    </w:p>
    <w:p w14:paraId="6186F1B1">
      <w:pPr>
        <w:rPr>
          <w:color w:val="auto"/>
          <w:highlight w:val="none"/>
        </w:rPr>
      </w:pPr>
    </w:p>
    <w:p w14:paraId="555B153C">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14:paraId="5F16BA5D">
      <w:pPr>
        <w:pStyle w:val="15"/>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14:paraId="24AEA2E5">
      <w:pPr>
        <w:pStyle w:val="15"/>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14:paraId="578FE9E5">
      <w:pPr>
        <w:pStyle w:val="14"/>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10</w:t>
      </w:r>
    </w:p>
    <w:p w14:paraId="3E0E3DA6">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14:paraId="6689FA08">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10</w:t>
      </w:r>
    </w:p>
    <w:p w14:paraId="7747C669">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11</w:t>
      </w:r>
    </w:p>
    <w:p w14:paraId="43652958">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14:paraId="6FABA6C1">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14:paraId="59141586">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13</w:t>
      </w:r>
    </w:p>
    <w:p w14:paraId="5EE4CA56">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14</w:t>
      </w:r>
    </w:p>
    <w:p w14:paraId="683B26CD">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14:paraId="428BBEAE">
      <w:pPr>
        <w:pStyle w:val="15"/>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14:paraId="3B6638E8">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16</w:t>
      </w:r>
    </w:p>
    <w:p w14:paraId="4F7D4C8E">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16</w:t>
      </w:r>
    </w:p>
    <w:p w14:paraId="0AE2F182">
      <w:pPr>
        <w:pStyle w:val="14"/>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14:paraId="29F0ED3B">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14:paraId="61D3D855">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22</w:t>
      </w:r>
    </w:p>
    <w:p w14:paraId="4DC858B3">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2</w:t>
      </w:r>
    </w:p>
    <w:p w14:paraId="393D9CE4">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22</w:t>
      </w:r>
    </w:p>
    <w:p w14:paraId="34CBFB22">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22</w:t>
      </w:r>
    </w:p>
    <w:p w14:paraId="7A5FA81D">
      <w:pPr>
        <w:pStyle w:val="15"/>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22</w:t>
      </w:r>
    </w:p>
    <w:p w14:paraId="3C5633DD">
      <w:pPr>
        <w:pStyle w:val="15"/>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22</w:t>
      </w:r>
    </w:p>
    <w:p w14:paraId="6CB5FF58">
      <w:pPr>
        <w:pStyle w:val="15"/>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22</w:t>
      </w:r>
    </w:p>
    <w:p w14:paraId="3B6595DB">
      <w:pPr>
        <w:pStyle w:val="15"/>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22</w:t>
      </w:r>
    </w:p>
    <w:p w14:paraId="065E7D33">
      <w:pPr>
        <w:pStyle w:val="15"/>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22</w:t>
      </w:r>
    </w:p>
    <w:p w14:paraId="1D87577C">
      <w:pPr>
        <w:pStyle w:val="15"/>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22</w:t>
      </w:r>
    </w:p>
    <w:p w14:paraId="193EB5C6">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22</w:t>
      </w:r>
    </w:p>
    <w:p w14:paraId="79510907">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22</w:t>
      </w:r>
    </w:p>
    <w:p w14:paraId="21B2D616">
      <w:pPr>
        <w:pStyle w:val="15"/>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22</w:t>
      </w:r>
    </w:p>
    <w:p w14:paraId="510EAAEC">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22</w:t>
      </w:r>
    </w:p>
    <w:p w14:paraId="025AB41D">
      <w:pPr>
        <w:pStyle w:val="15"/>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22</w:t>
      </w:r>
      <w:r>
        <w:rPr>
          <w:rFonts w:ascii="仿宋" w:hAnsi="仿宋" w:eastAsia="仿宋"/>
          <w:b/>
          <w:color w:val="auto"/>
          <w:sz w:val="24"/>
          <w:highlight w:val="none"/>
        </w:rPr>
        <w:br w:type="page"/>
      </w:r>
    </w:p>
    <w:p w14:paraId="3F11CBE2">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30"/>
          <w:rFonts w:hint="eastAsia" w:ascii="黑体" w:hAnsi="黑体" w:eastAsia="黑体"/>
          <w:b w:val="0"/>
          <w:bCs w:val="0"/>
          <w:color w:val="auto"/>
          <w:highlight w:val="none"/>
        </w:rPr>
        <w:t>概况</w:t>
      </w:r>
      <w:bookmarkEnd w:id="12"/>
      <w:bookmarkEnd w:id="13"/>
    </w:p>
    <w:p w14:paraId="05ADAE11">
      <w:pPr>
        <w:widowControl/>
        <w:jc w:val="left"/>
        <w:rPr>
          <w:rFonts w:ascii="黑体" w:eastAsia="黑体"/>
          <w:color w:val="auto"/>
          <w:sz w:val="32"/>
          <w:szCs w:val="32"/>
          <w:highlight w:val="none"/>
        </w:rPr>
      </w:pPr>
    </w:p>
    <w:p w14:paraId="7CBFA509">
      <w:pPr>
        <w:pStyle w:val="4"/>
        <w:numPr>
          <w:ilvl w:val="0"/>
          <w:numId w:val="1"/>
        </w:numPr>
        <w:rPr>
          <w:rStyle w:val="31"/>
          <w:rFonts w:ascii="黑体" w:hAnsi="黑体" w:eastAsia="黑体"/>
          <w:b w:val="0"/>
          <w:bCs w:val="0"/>
          <w:color w:val="auto"/>
          <w:highlight w:val="none"/>
        </w:rPr>
      </w:pPr>
      <w:bookmarkStart w:id="14" w:name="_Toc15396600"/>
      <w:bookmarkStart w:id="15" w:name="_Toc15377197"/>
      <w:r>
        <w:rPr>
          <w:rStyle w:val="31"/>
          <w:rFonts w:hint="eastAsia" w:ascii="黑体" w:hAnsi="黑体" w:eastAsia="黑体"/>
          <w:b w:val="0"/>
          <w:bCs w:val="0"/>
          <w:color w:val="auto"/>
          <w:highlight w:val="none"/>
        </w:rPr>
        <w:t>职能简介</w:t>
      </w:r>
    </w:p>
    <w:p w14:paraId="07256314">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3A1670E0">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754F13E2">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0D0F36CC">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4DF5FD26">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1272357D">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14:paraId="4EC30AF8">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14:paraId="4149A7B0">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14:paraId="61C2F80C">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24491503">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14:paraId="1ED17B0B">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44B01676">
      <w:pPr>
        <w:pStyle w:val="4"/>
        <w:pageBreakBefore w:val="0"/>
        <w:widowControl w:val="0"/>
        <w:kinsoku/>
        <w:wordWrap/>
        <w:overflowPunct/>
        <w:topLinePunct w:val="0"/>
        <w:autoSpaceDE/>
        <w:autoSpaceDN/>
        <w:bidi w:val="0"/>
        <w:adjustRightInd/>
        <w:snapToGrid/>
        <w:spacing w:line="600" w:lineRule="exact"/>
        <w:textAlignment w:val="auto"/>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14:paraId="0D58BADC">
      <w:pPr>
        <w:pageBreakBefore w:val="0"/>
        <w:widowControl w:val="0"/>
        <w:kinsoku/>
        <w:wordWrap/>
        <w:overflowPunct/>
        <w:topLinePunct w:val="0"/>
        <w:autoSpaceDE/>
        <w:autoSpaceDN/>
        <w:bidi w:val="0"/>
        <w:adjustRightInd/>
        <w:snapToGrid/>
        <w:spacing w:line="600" w:lineRule="exact"/>
        <w:ind w:firstLine="640"/>
        <w:textAlignment w:val="auto"/>
        <w:rPr>
          <w:rFonts w:ascii="黑体;SimHei" w:hAnsi="黑体;SimHei" w:eastAsia="黑体;SimHei" w:cs="黑体;SimHei"/>
          <w:color w:val="auto"/>
          <w:sz w:val="32"/>
          <w:szCs w:val="32"/>
          <w:highlight w:val="none"/>
        </w:rPr>
      </w:pPr>
      <w:bookmarkStart w:id="16" w:name="_Toc15377204"/>
      <w:bookmarkStart w:id="17" w:name="_Toc15396602"/>
      <w:r>
        <w:rPr>
          <w:rFonts w:ascii="黑体;SimHei" w:hAnsi="黑体;SimHei" w:eastAsia="黑体;SimHei" w:cs="黑体;SimHei"/>
          <w:color w:val="auto"/>
          <w:sz w:val="32"/>
          <w:szCs w:val="32"/>
          <w:highlight w:val="none"/>
        </w:rPr>
        <w:t>一、加强党建引领，</w:t>
      </w:r>
      <w:r>
        <w:rPr>
          <w:rFonts w:ascii="黑体;SimHei" w:hAnsi="黑体;SimHei" w:eastAsia="黑体;SimHei" w:cs="黑体;SimHei"/>
          <w:color w:val="auto"/>
          <w:kern w:val="2"/>
          <w:sz w:val="32"/>
          <w:szCs w:val="32"/>
          <w:highlight w:val="none"/>
          <w:lang w:val="en-US" w:eastAsia="zh-CN" w:bidi="ar-SA"/>
        </w:rPr>
        <w:t>助推学校发展</w:t>
      </w:r>
    </w:p>
    <w:p w14:paraId="1E17FD18">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b/>
          <w:bCs/>
          <w:color w:val="auto"/>
          <w:kern w:val="2"/>
          <w:sz w:val="32"/>
          <w:szCs w:val="32"/>
          <w:highlight w:val="none"/>
          <w:lang w:val="en-US" w:eastAsia="zh-CN" w:bidi="ar-SA"/>
        </w:rPr>
        <w:t>1.学习</w:t>
      </w:r>
      <w:r>
        <w:rPr>
          <w:rFonts w:ascii="仿宋" w:hAnsi="仿宋" w:eastAsia="仿宋" w:cs="仿宋"/>
          <w:b w:val="0"/>
          <w:bCs w:val="0"/>
          <w:color w:val="auto"/>
          <w:kern w:val="2"/>
          <w:sz w:val="32"/>
          <w:szCs w:val="32"/>
          <w:highlight w:val="none"/>
          <w:lang w:val="en-US" w:eastAsia="zh-CN" w:bidi="ar-SA"/>
        </w:rPr>
        <w:t>引领、</w:t>
      </w:r>
      <w:r>
        <w:rPr>
          <w:rFonts w:ascii="仿宋" w:hAnsi="仿宋" w:eastAsia="仿宋" w:cs="仿宋"/>
          <w:b/>
          <w:bCs/>
          <w:color w:val="auto"/>
          <w:kern w:val="2"/>
          <w:sz w:val="32"/>
          <w:szCs w:val="32"/>
          <w:highlight w:val="none"/>
          <w:lang w:val="en-US" w:eastAsia="zh-CN" w:bidi="ar-SA"/>
        </w:rPr>
        <w:t>提高站位。“</w:t>
      </w:r>
      <w:r>
        <w:rPr>
          <w:rFonts w:ascii="仿宋" w:hAnsi="仿宋" w:eastAsia="仿宋" w:cs="仿宋"/>
          <w:color w:val="auto"/>
          <w:kern w:val="2"/>
          <w:sz w:val="32"/>
          <w:szCs w:val="32"/>
          <w:highlight w:val="none"/>
          <w:lang w:val="en-US" w:eastAsia="zh-CN" w:bidi="ar-SA"/>
        </w:rPr>
        <w:t>五到位”落实“三会一课”，即做到认识到位、时间到位、人员到位、内容到位、效果到位，着力解决实际问题，做到高质量的落实“三会一课”制度，本年度召开了支部委员会20次，全体党员大会12次，党课5次，专题集中学习3次，邀请“五老”人员讲党史1次，集中学习了党章党规以及</w:t>
      </w:r>
      <w:r>
        <w:rPr>
          <w:rFonts w:hint="eastAsia" w:ascii="仿宋" w:hAnsi="仿宋" w:eastAsia="仿宋" w:cs="仿宋"/>
          <w:color w:val="auto"/>
          <w:kern w:val="2"/>
          <w:sz w:val="32"/>
          <w:szCs w:val="32"/>
          <w:highlight w:val="none"/>
          <w:lang w:val="en-US" w:eastAsia="zh-CN" w:bidi="ar-SA"/>
        </w:rPr>
        <w:t>习近平总书记系列重要讲话精神</w:t>
      </w:r>
      <w:r>
        <w:rPr>
          <w:rFonts w:ascii="仿宋" w:hAnsi="仿宋" w:eastAsia="仿宋" w:cs="仿宋"/>
          <w:color w:val="auto"/>
          <w:kern w:val="2"/>
          <w:sz w:val="32"/>
          <w:szCs w:val="32"/>
          <w:highlight w:val="none"/>
          <w:lang w:val="en-US" w:eastAsia="zh-CN" w:bidi="ar-SA"/>
        </w:rPr>
        <w:t xml:space="preserve">，特别是深入学习了《中国共产党历史》、《习近平谈治国理政》等 </w:t>
      </w:r>
    </w:p>
    <w:p w14:paraId="1D5DA23F">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b/>
          <w:bCs/>
          <w:color w:val="auto"/>
          <w:kern w:val="2"/>
          <w:sz w:val="32"/>
          <w:szCs w:val="32"/>
          <w:highlight w:val="none"/>
          <w:lang w:val="en-US" w:eastAsia="zh-CN" w:bidi="ar-SA"/>
        </w:rPr>
        <w:t>2.活动引领，增强战斗力。</w:t>
      </w:r>
      <w:r>
        <w:rPr>
          <w:rFonts w:ascii="仿宋" w:hAnsi="仿宋" w:eastAsia="仿宋" w:cs="仿宋"/>
          <w:color w:val="auto"/>
          <w:kern w:val="2"/>
          <w:sz w:val="32"/>
          <w:szCs w:val="32"/>
          <w:highlight w:val="none"/>
          <w:lang w:val="en-US" w:eastAsia="zh-CN" w:bidi="ar-SA"/>
        </w:rPr>
        <w:t>党支部认真开展学党史系列活动，全体党员认真学习了党规党纪，听取了校级领导的党课，利用业余时间进行自学，认真作笔记、写心得体会。认真组织党员教师开展“我为群众办实事”活动，组织党员教师上示范课5节、为贫困儿童送教上门3次，开展志愿服务活动1次。积极慎重地发展新党员，关心党外教师的思想进步，加强对入党积极分子的培养。一年内，学校吸收了三位同志加入中国共产党</w:t>
      </w:r>
      <w:r>
        <w:rPr>
          <w:rFonts w:ascii="仿宋" w:hAnsi="仿宋" w:eastAsia="仿宋" w:cs="仿宋"/>
          <w:color w:val="auto"/>
          <w:sz w:val="32"/>
          <w:szCs w:val="32"/>
          <w:highlight w:val="none"/>
        </w:rPr>
        <w:t>。党组织的凝聚力不断加强。</w:t>
      </w:r>
    </w:p>
    <w:p w14:paraId="54A78CB7">
      <w:pPr>
        <w:pageBreakBefore w:val="0"/>
        <w:widowControl w:val="0"/>
        <w:kinsoku/>
        <w:wordWrap/>
        <w:overflowPunct/>
        <w:topLinePunct w:val="0"/>
        <w:autoSpaceDE/>
        <w:autoSpaceDN/>
        <w:bidi w:val="0"/>
        <w:adjustRightInd/>
        <w:snapToGrid/>
        <w:spacing w:line="600" w:lineRule="exact"/>
        <w:textAlignment w:val="auto"/>
        <w:rPr>
          <w:rFonts w:ascii="黑体;SimHei" w:hAnsi="黑体;SimHei" w:eastAsia="黑体;SimHei" w:cs="黑体;SimHei"/>
          <w:color w:val="auto"/>
          <w:sz w:val="32"/>
          <w:szCs w:val="32"/>
          <w:highlight w:val="none"/>
        </w:rPr>
      </w:pPr>
      <w:r>
        <w:rPr>
          <w:rFonts w:ascii="黑体;SimHei" w:hAnsi="黑体;SimHei" w:eastAsia="黑体;SimHei" w:cs="黑体;SimHei"/>
          <w:color w:val="auto"/>
          <w:sz w:val="32"/>
          <w:szCs w:val="32"/>
          <w:highlight w:val="none"/>
        </w:rPr>
        <w:t xml:space="preserve">    二、建设优质学园、引领生命成长</w:t>
      </w:r>
      <w:bookmarkStart w:id="67" w:name="_GoBack"/>
      <w:bookmarkEnd w:id="67"/>
    </w:p>
    <w:p w14:paraId="62BDDD6C">
      <w:pPr>
        <w:pageBreakBefore w:val="0"/>
        <w:widowControl w:val="0"/>
        <w:kinsoku/>
        <w:wordWrap/>
        <w:overflowPunct/>
        <w:topLinePunct w:val="0"/>
        <w:autoSpaceDE/>
        <w:autoSpaceDN/>
        <w:bidi w:val="0"/>
        <w:adjustRightInd/>
        <w:snapToGrid/>
        <w:spacing w:line="600" w:lineRule="exact"/>
        <w:ind w:firstLine="640"/>
        <w:textAlignment w:val="auto"/>
        <w:rPr>
          <w:rFonts w:ascii="楷体" w:hAnsi="楷体" w:eastAsia="楷体" w:cs="仿宋"/>
          <w:b/>
          <w:bCs/>
          <w:color w:val="auto"/>
          <w:kern w:val="2"/>
          <w:sz w:val="32"/>
          <w:szCs w:val="32"/>
          <w:highlight w:val="none"/>
          <w:lang w:val="en-US" w:eastAsia="zh-CN" w:bidi="ar-SA"/>
        </w:rPr>
      </w:pPr>
      <w:r>
        <w:rPr>
          <w:rFonts w:ascii="楷体" w:hAnsi="楷体" w:eastAsia="楷体" w:cs="仿宋"/>
          <w:b/>
          <w:bCs/>
          <w:color w:val="auto"/>
          <w:kern w:val="2"/>
          <w:sz w:val="32"/>
          <w:szCs w:val="32"/>
          <w:highlight w:val="none"/>
          <w:lang w:val="en-US" w:eastAsia="zh-CN" w:bidi="ar-SA"/>
        </w:rPr>
        <w:t>1.加强教学管理，努力提高教学质量　</w:t>
      </w:r>
    </w:p>
    <w:p w14:paraId="1073C9C2">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b/>
          <w:bCs/>
          <w:color w:val="auto"/>
          <w:sz w:val="32"/>
          <w:szCs w:val="32"/>
          <w:highlight w:val="none"/>
          <w:lang w:val="zh-CN"/>
        </w:rPr>
        <w:t>（</w:t>
      </w:r>
      <w:r>
        <w:rPr>
          <w:rFonts w:ascii="仿宋" w:hAnsi="仿宋" w:eastAsia="仿宋" w:cs="仿宋"/>
          <w:b/>
          <w:bCs/>
          <w:color w:val="auto"/>
          <w:sz w:val="32"/>
          <w:szCs w:val="32"/>
          <w:highlight w:val="none"/>
        </w:rPr>
        <w:t>一）</w:t>
      </w:r>
      <w:r>
        <w:rPr>
          <w:rFonts w:ascii="仿宋" w:hAnsi="仿宋" w:eastAsia="仿宋" w:cs="仿宋"/>
          <w:b/>
          <w:bCs/>
          <w:color w:val="auto"/>
          <w:sz w:val="32"/>
          <w:szCs w:val="32"/>
          <w:highlight w:val="none"/>
          <w:lang w:val="zh-CN"/>
        </w:rPr>
        <w:t>常规工作，长抓不懈。</w:t>
      </w:r>
      <w:r>
        <w:rPr>
          <w:rFonts w:ascii="华文仿宋" w:hAnsi="华文仿宋" w:eastAsia="华文仿宋" w:cs="华文仿宋"/>
          <w:color w:val="auto"/>
          <w:sz w:val="32"/>
          <w:szCs w:val="32"/>
          <w:highlight w:val="none"/>
        </w:rPr>
        <w:t>制定和完善了一系列教学管理制度，通过</w:t>
      </w:r>
      <w:r>
        <w:rPr>
          <w:rFonts w:ascii="华文仿宋" w:hAnsi="华文仿宋" w:eastAsia="华文仿宋" w:cs="华文仿宋"/>
          <w:color w:val="auto"/>
          <w:sz w:val="32"/>
          <w:szCs w:val="32"/>
          <w:highlight w:val="none"/>
          <w:lang w:eastAsia="zh-CN"/>
        </w:rPr>
        <w:t>一月一次常规检查</w:t>
      </w:r>
      <w:r>
        <w:rPr>
          <w:rFonts w:ascii="华文仿宋" w:hAnsi="华文仿宋" w:eastAsia="华文仿宋" w:cs="华文仿宋"/>
          <w:color w:val="auto"/>
          <w:sz w:val="32"/>
          <w:szCs w:val="32"/>
          <w:highlight w:val="none"/>
        </w:rPr>
        <w:t>、教学常规巡查</w:t>
      </w:r>
      <w:r>
        <w:rPr>
          <w:rFonts w:ascii="华文仿宋" w:hAnsi="华文仿宋" w:eastAsia="华文仿宋" w:cs="华文仿宋"/>
          <w:color w:val="auto"/>
          <w:sz w:val="32"/>
          <w:szCs w:val="32"/>
          <w:highlight w:val="none"/>
          <w:lang w:eastAsia="zh-CN"/>
        </w:rPr>
        <w:t>视导</w:t>
      </w:r>
      <w:r>
        <w:rPr>
          <w:rFonts w:ascii="华文仿宋" w:hAnsi="华文仿宋" w:eastAsia="华文仿宋" w:cs="华文仿宋"/>
          <w:color w:val="auto"/>
          <w:sz w:val="32"/>
          <w:szCs w:val="32"/>
          <w:highlight w:val="none"/>
        </w:rPr>
        <w:t>的方式，规范教师的课堂教学行为。学校领导班子通过预约课、研讨课、推门课等多种形式深入课堂听课，累计听课</w:t>
      </w:r>
      <w:r>
        <w:rPr>
          <w:rFonts w:ascii="华文仿宋" w:hAnsi="华文仿宋" w:eastAsia="华文仿宋" w:cs="华文仿宋"/>
          <w:color w:val="auto"/>
          <w:sz w:val="32"/>
          <w:szCs w:val="32"/>
          <w:highlight w:val="none"/>
          <w:lang w:val="en-US" w:eastAsia="zh-CN"/>
        </w:rPr>
        <w:t>80</w:t>
      </w:r>
      <w:r>
        <w:rPr>
          <w:rFonts w:ascii="华文仿宋" w:hAnsi="华文仿宋" w:eastAsia="华文仿宋" w:cs="华文仿宋"/>
          <w:color w:val="auto"/>
          <w:sz w:val="32"/>
          <w:szCs w:val="32"/>
          <w:highlight w:val="none"/>
        </w:rPr>
        <w:t>余节，及时了解课堂教学动态和教师的教学实际。　　</w:t>
      </w:r>
    </w:p>
    <w:p w14:paraId="0B06C277">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b/>
          <w:bCs/>
          <w:color w:val="auto"/>
          <w:sz w:val="32"/>
          <w:szCs w:val="32"/>
          <w:highlight w:val="none"/>
          <w:lang w:val="zh-CN"/>
        </w:rPr>
        <w:t>（二）及时总结，查摆问题。</w:t>
      </w:r>
      <w:r>
        <w:rPr>
          <w:rFonts w:ascii="华文仿宋" w:hAnsi="华文仿宋" w:eastAsia="华文仿宋" w:cs="华文仿宋"/>
          <w:b w:val="0"/>
          <w:bCs w:val="0"/>
          <w:color w:val="auto"/>
          <w:kern w:val="2"/>
          <w:sz w:val="32"/>
          <w:szCs w:val="32"/>
          <w:highlight w:val="none"/>
          <w:lang w:val="en-US" w:eastAsia="zh-CN" w:bidi="ar-SA"/>
        </w:rPr>
        <w:t>我校先后分年级召开年度教育质量分析会、期末考试成绩剖析总结会，全面分析成绩，一一剖析问题，总结经验教训，提出整改措施。</w:t>
      </w:r>
    </w:p>
    <w:p w14:paraId="1B58FEFB">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b/>
          <w:bCs/>
          <w:color w:val="auto"/>
          <w:kern w:val="2"/>
          <w:sz w:val="32"/>
          <w:szCs w:val="32"/>
          <w:highlight w:val="none"/>
          <w:lang w:val="zh-CN" w:eastAsia="zh-CN" w:bidi="ar-SA"/>
        </w:rPr>
        <w:t>（三）校本教研，做细做实。</w:t>
      </w:r>
      <w:r>
        <w:rPr>
          <w:rFonts w:ascii="仿宋" w:hAnsi="仿宋" w:eastAsia="仿宋" w:cs="仿宋"/>
          <w:b w:val="0"/>
          <w:bCs w:val="0"/>
          <w:color w:val="auto"/>
          <w:kern w:val="2"/>
          <w:sz w:val="32"/>
          <w:szCs w:val="32"/>
          <w:highlight w:val="none"/>
          <w:lang w:val="zh-CN" w:eastAsia="zh-CN" w:bidi="ar-SA"/>
        </w:rPr>
        <w:t>党员教师</w:t>
      </w:r>
      <w:r>
        <w:rPr>
          <w:rFonts w:ascii="仿宋" w:hAnsi="仿宋" w:eastAsia="仿宋" w:cs="仿宋"/>
          <w:color w:val="auto"/>
          <w:sz w:val="32"/>
          <w:szCs w:val="32"/>
          <w:highlight w:val="none"/>
          <w:lang w:val="zh-CN"/>
        </w:rPr>
        <w:t>带头上公开课，接受教师评价；青年教师主动上研讨课，接受老教师指导。开展“春雨计划”培养年轻教师，为新教师结对子、压担子、指路子、搭台子，指导新教师制定个人发展规划，</w:t>
      </w:r>
      <w:r>
        <w:rPr>
          <w:rFonts w:ascii="仿宋" w:hAnsi="仿宋" w:eastAsia="仿宋" w:cs="仿宋"/>
          <w:color w:val="auto"/>
          <w:sz w:val="32"/>
          <w:szCs w:val="32"/>
          <w:highlight w:val="none"/>
          <w:lang w:val="zh-CN" w:eastAsia="zh-CN"/>
        </w:rPr>
        <w:t>实现短期入格，</w:t>
      </w:r>
      <w:r>
        <w:rPr>
          <w:rFonts w:ascii="仿宋" w:hAnsi="仿宋" w:eastAsia="仿宋" w:cs="仿宋"/>
          <w:color w:val="auto"/>
          <w:sz w:val="32"/>
          <w:szCs w:val="32"/>
          <w:highlight w:val="none"/>
          <w:lang w:val="zh-CN"/>
        </w:rPr>
        <w:t>一年合格，两年</w:t>
      </w:r>
      <w:r>
        <w:rPr>
          <w:rFonts w:ascii="仿宋" w:hAnsi="仿宋" w:eastAsia="仿宋" w:cs="仿宋"/>
          <w:color w:val="auto"/>
          <w:sz w:val="32"/>
          <w:szCs w:val="32"/>
          <w:highlight w:val="none"/>
          <w:lang w:val="zh-CN" w:eastAsia="zh-CN"/>
        </w:rPr>
        <w:t>提升</w:t>
      </w:r>
      <w:r>
        <w:rPr>
          <w:rFonts w:ascii="仿宋" w:hAnsi="仿宋" w:eastAsia="仿宋" w:cs="仿宋"/>
          <w:color w:val="auto"/>
          <w:sz w:val="32"/>
          <w:szCs w:val="32"/>
          <w:highlight w:val="none"/>
          <w:lang w:val="zh-CN"/>
        </w:rPr>
        <w:t>，三年骨干，五年</w:t>
      </w:r>
      <w:r>
        <w:rPr>
          <w:rFonts w:ascii="仿宋" w:hAnsi="仿宋" w:eastAsia="仿宋" w:cs="仿宋"/>
          <w:color w:val="auto"/>
          <w:sz w:val="32"/>
          <w:szCs w:val="32"/>
          <w:highlight w:val="none"/>
          <w:lang w:val="zh-CN" w:eastAsia="zh-CN"/>
        </w:rPr>
        <w:t>名</w:t>
      </w:r>
      <w:r>
        <w:rPr>
          <w:rFonts w:ascii="仿宋" w:hAnsi="仿宋" w:eastAsia="仿宋" w:cs="仿宋"/>
          <w:color w:val="auto"/>
          <w:sz w:val="32"/>
          <w:szCs w:val="32"/>
          <w:highlight w:val="none"/>
          <w:lang w:val="zh-CN"/>
        </w:rPr>
        <w:t>师</w:t>
      </w:r>
      <w:r>
        <w:rPr>
          <w:rFonts w:ascii="仿宋" w:hAnsi="仿宋" w:eastAsia="仿宋" w:cs="仿宋"/>
          <w:color w:val="auto"/>
          <w:sz w:val="32"/>
          <w:szCs w:val="32"/>
          <w:highlight w:val="none"/>
          <w:lang w:val="zh-CN" w:eastAsia="zh-CN"/>
        </w:rPr>
        <w:t>的成长目标。</w:t>
      </w:r>
      <w:r>
        <w:rPr>
          <w:rFonts w:ascii="仿宋" w:hAnsi="仿宋" w:eastAsia="仿宋" w:cs="仿宋"/>
          <w:color w:val="auto"/>
          <w:sz w:val="32"/>
          <w:szCs w:val="32"/>
          <w:highlight w:val="none"/>
          <w:lang w:val="zh-CN"/>
        </w:rPr>
        <w:t>借助</w:t>
      </w:r>
      <w:r>
        <w:rPr>
          <w:rFonts w:ascii="仿宋" w:hAnsi="仿宋" w:eastAsia="仿宋" w:cs="仿宋"/>
          <w:color w:val="auto"/>
          <w:sz w:val="32"/>
          <w:szCs w:val="32"/>
          <w:highlight w:val="none"/>
          <w:lang w:val="zh-CN" w:eastAsia="zh-CN"/>
        </w:rPr>
        <w:t>朝阳小学、大朝</w:t>
      </w:r>
      <w:r>
        <w:rPr>
          <w:rFonts w:ascii="仿宋" w:hAnsi="仿宋" w:eastAsia="仿宋" w:cs="仿宋"/>
          <w:color w:val="auto"/>
          <w:sz w:val="32"/>
          <w:szCs w:val="32"/>
          <w:highlight w:val="none"/>
          <w:lang w:val="zh-CN"/>
        </w:rPr>
        <w:t>小学</w:t>
      </w:r>
      <w:r>
        <w:rPr>
          <w:rFonts w:ascii="仿宋" w:hAnsi="仿宋" w:eastAsia="仿宋" w:cs="仿宋"/>
          <w:color w:val="auto"/>
          <w:sz w:val="32"/>
          <w:szCs w:val="32"/>
          <w:highlight w:val="none"/>
          <w:lang w:val="zh-CN" w:eastAsia="zh-CN"/>
        </w:rPr>
        <w:t>小微</w:t>
      </w:r>
      <w:r>
        <w:rPr>
          <w:rFonts w:ascii="仿宋" w:hAnsi="仿宋" w:eastAsia="仿宋" w:cs="仿宋"/>
          <w:color w:val="auto"/>
          <w:sz w:val="32"/>
          <w:szCs w:val="32"/>
          <w:highlight w:val="none"/>
          <w:lang w:val="zh-CN"/>
        </w:rPr>
        <w:t>联盟</w:t>
      </w:r>
      <w:r>
        <w:rPr>
          <w:rFonts w:ascii="仿宋" w:hAnsi="仿宋" w:eastAsia="仿宋" w:cs="仿宋"/>
          <w:color w:val="auto"/>
          <w:sz w:val="32"/>
          <w:szCs w:val="32"/>
          <w:highlight w:val="none"/>
          <w:lang w:val="zh-CN" w:eastAsia="zh-CN"/>
        </w:rPr>
        <w:t>学校力量</w:t>
      </w:r>
      <w:r>
        <w:rPr>
          <w:rFonts w:ascii="仿宋" w:hAnsi="仿宋" w:eastAsia="仿宋" w:cs="仿宋"/>
          <w:color w:val="auto"/>
          <w:sz w:val="32"/>
          <w:szCs w:val="32"/>
          <w:highlight w:val="none"/>
          <w:lang w:val="zh-CN"/>
        </w:rPr>
        <w:t>，开展联合教研活动，</w:t>
      </w:r>
      <w:r>
        <w:rPr>
          <w:rFonts w:ascii="仿宋" w:hAnsi="仿宋" w:eastAsia="仿宋" w:cs="仿宋"/>
          <w:color w:val="auto"/>
          <w:sz w:val="32"/>
          <w:szCs w:val="32"/>
          <w:highlight w:val="none"/>
          <w:lang w:val="zh-CN" w:eastAsia="zh-CN"/>
        </w:rPr>
        <w:t>实现学科</w:t>
      </w:r>
      <w:r>
        <w:rPr>
          <w:rFonts w:ascii="仿宋" w:hAnsi="仿宋" w:eastAsia="仿宋" w:cs="仿宋"/>
          <w:color w:val="auto"/>
          <w:sz w:val="32"/>
          <w:szCs w:val="32"/>
          <w:highlight w:val="none"/>
          <w:lang w:val="zh-CN"/>
        </w:rPr>
        <w:t>教学资源共享</w:t>
      </w:r>
      <w:r>
        <w:rPr>
          <w:rFonts w:ascii="仿宋" w:hAnsi="仿宋" w:eastAsia="仿宋" w:cs="仿宋"/>
          <w:color w:val="auto"/>
          <w:sz w:val="32"/>
          <w:szCs w:val="32"/>
          <w:highlight w:val="none"/>
          <w:lang w:val="zh-CN" w:eastAsia="zh-CN"/>
        </w:rPr>
        <w:t>、学科教师互助共长</w:t>
      </w:r>
      <w:r>
        <w:rPr>
          <w:rFonts w:ascii="仿宋" w:hAnsi="仿宋" w:eastAsia="仿宋" w:cs="仿宋"/>
          <w:color w:val="auto"/>
          <w:kern w:val="2"/>
          <w:sz w:val="32"/>
          <w:szCs w:val="32"/>
          <w:highlight w:val="none"/>
          <w:lang w:val="zh-CN" w:eastAsia="zh-CN" w:bidi="ar-SA"/>
        </w:rPr>
        <w:t>。开展教师学科跨界尝试，解决学科教师不配套的问题成效显著，目前我校体育专业宗涛能上好数学课，数学专业李娜能上好英语课，语文专业刘枝国等能上好美术课。广元市小学数学张晓菊老师</w:t>
      </w:r>
      <w:r>
        <w:rPr>
          <w:rFonts w:ascii="仿宋" w:hAnsi="仿宋" w:eastAsia="仿宋" w:cs="仿宋"/>
          <w:color w:val="auto"/>
          <w:sz w:val="32"/>
          <w:szCs w:val="32"/>
          <w:highlight w:val="none"/>
          <w:lang w:val="zh-CN"/>
        </w:rPr>
        <w:t>送教团队来我校传经送宝，片区一年级、五年级数学教师全体参与，听课、评课、交流心得，</w:t>
      </w:r>
      <w:r>
        <w:rPr>
          <w:rFonts w:ascii="仿宋" w:hAnsi="仿宋" w:eastAsia="仿宋" w:cs="仿宋"/>
          <w:color w:val="auto"/>
          <w:kern w:val="2"/>
          <w:sz w:val="32"/>
          <w:szCs w:val="32"/>
          <w:highlight w:val="none"/>
          <w:lang w:val="en-US" w:eastAsia="zh-CN" w:bidi="ar-SA"/>
        </w:rPr>
        <w:t>每一位教师都受益匪浅。</w:t>
      </w:r>
    </w:p>
    <w:p w14:paraId="2AEE6367">
      <w:pPr>
        <w:pageBreakBefore w:val="0"/>
        <w:widowControl w:val="0"/>
        <w:kinsoku/>
        <w:wordWrap/>
        <w:overflowPunct/>
        <w:topLinePunct w:val="0"/>
        <w:autoSpaceDE/>
        <w:autoSpaceDN/>
        <w:bidi w:val="0"/>
        <w:adjustRightInd/>
        <w:snapToGrid/>
        <w:spacing w:line="600" w:lineRule="exact"/>
        <w:ind w:firstLine="643" w:firstLineChars="200"/>
        <w:textAlignment w:val="auto"/>
        <w:rPr>
          <w:color w:val="auto"/>
          <w:highlight w:val="none"/>
        </w:rPr>
      </w:pPr>
      <w:r>
        <w:rPr>
          <w:rFonts w:ascii="仿宋" w:hAnsi="仿宋" w:eastAsia="仿宋" w:cs="仿宋"/>
          <w:b/>
          <w:bCs/>
          <w:color w:val="auto"/>
          <w:kern w:val="2"/>
          <w:sz w:val="32"/>
          <w:szCs w:val="32"/>
          <w:highlight w:val="none"/>
          <w:lang w:val="zh-CN" w:eastAsia="zh-CN" w:bidi="ar-SA"/>
        </w:rPr>
        <w:t>（四）外出研修，助力成长。</w:t>
      </w:r>
      <w:r>
        <w:rPr>
          <w:rFonts w:ascii="华文仿宋" w:hAnsi="华文仿宋" w:eastAsia="华文仿宋" w:cs="华文仿宋"/>
          <w:b w:val="0"/>
          <w:bCs w:val="0"/>
          <w:color w:val="auto"/>
          <w:kern w:val="2"/>
          <w:sz w:val="32"/>
          <w:szCs w:val="32"/>
          <w:highlight w:val="none"/>
          <w:lang w:val="en-US" w:eastAsia="zh-CN" w:bidi="ar-SA"/>
        </w:rPr>
        <w:t>一年</w:t>
      </w:r>
      <w:r>
        <w:rPr>
          <w:rFonts w:ascii="华文仿宋" w:hAnsi="华文仿宋" w:eastAsia="华文仿宋" w:cs="华文仿宋"/>
          <w:color w:val="auto"/>
          <w:kern w:val="2"/>
          <w:sz w:val="32"/>
          <w:szCs w:val="32"/>
          <w:highlight w:val="none"/>
          <w:lang w:val="en-US" w:eastAsia="zh-CN" w:bidi="ar-SA"/>
        </w:rPr>
        <w:t>来，组织有关教师外出参加培训30余次，重点学习了综合实践课程</w:t>
      </w:r>
      <w:r>
        <w:rPr>
          <w:rFonts w:ascii="华文仿宋" w:hAnsi="华文仿宋" w:eastAsia="华文仿宋" w:cs="华文仿宋"/>
          <w:color w:val="auto"/>
          <w:sz w:val="32"/>
          <w:szCs w:val="32"/>
          <w:highlight w:val="none"/>
          <w:lang w:val="zh-CN"/>
        </w:rPr>
        <w:t>的开设、语文单元主题教学策略以及教育科研开展等内容。</w:t>
      </w:r>
    </w:p>
    <w:p w14:paraId="04BE8051">
      <w:pPr>
        <w:pageBreakBefore w:val="0"/>
        <w:widowControl w:val="0"/>
        <w:numPr>
          <w:ilvl w:val="0"/>
          <w:numId w:val="0"/>
        </w:numPr>
        <w:kinsoku/>
        <w:wordWrap/>
        <w:overflowPunct/>
        <w:topLinePunct w:val="0"/>
        <w:autoSpaceDE/>
        <w:autoSpaceDN/>
        <w:bidi w:val="0"/>
        <w:adjustRightInd/>
        <w:snapToGrid/>
        <w:spacing w:line="600" w:lineRule="exact"/>
        <w:ind w:firstLine="0"/>
        <w:textAlignment w:val="auto"/>
        <w:rPr>
          <w:rFonts w:ascii="楷体" w:hAnsi="楷体" w:eastAsia="楷体" w:cs="仿宋"/>
          <w:b/>
          <w:bCs/>
          <w:color w:val="auto"/>
          <w:sz w:val="32"/>
          <w:szCs w:val="32"/>
          <w:highlight w:val="none"/>
        </w:rPr>
      </w:pPr>
      <w:r>
        <w:rPr>
          <w:rFonts w:ascii="楷体" w:hAnsi="楷体" w:eastAsia="楷体" w:cs="仿宋"/>
          <w:b/>
          <w:bCs/>
          <w:color w:val="auto"/>
          <w:sz w:val="32"/>
          <w:szCs w:val="32"/>
          <w:highlight w:val="none"/>
        </w:rPr>
        <w:t xml:space="preserve">  </w:t>
      </w:r>
      <w:r>
        <w:rPr>
          <w:rFonts w:ascii="楷体" w:hAnsi="楷体" w:eastAsia="楷体" w:cs="仿宋"/>
          <w:b/>
          <w:bCs/>
          <w:color w:val="auto"/>
          <w:kern w:val="2"/>
          <w:sz w:val="32"/>
          <w:szCs w:val="32"/>
          <w:highlight w:val="none"/>
          <w:lang w:val="en-US" w:eastAsia="zh-CN" w:bidi="ar-SA"/>
        </w:rPr>
        <w:t xml:space="preserve">  2.坚持德育为首、促进学生自省自立</w:t>
      </w:r>
    </w:p>
    <w:p w14:paraId="2BB8FD86">
      <w:pPr>
        <w:pageBreakBefore w:val="0"/>
        <w:widowControl w:val="0"/>
        <w:kinsoku/>
        <w:wordWrap/>
        <w:overflowPunct/>
        <w:topLinePunct w:val="0"/>
        <w:autoSpaceDE/>
        <w:autoSpaceDN/>
        <w:bidi w:val="0"/>
        <w:adjustRightInd/>
        <w:snapToGrid/>
        <w:spacing w:line="600" w:lineRule="exact"/>
        <w:jc w:val="left"/>
        <w:textAlignment w:val="auto"/>
        <w:rPr>
          <w:rFonts w:ascii="楷体" w:hAnsi="楷体" w:eastAsia="楷体" w:cs="楷体"/>
          <w:color w:val="auto"/>
          <w:sz w:val="32"/>
          <w:szCs w:val="32"/>
          <w:highlight w:val="none"/>
        </w:rPr>
      </w:pPr>
      <w:r>
        <w:rPr>
          <w:rFonts w:ascii="楷体" w:hAnsi="楷体" w:eastAsia="楷体" w:cs="楷体"/>
          <w:color w:val="auto"/>
          <w:sz w:val="32"/>
          <w:szCs w:val="32"/>
          <w:highlight w:val="none"/>
        </w:rPr>
        <w:t xml:space="preserve">   （一）</w:t>
      </w:r>
      <w:r>
        <w:rPr>
          <w:rFonts w:ascii="楷体" w:hAnsi="楷体" w:eastAsia="楷体" w:cs="楷体"/>
          <w:color w:val="auto"/>
          <w:kern w:val="2"/>
          <w:sz w:val="32"/>
          <w:szCs w:val="32"/>
          <w:highlight w:val="none"/>
          <w:lang w:val="en-US" w:eastAsia="zh-CN" w:bidi="ar-SA"/>
        </w:rPr>
        <w:t>立德为先、五育并举</w:t>
      </w:r>
    </w:p>
    <w:p w14:paraId="74C3F8DB">
      <w:pPr>
        <w:pageBreakBefore w:val="0"/>
        <w:widowControl w:val="0"/>
        <w:kinsoku/>
        <w:wordWrap/>
        <w:overflowPunct/>
        <w:topLinePunct w:val="0"/>
        <w:autoSpaceDE/>
        <w:autoSpaceDN/>
        <w:bidi w:val="0"/>
        <w:adjustRightInd/>
        <w:snapToGrid/>
        <w:spacing w:line="600" w:lineRule="exact"/>
        <w:ind w:firstLine="640"/>
        <w:textAlignment w:val="auto"/>
        <w:rPr>
          <w:rFonts w:ascii="仿宋" w:hAnsi="仿宋" w:eastAsia="仿宋" w:cs="仿宋"/>
          <w:color w:val="auto"/>
          <w:sz w:val="32"/>
          <w:szCs w:val="32"/>
          <w:highlight w:val="none"/>
        </w:rPr>
      </w:pPr>
      <w:r>
        <w:rPr>
          <w:rFonts w:ascii="仿宋" w:hAnsi="仿宋" w:eastAsia="仿宋" w:cs="仿宋"/>
          <w:color w:val="auto"/>
          <w:sz w:val="32"/>
          <w:szCs w:val="32"/>
          <w:highlight w:val="none"/>
        </w:rPr>
        <w:t>每期初召开德育管理专题会，规范师生德育管理常规。</w:t>
      </w:r>
      <w:r>
        <w:rPr>
          <w:rFonts w:ascii="仿宋" w:hAnsi="仿宋" w:eastAsia="仿宋" w:cs="仿宋"/>
          <w:color w:val="auto"/>
          <w:kern w:val="2"/>
          <w:sz w:val="32"/>
          <w:szCs w:val="32"/>
          <w:highlight w:val="none"/>
          <w:lang w:val="en-US" w:eastAsia="zh-CN" w:bidi="ar-SA"/>
        </w:rPr>
        <w:t>制定了《</w:t>
      </w:r>
      <w:r>
        <w:rPr>
          <w:rFonts w:ascii="仿宋" w:hAnsi="仿宋" w:eastAsia="仿宋" w:cs="仿宋"/>
          <w:color w:val="auto"/>
          <w:sz w:val="32"/>
          <w:szCs w:val="32"/>
          <w:highlight w:val="none"/>
        </w:rPr>
        <w:t>班主任考核细则</w:t>
      </w:r>
      <w:r>
        <w:rPr>
          <w:rFonts w:ascii="仿宋" w:hAnsi="仿宋" w:eastAsia="仿宋" w:cs="仿宋"/>
          <w:color w:val="auto"/>
          <w:kern w:val="2"/>
          <w:sz w:val="32"/>
          <w:szCs w:val="32"/>
          <w:highlight w:val="none"/>
          <w:lang w:val="en-US" w:eastAsia="zh-CN" w:bidi="ar-SA"/>
        </w:rPr>
        <w:t>》、《</w:t>
      </w:r>
      <w:r>
        <w:rPr>
          <w:rFonts w:ascii="仿宋" w:hAnsi="仿宋" w:eastAsia="仿宋" w:cs="仿宋"/>
          <w:color w:val="auto"/>
          <w:sz w:val="32"/>
          <w:szCs w:val="32"/>
          <w:highlight w:val="none"/>
        </w:rPr>
        <w:t>值周教师一日常规》</w:t>
      </w:r>
      <w:r>
        <w:rPr>
          <w:rFonts w:ascii="仿宋" w:hAnsi="仿宋" w:eastAsia="仿宋" w:cs="仿宋"/>
          <w:color w:val="auto"/>
          <w:kern w:val="2"/>
          <w:sz w:val="32"/>
          <w:szCs w:val="32"/>
          <w:highlight w:val="none"/>
          <w:lang w:val="en-US" w:eastAsia="zh-CN" w:bidi="ar-SA"/>
        </w:rPr>
        <w:t>、</w:t>
      </w:r>
      <w:r>
        <w:rPr>
          <w:rFonts w:ascii="仿宋" w:hAnsi="仿宋" w:eastAsia="仿宋" w:cs="仿宋"/>
          <w:color w:val="auto"/>
          <w:sz w:val="32"/>
          <w:szCs w:val="32"/>
          <w:highlight w:val="none"/>
          <w:shd w:val="clear" w:fill="FFFFFF"/>
        </w:rPr>
        <w:t>组织学生学习《中小学生守则》《小学生日常行为规范》。</w:t>
      </w:r>
      <w:r>
        <w:rPr>
          <w:rFonts w:ascii="仿宋" w:hAnsi="仿宋" w:eastAsia="仿宋" w:cs="仿宋"/>
          <w:color w:val="auto"/>
          <w:sz w:val="32"/>
          <w:szCs w:val="32"/>
          <w:highlight w:val="none"/>
        </w:rPr>
        <w:t>开展学生自主管理与评价，建立和培训学生评价员队伍，对学生在校学习和生活的</w:t>
      </w:r>
      <w:r>
        <w:rPr>
          <w:rFonts w:ascii="仿宋" w:hAnsi="仿宋" w:eastAsia="仿宋" w:cs="仿宋"/>
          <w:color w:val="auto"/>
          <w:kern w:val="2"/>
          <w:sz w:val="32"/>
          <w:szCs w:val="32"/>
          <w:highlight w:val="none"/>
          <w:lang w:val="en-US" w:eastAsia="zh-CN" w:bidi="ar-SA"/>
        </w:rPr>
        <w:t>各个方面对应</w:t>
      </w:r>
      <w:r>
        <w:rPr>
          <w:rFonts w:ascii="仿宋" w:hAnsi="仿宋" w:eastAsia="仿宋" w:cs="仿宋"/>
          <w:color w:val="auto"/>
          <w:sz w:val="32"/>
          <w:szCs w:val="32"/>
          <w:highlight w:val="none"/>
        </w:rPr>
        <w:t>评价管理，让学生做自己的主人，在管理中培养学生的组织管理能力。</w:t>
      </w:r>
    </w:p>
    <w:p w14:paraId="729A1D68">
      <w:pPr>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ascii="仿宋" w:hAnsi="仿宋" w:eastAsia="仿宋" w:cs="仿宋"/>
          <w:color w:val="auto"/>
          <w:sz w:val="32"/>
          <w:szCs w:val="32"/>
          <w:highlight w:val="none"/>
        </w:rPr>
        <w:t>开展了《争当家务小能手》的假期社会实践活动，要求孩子回家给爷爷奶奶洗脚，做力所能及的家务和生产劳动，听老人讲革命故事，观察家乡新的变化，辅导比自己小的小朋友的学习，每周给外出务工的爸爸妈妈打一次电话。组织学生开展了“</w:t>
      </w:r>
      <w:r>
        <w:rPr>
          <w:rFonts w:ascii="仿宋" w:hAnsi="仿宋" w:eastAsia="仿宋" w:cs="仿宋"/>
          <w:color w:val="auto"/>
          <w:sz w:val="32"/>
          <w:szCs w:val="32"/>
          <w:highlight w:val="none"/>
          <w:lang w:eastAsia="zh-CN"/>
        </w:rPr>
        <w:t>追寻红色印记，</w:t>
      </w:r>
      <w:r>
        <w:rPr>
          <w:rFonts w:ascii="仿宋" w:hAnsi="仿宋" w:eastAsia="仿宋" w:cs="仿宋"/>
          <w:color w:val="auto"/>
          <w:sz w:val="32"/>
          <w:szCs w:val="32"/>
          <w:highlight w:val="none"/>
        </w:rPr>
        <w:t>传承红色基因，争做</w:t>
      </w:r>
      <w:r>
        <w:rPr>
          <w:rFonts w:ascii="仿宋" w:hAnsi="仿宋" w:eastAsia="仿宋" w:cs="仿宋"/>
          <w:color w:val="auto"/>
          <w:sz w:val="32"/>
          <w:szCs w:val="32"/>
          <w:highlight w:val="none"/>
          <w:lang w:eastAsia="zh-CN"/>
        </w:rPr>
        <w:t>红色少年</w:t>
      </w:r>
      <w:r>
        <w:rPr>
          <w:rFonts w:ascii="仿宋" w:hAnsi="仿宋" w:eastAsia="仿宋" w:cs="仿宋"/>
          <w:color w:val="auto"/>
          <w:sz w:val="32"/>
          <w:szCs w:val="32"/>
          <w:highlight w:val="none"/>
        </w:rPr>
        <w:t>”主题活动、“</w:t>
      </w:r>
      <w:r>
        <w:rPr>
          <w:rFonts w:ascii="仿宋" w:hAnsi="仿宋" w:eastAsia="仿宋" w:cs="仿宋"/>
          <w:color w:val="auto"/>
          <w:sz w:val="32"/>
          <w:szCs w:val="32"/>
          <w:highlight w:val="none"/>
          <w:lang w:eastAsia="zh-CN"/>
        </w:rPr>
        <w:t>研学实践</w:t>
      </w:r>
      <w:r>
        <w:rPr>
          <w:rFonts w:ascii="仿宋" w:hAnsi="仿宋" w:eastAsia="仿宋" w:cs="仿宋"/>
          <w:color w:val="auto"/>
          <w:sz w:val="32"/>
          <w:szCs w:val="32"/>
          <w:highlight w:val="none"/>
        </w:rPr>
        <w:t>”的踏青活动，让学生感受大自然的美丽，培养团结协作意识，磨炼精神意志。开展了每周一次的“文明寝室”“文明班级”评比，以及一年一度的</w:t>
      </w:r>
      <w:r>
        <w:rPr>
          <w:rFonts w:ascii="仿宋" w:hAnsi="仿宋" w:eastAsia="仿宋" w:cs="仿宋"/>
          <w:color w:val="auto"/>
          <w:sz w:val="32"/>
          <w:szCs w:val="32"/>
          <w:highlight w:val="none"/>
          <w:lang w:eastAsia="zh-CN"/>
        </w:rPr>
        <w:t>优秀学生、</w:t>
      </w:r>
      <w:r>
        <w:rPr>
          <w:rFonts w:ascii="仿宋" w:hAnsi="仿宋" w:eastAsia="仿宋" w:cs="仿宋"/>
          <w:color w:val="auto"/>
          <w:kern w:val="2"/>
          <w:sz w:val="32"/>
          <w:szCs w:val="32"/>
          <w:highlight w:val="none"/>
          <w:lang w:val="en-US" w:eastAsia="zh-CN" w:bidi="ar-SA"/>
        </w:rPr>
        <w:t>家校共育优秀</w:t>
      </w:r>
      <w:r>
        <w:rPr>
          <w:rFonts w:ascii="仿宋" w:hAnsi="仿宋" w:eastAsia="仿宋" w:cs="仿宋"/>
          <w:color w:val="auto"/>
          <w:sz w:val="32"/>
          <w:szCs w:val="32"/>
          <w:highlight w:val="none"/>
        </w:rPr>
        <w:t>家庭的评选活动。</w:t>
      </w:r>
    </w:p>
    <w:p w14:paraId="1B2174ED">
      <w:pPr>
        <w:pageBreakBefore w:val="0"/>
        <w:widowControl w:val="0"/>
        <w:kinsoku/>
        <w:wordWrap/>
        <w:overflowPunct/>
        <w:topLinePunct w:val="0"/>
        <w:autoSpaceDE/>
        <w:autoSpaceDN/>
        <w:bidi w:val="0"/>
        <w:adjustRightInd/>
        <w:snapToGrid/>
        <w:spacing w:line="600" w:lineRule="exact"/>
        <w:jc w:val="left"/>
        <w:textAlignment w:val="auto"/>
        <w:rPr>
          <w:rFonts w:ascii="楷体" w:hAnsi="楷体" w:eastAsia="楷体" w:cs="楷体"/>
          <w:color w:val="auto"/>
          <w:sz w:val="32"/>
          <w:szCs w:val="32"/>
          <w:highlight w:val="none"/>
        </w:rPr>
      </w:pPr>
      <w:r>
        <w:rPr>
          <w:rFonts w:ascii="楷体" w:hAnsi="楷体" w:eastAsia="楷体" w:cs="楷体"/>
          <w:color w:val="auto"/>
          <w:sz w:val="32"/>
          <w:szCs w:val="32"/>
          <w:highlight w:val="none"/>
        </w:rPr>
        <w:t xml:space="preserve">  （二）</w:t>
      </w:r>
      <w:r>
        <w:rPr>
          <w:rFonts w:ascii="楷体" w:hAnsi="楷体" w:eastAsia="楷体" w:cs="楷体"/>
          <w:color w:val="auto"/>
          <w:kern w:val="2"/>
          <w:sz w:val="32"/>
          <w:szCs w:val="32"/>
          <w:highlight w:val="none"/>
          <w:lang w:val="en-US" w:eastAsia="zh-CN" w:bidi="ar-SA"/>
        </w:rPr>
        <w:t>社团活动</w:t>
      </w:r>
      <w:r>
        <w:rPr>
          <w:rFonts w:ascii="楷体" w:hAnsi="楷体" w:eastAsia="楷体" w:cs="楷体"/>
          <w:color w:val="auto"/>
          <w:sz w:val="32"/>
          <w:szCs w:val="32"/>
          <w:highlight w:val="none"/>
        </w:rPr>
        <w:t>，</w:t>
      </w:r>
      <w:r>
        <w:rPr>
          <w:rFonts w:ascii="楷体" w:hAnsi="楷体" w:eastAsia="楷体" w:cs="楷体"/>
          <w:color w:val="auto"/>
          <w:kern w:val="2"/>
          <w:sz w:val="32"/>
          <w:szCs w:val="32"/>
          <w:highlight w:val="none"/>
          <w:lang w:val="en-US" w:eastAsia="zh-CN" w:bidi="ar-SA"/>
        </w:rPr>
        <w:t>彰显特色</w:t>
      </w:r>
    </w:p>
    <w:p w14:paraId="415263AF">
      <w:pPr>
        <w:pageBreakBefore w:val="0"/>
        <w:widowControl w:val="0"/>
        <w:kinsoku/>
        <w:wordWrap/>
        <w:overflowPunct/>
        <w:topLinePunct w:val="0"/>
        <w:autoSpaceDE/>
        <w:autoSpaceDN/>
        <w:bidi w:val="0"/>
        <w:adjustRightInd/>
        <w:snapToGrid/>
        <w:spacing w:line="600" w:lineRule="exact"/>
        <w:ind w:firstLine="0"/>
        <w:textAlignment w:val="auto"/>
        <w:rPr>
          <w:rFonts w:ascii="仿宋" w:hAnsi="仿宋" w:eastAsia="仿宋" w:cs="仿宋"/>
          <w:color w:val="auto"/>
          <w:sz w:val="32"/>
          <w:szCs w:val="32"/>
          <w:highlight w:val="none"/>
        </w:rPr>
      </w:pPr>
      <w:r>
        <w:rPr>
          <w:rFonts w:ascii="仿宋" w:hAnsi="仿宋" w:eastAsia="仿宋" w:cs="仿宋"/>
          <w:color w:val="auto"/>
          <w:sz w:val="32"/>
          <w:szCs w:val="32"/>
          <w:highlight w:val="none"/>
        </w:rPr>
        <w:t xml:space="preserve">   </w:t>
      </w:r>
      <w:r>
        <w:rPr>
          <w:rFonts w:ascii="仿宋" w:hAnsi="仿宋" w:eastAsia="仿宋" w:cs="仿宋"/>
          <w:color w:val="auto"/>
          <w:kern w:val="2"/>
          <w:sz w:val="32"/>
          <w:szCs w:val="32"/>
          <w:highlight w:val="none"/>
          <w:lang w:val="en-US" w:eastAsia="zh-CN" w:bidi="ar-SA"/>
        </w:rPr>
        <w:t>利用学校的植物园以及红岩百花园、李子园等</w:t>
      </w:r>
      <w:r>
        <w:rPr>
          <w:rFonts w:ascii="仿宋" w:hAnsi="仿宋" w:eastAsia="仿宋" w:cs="仿宋"/>
          <w:color w:val="auto"/>
          <w:sz w:val="32"/>
          <w:szCs w:val="32"/>
          <w:highlight w:val="none"/>
        </w:rPr>
        <w:t>，开展</w:t>
      </w:r>
      <w:r>
        <w:rPr>
          <w:rFonts w:ascii="仿宋" w:hAnsi="仿宋" w:eastAsia="仿宋" w:cs="仿宋"/>
          <w:color w:val="auto"/>
          <w:kern w:val="2"/>
          <w:sz w:val="32"/>
          <w:szCs w:val="32"/>
          <w:highlight w:val="none"/>
          <w:lang w:val="en-US" w:eastAsia="zh-CN" w:bidi="ar-SA"/>
        </w:rPr>
        <w:t>劳动教育，</w:t>
      </w:r>
      <w:r>
        <w:rPr>
          <w:rFonts w:ascii="仿宋" w:hAnsi="仿宋" w:eastAsia="仿宋" w:cs="仿宋"/>
          <w:color w:val="auto"/>
          <w:sz w:val="32"/>
          <w:szCs w:val="32"/>
          <w:highlight w:val="none"/>
        </w:rPr>
        <w:t>锻炼吃苦耐劳的品质</w:t>
      </w:r>
      <w:r>
        <w:rPr>
          <w:rFonts w:ascii="仿宋" w:hAnsi="仿宋" w:eastAsia="仿宋" w:cs="仿宋"/>
          <w:color w:val="auto"/>
          <w:kern w:val="2"/>
          <w:sz w:val="32"/>
          <w:szCs w:val="32"/>
          <w:highlight w:val="none"/>
          <w:lang w:val="en-US" w:eastAsia="zh-CN" w:bidi="ar-SA"/>
        </w:rPr>
        <w:t>；</w:t>
      </w:r>
      <w:r>
        <w:rPr>
          <w:rFonts w:ascii="仿宋" w:hAnsi="仿宋" w:eastAsia="仿宋" w:cs="仿宋"/>
          <w:color w:val="auto"/>
          <w:sz w:val="32"/>
          <w:szCs w:val="32"/>
          <w:highlight w:val="none"/>
        </w:rPr>
        <w:t>利用学校少年宫、结合课后服务开展丰富多彩的社团活动，满足学生对艺术的追求。定项目、定时间、定人员、定地点，持续开展好乒乓球、羽毛球、篮球、舞蹈、无纺布手工、绘画、书法、象棋等兴趣班，效果良好。书法班蒲天宇荣获十六届艺术人才大赛书法三等奖，乒乓球组张仕杰荣获2021年区级运动会男子单打第一名、刘俊凯男子单打第二名、张雅欣荣获女子双打第一名、单打第四名，篮球组获得区级运动会小规模学校第二名。学校定期开展了体育艺术竞赛活动，举办了六一艺术节等活动，活跃校园氛围，引领师生成长，助推全面发展。</w:t>
      </w:r>
    </w:p>
    <w:p w14:paraId="395E6663">
      <w:pPr>
        <w:pageBreakBefore w:val="0"/>
        <w:widowControl w:val="0"/>
        <w:kinsoku/>
        <w:wordWrap/>
        <w:overflowPunct/>
        <w:topLinePunct w:val="0"/>
        <w:autoSpaceDE/>
        <w:autoSpaceDN/>
        <w:bidi w:val="0"/>
        <w:adjustRightInd/>
        <w:snapToGrid/>
        <w:spacing w:line="600" w:lineRule="exact"/>
        <w:jc w:val="left"/>
        <w:textAlignment w:val="auto"/>
        <w:rPr>
          <w:color w:val="auto"/>
          <w:highlight w:val="none"/>
        </w:rPr>
      </w:pPr>
      <w:r>
        <w:rPr>
          <w:rFonts w:ascii="楷体" w:hAnsi="楷体" w:eastAsia="楷体" w:cs="楷体"/>
          <w:color w:val="auto"/>
          <w:sz w:val="32"/>
          <w:szCs w:val="32"/>
          <w:highlight w:val="none"/>
        </w:rPr>
        <w:t xml:space="preserve">  （三）主题教育、自省自立</w:t>
      </w:r>
    </w:p>
    <w:p w14:paraId="69029BCB">
      <w:pPr>
        <w:pageBreakBefore w:val="0"/>
        <w:widowControl w:val="0"/>
        <w:kinsoku/>
        <w:wordWrap/>
        <w:overflowPunct/>
        <w:topLinePunct w:val="0"/>
        <w:autoSpaceDE/>
        <w:autoSpaceDN/>
        <w:bidi w:val="0"/>
        <w:adjustRightInd/>
        <w:snapToGrid/>
        <w:spacing w:line="600" w:lineRule="exact"/>
        <w:ind w:firstLine="643"/>
        <w:textAlignment w:val="auto"/>
        <w:rPr>
          <w:color w:val="auto"/>
          <w:highlight w:val="none"/>
        </w:rPr>
      </w:pPr>
      <w:r>
        <w:rPr>
          <w:rFonts w:ascii="仿宋" w:hAnsi="仿宋" w:eastAsia="仿宋" w:cs="仿宋"/>
          <w:b/>
          <w:color w:val="auto"/>
          <w:kern w:val="2"/>
          <w:sz w:val="32"/>
          <w:szCs w:val="32"/>
          <w:highlight w:val="none"/>
          <w:lang w:val="en-US" w:eastAsia="zh-CN" w:bidi="ar-SA"/>
        </w:rPr>
        <w:t>一是</w:t>
      </w:r>
      <w:r>
        <w:rPr>
          <w:rFonts w:ascii="仿宋" w:hAnsi="仿宋" w:eastAsia="仿宋" w:cs="仿宋"/>
          <w:b w:val="0"/>
          <w:bCs w:val="0"/>
          <w:color w:val="auto"/>
          <w:kern w:val="2"/>
          <w:sz w:val="32"/>
          <w:szCs w:val="32"/>
          <w:highlight w:val="none"/>
          <w:lang w:val="en-US" w:eastAsia="zh-CN" w:bidi="ar-SA"/>
        </w:rPr>
        <w:t>利用</w:t>
      </w:r>
      <w:r>
        <w:rPr>
          <w:rFonts w:ascii="仿宋" w:hAnsi="仿宋" w:eastAsia="仿宋" w:cs="仿宋"/>
          <w:color w:val="auto"/>
          <w:kern w:val="2"/>
          <w:sz w:val="32"/>
          <w:szCs w:val="32"/>
          <w:highlight w:val="none"/>
          <w:lang w:val="en-US" w:eastAsia="zh-CN" w:bidi="ar-SA"/>
        </w:rPr>
        <w:t>升旗仪</w:t>
      </w:r>
      <w:r>
        <w:rPr>
          <w:rFonts w:ascii="仿宋" w:hAnsi="仿宋" w:eastAsia="仿宋" w:cs="仿宋"/>
          <w:color w:val="auto"/>
          <w:sz w:val="32"/>
          <w:szCs w:val="32"/>
          <w:highlight w:val="none"/>
        </w:rPr>
        <w:t>式 ，开展爱国主义教育。</w:t>
      </w:r>
      <w:r>
        <w:rPr>
          <w:rFonts w:ascii="仿宋" w:hAnsi="仿宋" w:eastAsia="仿宋" w:cs="仿宋"/>
          <w:b/>
          <w:color w:val="auto"/>
          <w:sz w:val="32"/>
          <w:szCs w:val="32"/>
          <w:highlight w:val="none"/>
        </w:rPr>
        <w:t>二是</w:t>
      </w:r>
      <w:r>
        <w:rPr>
          <w:rFonts w:ascii="仿宋" w:hAnsi="仿宋" w:eastAsia="仿宋" w:cs="仿宋"/>
          <w:color w:val="auto"/>
          <w:sz w:val="32"/>
          <w:szCs w:val="32"/>
          <w:highlight w:val="none"/>
        </w:rPr>
        <w:t>以重大节日为契机，开展缅怀英烈、孝敬父母、颂党爱国、感恩老师等主题德育活动，培育社会主义核心价值观。</w:t>
      </w:r>
      <w:r>
        <w:rPr>
          <w:rFonts w:ascii="仿宋" w:hAnsi="仿宋" w:eastAsia="仿宋" w:cs="仿宋"/>
          <w:b/>
          <w:color w:val="auto"/>
          <w:sz w:val="32"/>
          <w:szCs w:val="32"/>
          <w:highlight w:val="none"/>
        </w:rPr>
        <w:t>三是</w:t>
      </w:r>
      <w:r>
        <w:rPr>
          <w:rFonts w:ascii="仿宋" w:hAnsi="仿宋" w:eastAsia="仿宋" w:cs="仿宋"/>
          <w:color w:val="auto"/>
          <w:sz w:val="32"/>
          <w:szCs w:val="32"/>
          <w:highlight w:val="none"/>
        </w:rPr>
        <w:t>每</w:t>
      </w:r>
      <w:r>
        <w:rPr>
          <w:rFonts w:ascii="仿宋" w:hAnsi="仿宋" w:eastAsia="仿宋" w:cs="仿宋"/>
          <w:color w:val="auto"/>
          <w:kern w:val="2"/>
          <w:sz w:val="32"/>
          <w:szCs w:val="32"/>
          <w:highlight w:val="none"/>
          <w:lang w:val="en-US" w:eastAsia="zh-CN" w:bidi="ar-SA"/>
        </w:rPr>
        <w:t>周五放假前进行安全教育，将森林防灭火、防溺水、预防传人病、预防食物中毒等主题教育植根于孩子和家长的心灵</w:t>
      </w:r>
      <w:r>
        <w:rPr>
          <w:rFonts w:ascii="仿宋" w:hAnsi="仿宋" w:eastAsia="仿宋" w:cs="仿宋"/>
          <w:color w:val="auto"/>
          <w:sz w:val="32"/>
          <w:szCs w:val="32"/>
          <w:highlight w:val="none"/>
        </w:rPr>
        <w:t>。</w:t>
      </w:r>
      <w:r>
        <w:rPr>
          <w:rFonts w:ascii="仿宋" w:hAnsi="仿宋" w:eastAsia="仿宋" w:cs="仿宋"/>
          <w:b/>
          <w:color w:val="auto"/>
          <w:sz w:val="32"/>
          <w:szCs w:val="32"/>
          <w:highlight w:val="none"/>
        </w:rPr>
        <w:t>四是</w:t>
      </w:r>
      <w:r>
        <w:rPr>
          <w:rFonts w:ascii="仿宋" w:hAnsi="仿宋" w:eastAsia="仿宋" w:cs="仿宋"/>
          <w:color w:val="auto"/>
          <w:sz w:val="32"/>
          <w:szCs w:val="32"/>
          <w:highlight w:val="none"/>
        </w:rPr>
        <w:t>结合班会，开展行为习惯养成教育，卫生教育、心理健康教育、禁毒教育等一系列主题教育活动。</w:t>
      </w:r>
    </w:p>
    <w:p w14:paraId="0B643055">
      <w:pPr>
        <w:pageBreakBefore w:val="0"/>
        <w:widowControl w:val="0"/>
        <w:kinsoku/>
        <w:wordWrap/>
        <w:overflowPunct/>
        <w:topLinePunct w:val="0"/>
        <w:autoSpaceDE/>
        <w:autoSpaceDN/>
        <w:bidi w:val="0"/>
        <w:adjustRightInd/>
        <w:snapToGrid/>
        <w:spacing w:line="600" w:lineRule="exact"/>
        <w:textAlignment w:val="auto"/>
        <w:rPr>
          <w:rFonts w:ascii="楷体" w:hAnsi="楷体" w:eastAsia="楷体" w:cs="仿宋"/>
          <w:b/>
          <w:bCs/>
          <w:color w:val="auto"/>
          <w:kern w:val="2"/>
          <w:sz w:val="32"/>
          <w:szCs w:val="32"/>
          <w:highlight w:val="none"/>
          <w:lang w:val="en-US" w:eastAsia="zh-CN" w:bidi="ar-SA"/>
        </w:rPr>
      </w:pPr>
      <w:r>
        <w:rPr>
          <w:rFonts w:ascii="楷体" w:hAnsi="楷体" w:eastAsia="楷体" w:cs="仿宋"/>
          <w:b/>
          <w:bCs/>
          <w:color w:val="auto"/>
          <w:kern w:val="2"/>
          <w:sz w:val="32"/>
          <w:szCs w:val="32"/>
          <w:highlight w:val="none"/>
          <w:lang w:val="en-US" w:eastAsia="zh-CN" w:bidi="ar-SA"/>
        </w:rPr>
        <w:t xml:space="preserve">   3.悉心后勤保障，助力师生平安</w:t>
      </w:r>
    </w:p>
    <w:p w14:paraId="2E60D12D">
      <w:pPr>
        <w:pageBreakBefore w:val="0"/>
        <w:widowControl w:val="0"/>
        <w:kinsoku/>
        <w:wordWrap/>
        <w:overflowPunct/>
        <w:topLinePunct w:val="0"/>
        <w:autoSpaceDE/>
        <w:autoSpaceDN/>
        <w:bidi w:val="0"/>
        <w:adjustRightInd/>
        <w:snapToGrid/>
        <w:spacing w:line="600" w:lineRule="exact"/>
        <w:ind w:firstLine="640"/>
        <w:textAlignment w:val="auto"/>
        <w:rPr>
          <w:rFonts w:ascii="仿宋" w:hAnsi="仿宋" w:cs="仿宋"/>
          <w:color w:val="auto"/>
          <w:sz w:val="32"/>
          <w:szCs w:val="32"/>
          <w:highlight w:val="none"/>
        </w:rPr>
      </w:pPr>
      <w:r>
        <w:rPr>
          <w:rFonts w:ascii="仿宋" w:hAnsi="仿宋" w:eastAsia="仿宋" w:cs="仿宋"/>
          <w:b/>
          <w:bCs/>
          <w:color w:val="auto"/>
          <w:sz w:val="32"/>
          <w:szCs w:val="32"/>
          <w:highlight w:val="none"/>
        </w:rPr>
        <w:t>一是</w:t>
      </w:r>
      <w:r>
        <w:rPr>
          <w:rFonts w:ascii="华文仿宋" w:hAnsi="华文仿宋" w:eastAsia="华文仿宋" w:cs="华文仿宋"/>
          <w:color w:val="auto"/>
          <w:sz w:val="32"/>
          <w:szCs w:val="32"/>
          <w:highlight w:val="none"/>
        </w:rPr>
        <w:t>学校成立了安全领导小组，明确了校长是校园安全的第一责任人。本着“谁主管，谁负责；谁在岗，谁负责”的原则，层层签订责任书，分解工作，落实责任。建立了领导值班制度、门卫安全管理制度、出入登记制度、消防安全制度、交通安全制度，制定了学校突发安全事件应急处置预案。结合重大</w:t>
      </w:r>
      <w:r>
        <w:rPr>
          <w:rFonts w:ascii="华文仿宋" w:hAnsi="华文仿宋" w:eastAsia="华文仿宋" w:cs="华文仿宋"/>
          <w:color w:val="auto"/>
          <w:sz w:val="32"/>
          <w:szCs w:val="32"/>
          <w:highlight w:val="none"/>
          <w:lang w:eastAsia="zh-CN"/>
        </w:rPr>
        <w:t>纪念日</w:t>
      </w:r>
      <w:r>
        <w:rPr>
          <w:rFonts w:ascii="华文仿宋" w:hAnsi="华文仿宋" w:eastAsia="华文仿宋" w:cs="华文仿宋"/>
          <w:color w:val="auto"/>
          <w:kern w:val="2"/>
          <w:sz w:val="32"/>
          <w:szCs w:val="32"/>
          <w:highlight w:val="none"/>
          <w:lang w:val="en-US" w:eastAsia="zh-CN" w:bidi="ar-SA"/>
        </w:rPr>
        <w:t>，</w:t>
      </w:r>
      <w:r>
        <w:rPr>
          <w:rFonts w:ascii="华文仿宋" w:hAnsi="华文仿宋" w:eastAsia="华文仿宋" w:cs="华文仿宋"/>
          <w:color w:val="auto"/>
          <w:sz w:val="32"/>
          <w:szCs w:val="32"/>
          <w:highlight w:val="none"/>
        </w:rPr>
        <w:t>开展了地震</w:t>
      </w:r>
      <w:r>
        <w:rPr>
          <w:rFonts w:ascii="华文仿宋" w:hAnsi="华文仿宋" w:eastAsia="华文仿宋" w:cs="华文仿宋"/>
          <w:color w:val="auto"/>
          <w:sz w:val="32"/>
          <w:szCs w:val="32"/>
          <w:highlight w:val="none"/>
          <w:lang w:eastAsia="zh-CN"/>
        </w:rPr>
        <w:t>逃生</w:t>
      </w:r>
      <w:r>
        <w:rPr>
          <w:rFonts w:ascii="华文仿宋" w:hAnsi="华文仿宋" w:eastAsia="华文仿宋" w:cs="华文仿宋"/>
          <w:color w:val="auto"/>
          <w:sz w:val="32"/>
          <w:szCs w:val="32"/>
          <w:highlight w:val="none"/>
        </w:rPr>
        <w:t>疏散演练、消防逃生演练、教师消防知识培训等活动。</w:t>
      </w:r>
      <w:r>
        <w:rPr>
          <w:rFonts w:ascii="仿宋" w:hAnsi="仿宋" w:eastAsia="仿宋" w:cs="仿宋"/>
          <w:b/>
          <w:bCs/>
          <w:color w:val="auto"/>
          <w:sz w:val="32"/>
          <w:szCs w:val="32"/>
          <w:highlight w:val="none"/>
        </w:rPr>
        <w:t>二是</w:t>
      </w:r>
      <w:r>
        <w:rPr>
          <w:rFonts w:ascii="仿宋" w:hAnsi="仿宋" w:eastAsia="仿宋" w:cs="仿宋"/>
          <w:color w:val="auto"/>
          <w:sz w:val="32"/>
          <w:szCs w:val="32"/>
          <w:highlight w:val="none"/>
        </w:rPr>
        <w:t>学校食堂始终本着“让学生吃饱、让学生吃好”的原则，认真</w:t>
      </w:r>
      <w:r>
        <w:rPr>
          <w:rFonts w:ascii="仿宋" w:hAnsi="仿宋" w:eastAsia="仿宋" w:cs="仿宋"/>
          <w:color w:val="auto"/>
          <w:kern w:val="2"/>
          <w:sz w:val="32"/>
          <w:szCs w:val="32"/>
          <w:highlight w:val="none"/>
          <w:lang w:val="en-US" w:eastAsia="zh-CN" w:bidi="ar-SA"/>
        </w:rPr>
        <w:t>规划</w:t>
      </w:r>
      <w:r>
        <w:rPr>
          <w:rFonts w:ascii="仿宋" w:hAnsi="仿宋" w:eastAsia="仿宋" w:cs="仿宋"/>
          <w:color w:val="auto"/>
          <w:sz w:val="32"/>
          <w:szCs w:val="32"/>
          <w:highlight w:val="none"/>
        </w:rPr>
        <w:t>每餐搭配，力争做到每周所食菜品不雷同，让学生吃得放心，吃得开心。在上级部门多次检查中均得到了充分肯定和高度评价</w:t>
      </w:r>
      <w:r>
        <w:rPr>
          <w:rFonts w:ascii="仿宋" w:hAnsi="仿宋" w:eastAsia="仿宋" w:cs="仿宋"/>
          <w:color w:val="auto"/>
          <w:kern w:val="2"/>
          <w:sz w:val="32"/>
          <w:szCs w:val="32"/>
          <w:highlight w:val="none"/>
          <w:lang w:val="en-US" w:eastAsia="zh-CN" w:bidi="ar-SA"/>
        </w:rPr>
        <w:t>，2020年</w:t>
      </w:r>
      <w:r>
        <w:rPr>
          <w:rFonts w:ascii="仿宋" w:hAnsi="仿宋" w:eastAsia="仿宋" w:cs="仿宋"/>
          <w:color w:val="auto"/>
          <w:sz w:val="32"/>
          <w:szCs w:val="32"/>
          <w:highlight w:val="none"/>
        </w:rPr>
        <w:t>被评为广元市食品卫生先进单位。</w:t>
      </w:r>
      <w:r>
        <w:rPr>
          <w:rFonts w:ascii="仿宋" w:hAnsi="仿宋" w:eastAsia="仿宋" w:cs="仿宋"/>
          <w:b/>
          <w:bCs/>
          <w:color w:val="auto"/>
          <w:sz w:val="32"/>
          <w:szCs w:val="32"/>
          <w:highlight w:val="none"/>
        </w:rPr>
        <w:t>三是</w:t>
      </w:r>
      <w:r>
        <w:rPr>
          <w:rFonts w:ascii="仿宋" w:hAnsi="仿宋" w:eastAsia="仿宋" w:cs="仿宋"/>
          <w:b w:val="0"/>
          <w:bCs w:val="0"/>
          <w:color w:val="auto"/>
          <w:kern w:val="2"/>
          <w:sz w:val="32"/>
          <w:szCs w:val="32"/>
          <w:highlight w:val="none"/>
          <w:lang w:val="en-US" w:eastAsia="zh-CN" w:bidi="ar-SA"/>
        </w:rPr>
        <w:t>抓好校园疫情常态化工作。及时修订了两案九制，加强人员培训和物资筹备等工作。严格落实三检、外来人员管控、缺勤人员随访追踪、通风换气、校园消杀等工作，并作好相关记录，把防疫措施落实到每一个细节。</w:t>
      </w:r>
      <w:r>
        <w:rPr>
          <w:rFonts w:ascii="仿宋" w:hAnsi="仿宋" w:eastAsia="仿宋" w:cs="仿宋"/>
          <w:color w:val="auto"/>
          <w:sz w:val="32"/>
          <w:szCs w:val="32"/>
          <w:highlight w:val="none"/>
        </w:rPr>
        <w:t>学校落实全员全时安全管理职责，一年来，学校平安，师生平安。</w:t>
      </w:r>
    </w:p>
    <w:p w14:paraId="7CA117F6">
      <w:pPr>
        <w:pStyle w:val="2"/>
        <w:rPr>
          <w:rFonts w:hint="eastAsia" w:ascii="仿宋" w:hAnsi="仿宋" w:eastAsia="仿宋" w:cs="仿宋"/>
          <w:b w:val="0"/>
          <w:bCs w:val="0"/>
          <w:color w:val="auto"/>
          <w:sz w:val="32"/>
          <w:szCs w:val="32"/>
          <w:highlight w:val="none"/>
        </w:rPr>
      </w:pPr>
    </w:p>
    <w:p w14:paraId="36764DC2">
      <w:pPr>
        <w:pStyle w:val="2"/>
        <w:rPr>
          <w:rFonts w:hint="eastAsia" w:ascii="仿宋" w:hAnsi="仿宋" w:eastAsia="仿宋" w:cs="仿宋"/>
          <w:b w:val="0"/>
          <w:bCs w:val="0"/>
          <w:color w:val="auto"/>
          <w:sz w:val="32"/>
          <w:szCs w:val="32"/>
          <w:highlight w:val="none"/>
        </w:rPr>
      </w:pPr>
    </w:p>
    <w:p w14:paraId="3A7E888E">
      <w:pPr>
        <w:pStyle w:val="2"/>
        <w:rPr>
          <w:rFonts w:hint="eastAsia" w:ascii="仿宋" w:hAnsi="仿宋" w:eastAsia="仿宋" w:cs="仿宋"/>
          <w:b w:val="0"/>
          <w:bCs w:val="0"/>
          <w:color w:val="auto"/>
          <w:sz w:val="32"/>
          <w:szCs w:val="32"/>
          <w:highlight w:val="none"/>
        </w:rPr>
      </w:pPr>
    </w:p>
    <w:p w14:paraId="68C4C056">
      <w:pPr>
        <w:pStyle w:val="2"/>
        <w:rPr>
          <w:rFonts w:hint="eastAsia" w:ascii="仿宋" w:hAnsi="仿宋" w:eastAsia="仿宋" w:cs="仿宋"/>
          <w:b w:val="0"/>
          <w:bCs w:val="0"/>
          <w:color w:val="auto"/>
          <w:sz w:val="32"/>
          <w:szCs w:val="32"/>
          <w:highlight w:val="none"/>
        </w:rPr>
      </w:pPr>
    </w:p>
    <w:p w14:paraId="01F0B114">
      <w:pPr>
        <w:pStyle w:val="2"/>
        <w:rPr>
          <w:rFonts w:hint="eastAsia" w:ascii="仿宋" w:hAnsi="仿宋" w:eastAsia="仿宋" w:cs="仿宋"/>
          <w:b w:val="0"/>
          <w:bCs w:val="0"/>
          <w:color w:val="auto"/>
          <w:sz w:val="32"/>
          <w:szCs w:val="32"/>
          <w:highlight w:val="none"/>
        </w:rPr>
      </w:pPr>
    </w:p>
    <w:p w14:paraId="4800E16F">
      <w:pPr>
        <w:pStyle w:val="2"/>
        <w:rPr>
          <w:rFonts w:hint="eastAsia" w:ascii="仿宋" w:hAnsi="仿宋" w:eastAsia="仿宋" w:cs="仿宋"/>
          <w:b w:val="0"/>
          <w:bCs w:val="0"/>
          <w:color w:val="auto"/>
          <w:sz w:val="32"/>
          <w:szCs w:val="32"/>
          <w:highlight w:val="none"/>
        </w:rPr>
      </w:pPr>
    </w:p>
    <w:p w14:paraId="591966E0">
      <w:pPr>
        <w:pStyle w:val="2"/>
        <w:rPr>
          <w:rFonts w:hint="eastAsia" w:ascii="仿宋" w:hAnsi="仿宋" w:eastAsia="仿宋" w:cs="仿宋"/>
          <w:b w:val="0"/>
          <w:bCs w:val="0"/>
          <w:color w:val="auto"/>
          <w:sz w:val="32"/>
          <w:szCs w:val="32"/>
          <w:highlight w:val="none"/>
        </w:rPr>
      </w:pPr>
    </w:p>
    <w:p w14:paraId="198A7FC5">
      <w:pPr>
        <w:pStyle w:val="2"/>
        <w:rPr>
          <w:rFonts w:hint="eastAsia" w:ascii="仿宋" w:hAnsi="仿宋" w:eastAsia="仿宋" w:cs="仿宋"/>
          <w:b w:val="0"/>
          <w:bCs w:val="0"/>
          <w:color w:val="auto"/>
          <w:sz w:val="32"/>
          <w:szCs w:val="32"/>
          <w:highlight w:val="none"/>
        </w:rPr>
      </w:pPr>
    </w:p>
    <w:p w14:paraId="11E0BA97">
      <w:pPr>
        <w:pStyle w:val="2"/>
        <w:rPr>
          <w:rFonts w:hint="eastAsia" w:ascii="仿宋" w:hAnsi="仿宋" w:eastAsia="仿宋" w:cs="仿宋"/>
          <w:b w:val="0"/>
          <w:bCs w:val="0"/>
          <w:color w:val="auto"/>
          <w:sz w:val="32"/>
          <w:szCs w:val="32"/>
          <w:highlight w:val="none"/>
        </w:rPr>
      </w:pPr>
    </w:p>
    <w:p w14:paraId="44753AFC">
      <w:pPr>
        <w:pStyle w:val="2"/>
        <w:rPr>
          <w:rFonts w:hint="eastAsia" w:ascii="仿宋" w:hAnsi="仿宋" w:eastAsia="仿宋" w:cs="仿宋"/>
          <w:b w:val="0"/>
          <w:bCs w:val="0"/>
          <w:color w:val="auto"/>
          <w:sz w:val="32"/>
          <w:szCs w:val="32"/>
          <w:highlight w:val="none"/>
        </w:rPr>
      </w:pPr>
    </w:p>
    <w:p w14:paraId="1F3D5051">
      <w:pPr>
        <w:pStyle w:val="2"/>
        <w:rPr>
          <w:rFonts w:hint="eastAsia" w:ascii="仿宋" w:hAnsi="仿宋" w:eastAsia="仿宋" w:cs="仿宋"/>
          <w:b w:val="0"/>
          <w:bCs w:val="0"/>
          <w:color w:val="auto"/>
          <w:sz w:val="32"/>
          <w:szCs w:val="32"/>
          <w:highlight w:val="none"/>
        </w:rPr>
      </w:pPr>
    </w:p>
    <w:p w14:paraId="79AC7C53">
      <w:pPr>
        <w:pStyle w:val="2"/>
        <w:rPr>
          <w:rFonts w:hint="eastAsia" w:ascii="仿宋" w:hAnsi="仿宋" w:eastAsia="仿宋" w:cs="仿宋"/>
          <w:b w:val="0"/>
          <w:bCs w:val="0"/>
          <w:color w:val="auto"/>
          <w:sz w:val="32"/>
          <w:szCs w:val="32"/>
          <w:highlight w:val="none"/>
        </w:rPr>
      </w:pPr>
    </w:p>
    <w:p w14:paraId="189C6C7A">
      <w:pPr>
        <w:pStyle w:val="2"/>
        <w:rPr>
          <w:rFonts w:hint="eastAsia" w:ascii="仿宋" w:hAnsi="仿宋" w:eastAsia="仿宋" w:cs="仿宋"/>
          <w:b w:val="0"/>
          <w:bCs w:val="0"/>
          <w:color w:val="auto"/>
          <w:sz w:val="32"/>
          <w:szCs w:val="32"/>
          <w:highlight w:val="none"/>
        </w:rPr>
      </w:pPr>
    </w:p>
    <w:p w14:paraId="3D642DC9">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rPr>
        <w:t>单位决算情况说明</w:t>
      </w:r>
      <w:bookmarkEnd w:id="16"/>
      <w:bookmarkEnd w:id="17"/>
    </w:p>
    <w:p w14:paraId="14A000B5">
      <w:pPr>
        <w:rPr>
          <w:color w:val="auto"/>
          <w:highlight w:val="none"/>
        </w:rPr>
      </w:pPr>
    </w:p>
    <w:p w14:paraId="433D01A6">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14:paraId="45F27AD6">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485.93万元</w:t>
      </w:r>
      <w:r>
        <w:rPr>
          <w:rFonts w:hint="eastAsia" w:ascii="仿宋" w:hAnsi="仿宋" w:eastAsia="仿宋"/>
          <w:color w:val="auto"/>
          <w:sz w:val="32"/>
          <w:szCs w:val="32"/>
          <w:highlight w:val="none"/>
        </w:rPr>
        <w:t>。与2020年相比，收、支总计各</w:t>
      </w:r>
      <w:r>
        <w:rPr>
          <w:rFonts w:hint="eastAsia" w:ascii="仿宋" w:hAnsi="仿宋" w:eastAsia="仿宋"/>
          <w:color w:val="auto"/>
          <w:sz w:val="32"/>
          <w:szCs w:val="32"/>
          <w:highlight w:val="none"/>
          <w:lang w:eastAsia="zh-CN"/>
        </w:rPr>
        <w:t>减少72.01万元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下降12.9%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14:paraId="0559C5F6">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96604"/>
      <w:bookmarkStart w:id="21" w:name="_Toc15377206"/>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14:paraId="3D91B094">
      <w:pPr>
        <w:spacing w:line="600" w:lineRule="exact"/>
        <w:ind w:firstLine="640" w:firstLineChars="200"/>
        <w:outlineLvl w:val="1"/>
        <w:rPr>
          <w:rFonts w:hint="eastAsia"/>
          <w:color w:val="auto"/>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485.93万元</w:t>
      </w:r>
      <w:r>
        <w:rPr>
          <w:rFonts w:hint="eastAsia" w:ascii="仿宋" w:hAnsi="仿宋" w:eastAsia="仿宋"/>
          <w:color w:val="auto"/>
          <w:sz w:val="32"/>
          <w:szCs w:val="32"/>
          <w:highlight w:val="none"/>
        </w:rPr>
        <w:t>，其中：一般公共预算财政拨款收入</w:t>
      </w:r>
      <w:r>
        <w:rPr>
          <w:rFonts w:hint="eastAsia" w:ascii="仿宋" w:hAnsi="仿宋" w:eastAsia="仿宋"/>
          <w:color w:val="auto"/>
          <w:sz w:val="32"/>
          <w:szCs w:val="32"/>
          <w:highlight w:val="none"/>
          <w:lang w:val="en-US" w:eastAsia="zh-CN"/>
        </w:rPr>
        <w:t>484.43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99.69</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0.31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2E769024">
      <w:pPr>
        <w:pStyle w:val="17"/>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6432" behindDoc="0" locked="0" layoutInCell="1" allowOverlap="1">
            <wp:simplePos x="0" y="0"/>
            <wp:positionH relativeFrom="column">
              <wp:posOffset>-39370</wp:posOffset>
            </wp:positionH>
            <wp:positionV relativeFrom="paragraph">
              <wp:posOffset>295275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32872A7">
      <w:pPr>
        <w:pStyle w:val="17"/>
        <w:ind w:left="0" w:leftChars="0" w:firstLine="640" w:firstLineChars="200"/>
        <w:rPr>
          <w:rStyle w:val="31"/>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14:paraId="4F6318C5">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485.93万元</w:t>
      </w:r>
      <w:r>
        <w:rPr>
          <w:rFonts w:hint="eastAsia" w:ascii="仿宋" w:hAnsi="仿宋" w:eastAsia="仿宋"/>
          <w:color w:val="auto"/>
          <w:sz w:val="32"/>
          <w:szCs w:val="32"/>
          <w:highlight w:val="none"/>
        </w:rPr>
        <w:t>，其中：基本支出</w:t>
      </w:r>
      <w:r>
        <w:rPr>
          <w:rFonts w:hint="eastAsia" w:ascii="仿宋" w:hAnsi="仿宋" w:eastAsia="仿宋"/>
          <w:color w:val="auto"/>
          <w:sz w:val="32"/>
          <w:szCs w:val="32"/>
          <w:highlight w:val="none"/>
          <w:lang w:val="en-US" w:eastAsia="zh-CN"/>
        </w:rPr>
        <w:t>388.43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79.94%</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97.50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20.06%</w:t>
      </w:r>
      <w:r>
        <w:rPr>
          <w:rFonts w:hint="eastAsia" w:ascii="仿宋" w:hAnsi="仿宋" w:eastAsia="仿宋"/>
          <w:color w:val="auto"/>
          <w:sz w:val="32"/>
          <w:szCs w:val="32"/>
          <w:highlight w:val="none"/>
        </w:rPr>
        <w:t>。</w:t>
      </w:r>
    </w:p>
    <w:p w14:paraId="03C3AD10">
      <w:pPr>
        <w:spacing w:line="600" w:lineRule="exact"/>
        <w:ind w:firstLine="640" w:firstLineChars="200"/>
        <w:outlineLvl w:val="1"/>
        <w:rPr>
          <w:rStyle w:val="31"/>
          <w:rFonts w:ascii="黑体" w:hAnsi="黑体" w:eastAsia="黑体"/>
          <w:b w:val="0"/>
          <w:color w:val="auto"/>
          <w:highlight w:val="none"/>
        </w:rPr>
      </w:pPr>
      <w:bookmarkStart w:id="24" w:name="_Toc15396606"/>
      <w:bookmarkStart w:id="25" w:name="_Toc15377208"/>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14:paraId="096085DC">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485.93万元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减少72.01万元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下降12.9%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14:paraId="0CF246C5">
      <w:pPr>
        <w:pStyle w:val="17"/>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0E3D7641">
      <w:pPr>
        <w:spacing w:line="600" w:lineRule="exact"/>
        <w:ind w:firstLine="640" w:firstLineChars="200"/>
        <w:outlineLvl w:val="1"/>
        <w:rPr>
          <w:rStyle w:val="31"/>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14:paraId="0358F07B">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14:paraId="49F60682">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484.43万元</w:t>
      </w:r>
      <w:r>
        <w:rPr>
          <w:rFonts w:hint="eastAsia" w:ascii="仿宋" w:hAnsi="仿宋" w:eastAsia="仿宋"/>
          <w:color w:val="auto"/>
          <w:sz w:val="32"/>
          <w:szCs w:val="32"/>
          <w:highlight w:val="none"/>
        </w:rPr>
        <w:t>，占本年支出合计的</w:t>
      </w:r>
      <w:r>
        <w:rPr>
          <w:rFonts w:hint="eastAsia" w:ascii="仿宋" w:hAnsi="仿宋" w:eastAsia="仿宋"/>
          <w:color w:val="auto"/>
          <w:sz w:val="32"/>
          <w:szCs w:val="32"/>
          <w:highlight w:val="none"/>
          <w:lang w:val="en-US" w:eastAsia="zh-CN"/>
        </w:rPr>
        <w:t>99.7%</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554.94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70.51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12.71</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14:paraId="64FB11A9">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14:paraId="2C700C2C">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484.43万元</w:t>
      </w:r>
      <w:r>
        <w:rPr>
          <w:rFonts w:hint="eastAsia" w:ascii="仿宋" w:hAnsi="仿宋" w:eastAsia="仿宋"/>
          <w:color w:val="auto"/>
          <w:sz w:val="32"/>
          <w:szCs w:val="32"/>
          <w:highlight w:val="none"/>
        </w:rPr>
        <w:t>，主要用于以下方面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484.43万元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197B7B4F">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14:paraId="405CC1E5">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8460"/>
      <w:bookmarkStart w:id="33"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484.43万元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14:paraId="15F59C60">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1.教育205（类）普通教育02（款）小学教育02（项）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383.61</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14:paraId="0E431DD2">
      <w:pPr>
        <w:spacing w:line="600" w:lineRule="exact"/>
        <w:ind w:firstLine="643" w:firstLineChars="200"/>
        <w:rPr>
          <w:rStyle w:val="20"/>
          <w:rFonts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2</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其他普通教育</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96</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14:paraId="604885BB">
      <w:pPr>
        <w:spacing w:line="600" w:lineRule="exact"/>
        <w:ind w:firstLine="643" w:firstLineChars="200"/>
        <w:rPr>
          <w:rStyle w:val="20"/>
          <w:rFonts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lang w:val="en-US" w:eastAsia="zh-CN"/>
        </w:rPr>
        <w:t>3</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lang w:eastAsia="zh-CN"/>
        </w:rPr>
        <w:t>社会保障和就业</w:t>
      </w:r>
      <w:r>
        <w:rPr>
          <w:rStyle w:val="20"/>
          <w:rFonts w:hint="eastAsia" w:ascii="仿宋" w:hAnsi="仿宋" w:eastAsia="仿宋"/>
          <w:bCs/>
          <w:color w:val="auto"/>
          <w:sz w:val="32"/>
          <w:szCs w:val="32"/>
          <w:highlight w:val="none"/>
        </w:rPr>
        <w:t>20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（类）</w:t>
      </w:r>
      <w:r>
        <w:rPr>
          <w:rStyle w:val="20"/>
          <w:rFonts w:hint="eastAsia" w:ascii="仿宋" w:hAnsi="仿宋" w:eastAsia="仿宋"/>
          <w:bCs/>
          <w:color w:val="auto"/>
          <w:sz w:val="32"/>
          <w:szCs w:val="32"/>
          <w:highlight w:val="none"/>
          <w:lang w:eastAsia="zh-CN"/>
        </w:rPr>
        <w:t>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其死亡抚恤</w:t>
      </w:r>
      <w:r>
        <w:rPr>
          <w:rStyle w:val="20"/>
          <w:rFonts w:hint="eastAsia" w:ascii="仿宋" w:hAnsi="仿宋" w:eastAsia="仿宋"/>
          <w:bCs/>
          <w:color w:val="auto"/>
          <w:sz w:val="32"/>
          <w:szCs w:val="32"/>
          <w:highlight w:val="none"/>
          <w:lang w:val="en-US" w:eastAsia="zh-CN"/>
        </w:rPr>
        <w:t>01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4.82</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14:paraId="29762CEE">
      <w:pPr>
        <w:pStyle w:val="17"/>
        <w:rPr>
          <w:color w:val="auto"/>
          <w:highlight w:val="none"/>
        </w:rPr>
      </w:pPr>
    </w:p>
    <w:p w14:paraId="1E9FE731">
      <w:pPr>
        <w:tabs>
          <w:tab w:val="right" w:pos="8306"/>
        </w:tabs>
        <w:spacing w:line="600" w:lineRule="exact"/>
        <w:ind w:firstLine="640"/>
        <w:outlineLvl w:val="1"/>
        <w:rPr>
          <w:rStyle w:val="31"/>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14:paraId="32211CCE">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388.43</w:t>
      </w:r>
      <w:r>
        <w:rPr>
          <w:rFonts w:hint="eastAsia" w:ascii="仿宋" w:hAnsi="仿宋" w:eastAsia="仿宋"/>
          <w:color w:val="auto"/>
          <w:sz w:val="32"/>
          <w:szCs w:val="32"/>
          <w:highlight w:val="none"/>
        </w:rPr>
        <w:t>万元，其中：</w:t>
      </w:r>
    </w:p>
    <w:p w14:paraId="67E28D93">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351.53</w:t>
      </w:r>
      <w:r>
        <w:rPr>
          <w:rFonts w:hint="eastAsia" w:ascii="仿宋" w:hAnsi="仿宋" w:eastAsia="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w:t>
      </w:r>
      <w:r>
        <w:rPr>
          <w:rFonts w:hint="eastAsia" w:ascii="仿宋" w:hAnsi="仿宋" w:eastAsia="仿宋"/>
          <w:color w:val="auto"/>
          <w:sz w:val="32"/>
          <w:szCs w:val="32"/>
          <w:highlight w:val="none"/>
          <w:lang w:eastAsia="zh-CN"/>
        </w:rPr>
        <w:t>抚恤金、</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w:t>
      </w:r>
      <w:r>
        <w:rPr>
          <w:rFonts w:hint="eastAsia" w:ascii="仿宋" w:hAnsi="仿宋" w:eastAsia="仿宋"/>
          <w:color w:val="auto"/>
          <w:sz w:val="32"/>
          <w:szCs w:val="32"/>
          <w:highlight w:val="none"/>
          <w:lang w:eastAsia="zh-CN"/>
        </w:rPr>
        <w:t>、其他个人和家庭的补助支出</w:t>
      </w:r>
      <w:r>
        <w:rPr>
          <w:rFonts w:hint="eastAsia" w:ascii="仿宋" w:hAnsi="仿宋" w:eastAsia="仿宋"/>
          <w:color w:val="auto"/>
          <w:sz w:val="32"/>
          <w:szCs w:val="32"/>
          <w:highlight w:val="none"/>
        </w:rPr>
        <w:t>等。</w:t>
      </w:r>
    </w:p>
    <w:p w14:paraId="5CCDFA82">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36.90</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2F305540">
      <w:pPr>
        <w:spacing w:line="600" w:lineRule="exact"/>
        <w:ind w:firstLine="640"/>
        <w:outlineLvl w:val="1"/>
        <w:rPr>
          <w:rStyle w:val="31"/>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14:paraId="01835EEF">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14:paraId="7D453E5C">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0.65万元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95.59%</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2DDD188C">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14:paraId="1E3FDAB7">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0.65万元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670C556B">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14:paraId="46508F35">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14:paraId="1831F1F9">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14:paraId="22C17ADE">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083EED28">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40C63F26">
      <w:pPr>
        <w:spacing w:line="600" w:lineRule="exact"/>
        <w:ind w:firstLine="643" w:firstLineChars="20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0.65万元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95.59%</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减少0.03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下降4.41</w:t>
      </w:r>
      <w:r>
        <w:rPr>
          <w:rFonts w:hint="eastAsia" w:ascii="仿宋" w:hAnsi="仿宋" w:eastAsia="仿宋" w:cs="仿宋"/>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0BA62EB2">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0.65万元</w:t>
      </w:r>
      <w:r>
        <w:rPr>
          <w:rFonts w:hint="default" w:ascii="Times New Roman" w:hAnsi="Times New Roman" w:eastAsia="仿宋" w:cs="Times New Roman"/>
          <w:color w:val="auto"/>
          <w:sz w:val="32"/>
          <w:szCs w:val="32"/>
          <w:highlight w:val="none"/>
        </w:rPr>
        <w:t>，主要用于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39</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107</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0.65万元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交流0.3万元、</w:t>
      </w:r>
      <w:r>
        <w:rPr>
          <w:rFonts w:hint="eastAsia" w:ascii="仿宋_GB2312" w:eastAsia="仿宋_GB2312"/>
          <w:color w:val="auto"/>
          <w:sz w:val="32"/>
          <w:szCs w:val="32"/>
          <w:highlight w:val="none"/>
          <w:lang w:val="en-US" w:eastAsia="zh-CN"/>
        </w:rPr>
        <w:t>学生活动费及运动会学生用餐、交通费、体检费等0.25万元。</w:t>
      </w:r>
    </w:p>
    <w:p w14:paraId="662ABDFC">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30EC9D3C">
      <w:pPr>
        <w:spacing w:line="600" w:lineRule="exact"/>
        <w:outlineLvl w:val="1"/>
        <w:rPr>
          <w:rFonts w:ascii="黑体" w:eastAsia="黑体"/>
          <w:color w:val="auto"/>
          <w:sz w:val="32"/>
          <w:szCs w:val="32"/>
          <w:highlight w:val="none"/>
        </w:rPr>
      </w:pPr>
      <w:bookmarkStart w:id="40" w:name="_Toc15377218"/>
      <w:bookmarkStart w:id="41" w:name="_Toc15396610"/>
    </w:p>
    <w:p w14:paraId="5E1D2BF0">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14:paraId="391B8A89">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3D355C7C">
      <w:pPr>
        <w:pStyle w:val="17"/>
        <w:rPr>
          <w:color w:val="auto"/>
          <w:highlight w:val="none"/>
        </w:rPr>
      </w:pPr>
    </w:p>
    <w:p w14:paraId="6AE77104">
      <w:pPr>
        <w:numPr>
          <w:ilvl w:val="0"/>
          <w:numId w:val="3"/>
        </w:numPr>
        <w:spacing w:line="600" w:lineRule="exact"/>
        <w:ind w:firstLine="640"/>
        <w:outlineLvl w:val="1"/>
        <w:rPr>
          <w:rStyle w:val="31"/>
          <w:rFonts w:ascii="黑体" w:hAnsi="黑体" w:eastAsia="黑体"/>
          <w:b w:val="0"/>
          <w:color w:val="auto"/>
          <w:highlight w:val="none"/>
        </w:rPr>
      </w:pPr>
      <w:bookmarkStart w:id="42" w:name="_Toc15396611"/>
      <w:bookmarkStart w:id="43" w:name="_Toc15377219"/>
      <w:r>
        <w:rPr>
          <w:rStyle w:val="31"/>
          <w:rFonts w:hint="eastAsia" w:ascii="黑体" w:hAnsi="黑体" w:eastAsia="黑体"/>
          <w:b w:val="0"/>
          <w:color w:val="auto"/>
          <w:highlight w:val="none"/>
        </w:rPr>
        <w:t>国有资本经营预算支出决算情况说明</w:t>
      </w:r>
      <w:bookmarkEnd w:id="42"/>
      <w:bookmarkEnd w:id="43"/>
    </w:p>
    <w:p w14:paraId="62418ADC">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424FA449">
      <w:pPr>
        <w:spacing w:line="580" w:lineRule="exact"/>
        <w:rPr>
          <w:rFonts w:ascii="方正小标宋简体" w:hAnsi="方正小标宋简体" w:eastAsia="方正小标宋简体" w:cs="方正小标宋简体"/>
          <w:color w:val="auto"/>
          <w:sz w:val="44"/>
          <w:szCs w:val="44"/>
          <w:highlight w:val="none"/>
        </w:rPr>
      </w:pPr>
    </w:p>
    <w:p w14:paraId="7ED6EEAF">
      <w:pPr>
        <w:numPr>
          <w:ilvl w:val="0"/>
          <w:numId w:val="3"/>
        </w:numPr>
        <w:spacing w:line="600" w:lineRule="exact"/>
        <w:ind w:firstLine="640"/>
        <w:outlineLvl w:val="1"/>
        <w:rPr>
          <w:rStyle w:val="31"/>
          <w:rFonts w:ascii="黑体" w:hAnsi="黑体" w:eastAsia="黑体"/>
          <w:b w:val="0"/>
          <w:color w:val="auto"/>
          <w:highlight w:val="none"/>
        </w:rPr>
      </w:pPr>
      <w:bookmarkStart w:id="44" w:name="_Toc15377221"/>
      <w:bookmarkStart w:id="45" w:name="_Toc15396612"/>
      <w:r>
        <w:rPr>
          <w:rStyle w:val="31"/>
          <w:rFonts w:hint="eastAsia" w:ascii="黑体" w:hAnsi="黑体" w:eastAsia="黑体"/>
          <w:b w:val="0"/>
          <w:color w:val="auto"/>
          <w:highlight w:val="none"/>
        </w:rPr>
        <w:t>预算绩效管理情况</w:t>
      </w:r>
    </w:p>
    <w:p w14:paraId="0B05C1D9">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对追加预算乡村少年宫运行经费项目和运动场改造项目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5E67E9B4">
      <w:pPr>
        <w:pStyle w:val="2"/>
        <w:spacing w:before="93"/>
        <w:rPr>
          <w:color w:val="auto"/>
          <w:highlight w:val="none"/>
        </w:rPr>
      </w:pPr>
    </w:p>
    <w:p w14:paraId="16127C5F">
      <w:pPr>
        <w:numPr>
          <w:ilvl w:val="0"/>
          <w:numId w:val="3"/>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14:paraId="6F559000">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14:paraId="593FC9C8">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74664291">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14:paraId="67511157">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763A4E8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14:paraId="377EE564">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20DA7888">
      <w:pPr>
        <w:pStyle w:val="2"/>
        <w:rPr>
          <w:rFonts w:hint="eastAsia" w:ascii="仿宋_GB2312" w:eastAsia="仿宋_GB2312"/>
          <w:color w:val="auto"/>
          <w:sz w:val="32"/>
          <w:szCs w:val="32"/>
          <w:highlight w:val="none"/>
        </w:rPr>
      </w:pPr>
    </w:p>
    <w:p w14:paraId="7263FB27">
      <w:pPr>
        <w:pStyle w:val="2"/>
        <w:rPr>
          <w:rFonts w:hint="eastAsia" w:ascii="仿宋_GB2312" w:eastAsia="仿宋_GB2312"/>
          <w:color w:val="auto"/>
          <w:sz w:val="32"/>
          <w:szCs w:val="32"/>
          <w:highlight w:val="none"/>
        </w:rPr>
      </w:pPr>
    </w:p>
    <w:p w14:paraId="1D63BBEA">
      <w:pPr>
        <w:pStyle w:val="2"/>
        <w:rPr>
          <w:rFonts w:hint="eastAsia" w:ascii="仿宋_GB2312" w:eastAsia="仿宋_GB2312"/>
          <w:color w:val="auto"/>
          <w:sz w:val="32"/>
          <w:szCs w:val="32"/>
          <w:highlight w:val="none"/>
        </w:rPr>
      </w:pPr>
    </w:p>
    <w:p w14:paraId="72A5CECB">
      <w:pPr>
        <w:pStyle w:val="2"/>
        <w:rPr>
          <w:rFonts w:hint="eastAsia" w:ascii="仿宋_GB2312" w:eastAsia="仿宋_GB2312"/>
          <w:color w:val="auto"/>
          <w:sz w:val="32"/>
          <w:szCs w:val="32"/>
          <w:highlight w:val="none"/>
        </w:rPr>
      </w:pPr>
    </w:p>
    <w:p w14:paraId="4409A8F7">
      <w:pPr>
        <w:pStyle w:val="2"/>
        <w:rPr>
          <w:rFonts w:hint="eastAsia" w:ascii="仿宋_GB2312" w:eastAsia="仿宋_GB2312"/>
          <w:color w:val="auto"/>
          <w:sz w:val="32"/>
          <w:szCs w:val="32"/>
          <w:highlight w:val="none"/>
        </w:rPr>
      </w:pPr>
    </w:p>
    <w:p w14:paraId="0E3EA28C">
      <w:pPr>
        <w:pStyle w:val="2"/>
        <w:rPr>
          <w:rFonts w:hint="eastAsia" w:ascii="仿宋_GB2312" w:eastAsia="仿宋_GB2312"/>
          <w:color w:val="auto"/>
          <w:sz w:val="32"/>
          <w:szCs w:val="32"/>
          <w:highlight w:val="none"/>
        </w:rPr>
      </w:pPr>
    </w:p>
    <w:p w14:paraId="1DEEBAC3">
      <w:pPr>
        <w:pStyle w:val="2"/>
        <w:rPr>
          <w:rFonts w:hint="eastAsia" w:ascii="仿宋_GB2312" w:eastAsia="仿宋_GB2312"/>
          <w:color w:val="auto"/>
          <w:sz w:val="32"/>
          <w:szCs w:val="32"/>
          <w:highlight w:val="none"/>
        </w:rPr>
      </w:pPr>
    </w:p>
    <w:p w14:paraId="2C331643">
      <w:pPr>
        <w:pStyle w:val="2"/>
        <w:rPr>
          <w:rFonts w:hint="eastAsia" w:ascii="仿宋_GB2312" w:eastAsia="仿宋_GB2312"/>
          <w:color w:val="auto"/>
          <w:sz w:val="32"/>
          <w:szCs w:val="32"/>
          <w:highlight w:val="none"/>
        </w:rPr>
      </w:pPr>
    </w:p>
    <w:p w14:paraId="4BBBE95E">
      <w:pPr>
        <w:pStyle w:val="2"/>
        <w:rPr>
          <w:rFonts w:hint="eastAsia" w:ascii="仿宋_GB2312" w:eastAsia="仿宋_GB2312"/>
          <w:color w:val="auto"/>
          <w:sz w:val="32"/>
          <w:szCs w:val="32"/>
          <w:highlight w:val="none"/>
        </w:rPr>
      </w:pPr>
    </w:p>
    <w:p w14:paraId="78A4D468">
      <w:pPr>
        <w:pStyle w:val="2"/>
        <w:rPr>
          <w:rFonts w:hint="eastAsia" w:ascii="仿宋_GB2312" w:eastAsia="仿宋_GB2312"/>
          <w:color w:val="auto"/>
          <w:sz w:val="32"/>
          <w:szCs w:val="32"/>
          <w:highlight w:val="none"/>
        </w:rPr>
      </w:pPr>
    </w:p>
    <w:p w14:paraId="70CCDF12">
      <w:pPr>
        <w:pStyle w:val="2"/>
        <w:rPr>
          <w:rFonts w:hint="eastAsia" w:ascii="仿宋_GB2312" w:eastAsia="仿宋_GB2312"/>
          <w:color w:val="auto"/>
          <w:sz w:val="32"/>
          <w:szCs w:val="32"/>
          <w:highlight w:val="none"/>
        </w:rPr>
      </w:pPr>
    </w:p>
    <w:p w14:paraId="376ED690">
      <w:pPr>
        <w:pStyle w:val="2"/>
        <w:rPr>
          <w:rFonts w:hint="eastAsia" w:ascii="仿宋_GB2312" w:eastAsia="仿宋_GB2312"/>
          <w:color w:val="auto"/>
          <w:sz w:val="32"/>
          <w:szCs w:val="32"/>
          <w:highlight w:val="none"/>
        </w:rPr>
      </w:pPr>
    </w:p>
    <w:p w14:paraId="6F5DBA4E">
      <w:pPr>
        <w:pStyle w:val="2"/>
        <w:rPr>
          <w:rFonts w:hint="eastAsia" w:ascii="仿宋_GB2312" w:eastAsia="仿宋_GB2312"/>
          <w:color w:val="auto"/>
          <w:sz w:val="32"/>
          <w:szCs w:val="32"/>
          <w:highlight w:val="none"/>
        </w:rPr>
      </w:pPr>
    </w:p>
    <w:p w14:paraId="0F9BA5EB">
      <w:pPr>
        <w:pStyle w:val="2"/>
        <w:rPr>
          <w:rFonts w:hint="eastAsia" w:ascii="仿宋_GB2312" w:eastAsia="仿宋_GB2312"/>
          <w:color w:val="auto"/>
          <w:sz w:val="32"/>
          <w:szCs w:val="32"/>
          <w:highlight w:val="none"/>
        </w:rPr>
      </w:pPr>
    </w:p>
    <w:p w14:paraId="6DEA18DD">
      <w:pPr>
        <w:pStyle w:val="2"/>
        <w:rPr>
          <w:rFonts w:hint="eastAsia" w:ascii="仿宋_GB2312" w:eastAsia="仿宋_GB2312"/>
          <w:color w:val="auto"/>
          <w:sz w:val="32"/>
          <w:szCs w:val="32"/>
          <w:highlight w:val="none"/>
        </w:rPr>
      </w:pPr>
    </w:p>
    <w:p w14:paraId="399BD552">
      <w:pPr>
        <w:pStyle w:val="2"/>
        <w:rPr>
          <w:rFonts w:hint="eastAsia" w:ascii="仿宋_GB2312" w:eastAsia="仿宋_GB2312"/>
          <w:color w:val="auto"/>
          <w:sz w:val="32"/>
          <w:szCs w:val="32"/>
          <w:highlight w:val="none"/>
        </w:rPr>
      </w:pPr>
    </w:p>
    <w:p w14:paraId="1E001FB2">
      <w:pPr>
        <w:numPr>
          <w:ilvl w:val="0"/>
          <w:numId w:val="4"/>
        </w:numPr>
        <w:spacing w:line="600" w:lineRule="exact"/>
        <w:ind w:firstLine="660" w:firstLineChars="150"/>
        <w:jc w:val="center"/>
        <w:outlineLvl w:val="0"/>
        <w:rPr>
          <w:rStyle w:val="30"/>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14:paraId="4D4DB4FE">
      <w:pPr>
        <w:spacing w:line="600" w:lineRule="exact"/>
        <w:jc w:val="left"/>
        <w:rPr>
          <w:rFonts w:ascii="宋体"/>
          <w:b/>
          <w:color w:val="auto"/>
          <w:sz w:val="44"/>
          <w:szCs w:val="44"/>
          <w:highlight w:val="none"/>
        </w:rPr>
      </w:pPr>
    </w:p>
    <w:p w14:paraId="09551DF0">
      <w:pPr>
        <w:pStyle w:val="2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1EB42624">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0D3428B8">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461FE38E">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6D726E24">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34765EE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2BFE2E94">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14:paraId="15494AE1">
      <w:pPr>
        <w:ind w:firstLine="640" w:firstLineChars="200"/>
        <w:rPr>
          <w:rFonts w:hint="eastAsia" w:ascii="仿宋_GB2312" w:eastAsia="仿宋_GB2312"/>
          <w:color w:val="auto"/>
          <w:sz w:val="32"/>
          <w:szCs w:val="32"/>
          <w:highlight w:val="none"/>
        </w:rPr>
      </w:pPr>
      <w:bookmarkStart w:id="51" w:name="_Toc15377226"/>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14:paraId="7983295A">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14:paraId="4082D1A8">
      <w:pPr>
        <w:pStyle w:val="17"/>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14:paraId="1C236BD3">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51FD47EA">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3B96F497">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092DD7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0CD089AA">
      <w:pPr>
        <w:pStyle w:val="28"/>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45E63BA">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14:paraId="783D6BD8">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72C86FEF">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19FEE0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20F8AB2E">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2440A433">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13F7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AD8DD">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360336</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02B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B3A1">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广元市昭化区红岩镇小学</w:t>
            </w:r>
          </w:p>
        </w:tc>
      </w:tr>
      <w:tr w14:paraId="020D9A51">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6575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153483B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4D84D19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CD2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868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49FB">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9071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r>
      <w:tr w14:paraId="486933F0">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559DA">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1E0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172D303B">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A6D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B13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57A7EAA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52F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r>
      <w:tr w14:paraId="557E63F1">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21A55">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281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C19E">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175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2289">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467BBE5A">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1AE2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5F462B2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1C5B6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6B59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42EFACCC">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9C61A">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5C89730C">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7FB4CB70">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6451D021">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5074E9A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2890355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4FEA749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18ED">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4F5BA37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801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24F5DCD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5B09">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8E30">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7E925DF4">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5CEECA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C826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0F74F23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A53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C71C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0D75">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074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046C246F">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5DA71BE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DFA7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67874C3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473C">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3AEE10A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DE7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305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4ED2ABCB">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7510646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16A2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779BAD52">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0CB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C9C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F5B3">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6CAB3FEE">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2CEDF61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B7F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7D6F7BEF">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A577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4F2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C10C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004F8EFF">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032F06D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39CA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A1F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554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0430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6B99C">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5CB98049">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1676E34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B970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9C2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C72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4C8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4D9D">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1.5万元</w:t>
            </w:r>
          </w:p>
        </w:tc>
      </w:tr>
      <w:tr w14:paraId="1D292ECA">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62D0C1D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1C22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54D3329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32C6768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E3D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44A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929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40E4D57C">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616CA52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38C3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70212F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7A5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0E1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B062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5D4AC43D">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733DFA1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68C0B8F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52EEEEE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E554D5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6A459BD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86D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883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AA9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5F21A983">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62F0826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781B8AB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6A55A3A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0C5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BAD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B555">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14:paraId="4A13BDAF">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5380D3AD">
      <w:pPr>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8"/>
        <w:tblpPr w:leftFromText="180" w:rightFromText="180" w:vertAnchor="text" w:horzAnchor="page" w:tblpX="1702" w:tblpY="109"/>
        <w:tblOverlap w:val="never"/>
        <w:tblW w:w="9219" w:type="dxa"/>
        <w:tblInd w:w="0" w:type="dxa"/>
        <w:tblLayout w:type="fixed"/>
        <w:tblCellMar>
          <w:top w:w="0" w:type="dxa"/>
          <w:left w:w="108" w:type="dxa"/>
          <w:bottom w:w="0" w:type="dxa"/>
          <w:right w:w="108" w:type="dxa"/>
        </w:tblCellMar>
      </w:tblPr>
      <w:tblGrid>
        <w:gridCol w:w="1084"/>
        <w:gridCol w:w="979"/>
        <w:gridCol w:w="1183"/>
        <w:gridCol w:w="2325"/>
        <w:gridCol w:w="1147"/>
        <w:gridCol w:w="2265"/>
        <w:gridCol w:w="236"/>
      </w:tblGrid>
      <w:tr w14:paraId="5038E77A">
        <w:tblPrEx>
          <w:tblCellMar>
            <w:top w:w="0" w:type="dxa"/>
            <w:left w:w="108" w:type="dxa"/>
            <w:bottom w:w="0" w:type="dxa"/>
            <w:right w:w="108" w:type="dxa"/>
          </w:tblCellMar>
        </w:tblPrEx>
        <w:trPr>
          <w:trHeight w:val="583" w:hRule="atLeast"/>
        </w:trPr>
        <w:tc>
          <w:tcPr>
            <w:tcW w:w="8983" w:type="dxa"/>
            <w:gridSpan w:val="6"/>
            <w:tcBorders>
              <w:top w:val="nil"/>
              <w:left w:val="nil"/>
              <w:bottom w:val="nil"/>
              <w:right w:val="nil"/>
            </w:tcBorders>
            <w:shd w:val="clear" w:color="auto" w:fill="auto"/>
            <w:vAlign w:val="center"/>
          </w:tcPr>
          <w:p w14:paraId="74F8B3AF">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14:paraId="6F44A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（红岩镇小学运动场改造项目）</w:t>
            </w:r>
          </w:p>
        </w:tc>
        <w:tc>
          <w:tcPr>
            <w:tcW w:w="236" w:type="dxa"/>
            <w:tcBorders>
              <w:top w:val="nil"/>
              <w:left w:val="nil"/>
              <w:bottom w:val="nil"/>
              <w:right w:val="nil"/>
            </w:tcBorders>
            <w:shd w:val="clear" w:color="auto" w:fill="auto"/>
            <w:vAlign w:val="center"/>
          </w:tcPr>
          <w:p w14:paraId="33E276B6">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22183392">
        <w:tblPrEx>
          <w:tblCellMar>
            <w:top w:w="0" w:type="dxa"/>
            <w:left w:w="108" w:type="dxa"/>
            <w:bottom w:w="0" w:type="dxa"/>
            <w:right w:w="108" w:type="dxa"/>
          </w:tblCellMar>
        </w:tblPrEx>
        <w:trPr>
          <w:gridAfter w:val="1"/>
          <w:wAfter w:w="236" w:type="dxa"/>
          <w:trHeight w:val="513" w:hRule="atLeast"/>
        </w:trPr>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0E86C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19063">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360336</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92F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88A1">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广元市昭化区红岩镇小学</w:t>
            </w:r>
          </w:p>
        </w:tc>
      </w:tr>
      <w:tr w14:paraId="6DFA59D5">
        <w:tblPrEx>
          <w:tblCellMar>
            <w:top w:w="0" w:type="dxa"/>
            <w:left w:w="108" w:type="dxa"/>
            <w:bottom w:w="0" w:type="dxa"/>
            <w:right w:w="108" w:type="dxa"/>
          </w:tblCellMar>
        </w:tblPrEx>
        <w:trPr>
          <w:gridAfter w:val="1"/>
          <w:wAfter w:w="236" w:type="dxa"/>
          <w:trHeight w:val="336" w:hRule="atLeast"/>
        </w:trPr>
        <w:tc>
          <w:tcPr>
            <w:tcW w:w="2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025B4">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3C94DC2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57A1D74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ACB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725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96</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716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061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96</w:t>
            </w:r>
          </w:p>
        </w:tc>
      </w:tr>
      <w:tr w14:paraId="3658F25C">
        <w:tblPrEx>
          <w:tblCellMar>
            <w:top w:w="0" w:type="dxa"/>
            <w:left w:w="108" w:type="dxa"/>
            <w:bottom w:w="0" w:type="dxa"/>
            <w:right w:w="108" w:type="dxa"/>
          </w:tblCellMar>
        </w:tblPrEx>
        <w:trPr>
          <w:gridAfter w:val="1"/>
          <w:wAfter w:w="236" w:type="dxa"/>
          <w:trHeight w:val="609"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90BED">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21F3">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3953BBD7">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CCE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96</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F4C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7746C57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189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96</w:t>
            </w:r>
          </w:p>
        </w:tc>
      </w:tr>
      <w:tr w14:paraId="153CE42E">
        <w:tblPrEx>
          <w:tblCellMar>
            <w:top w:w="0" w:type="dxa"/>
            <w:left w:w="108" w:type="dxa"/>
            <w:bottom w:w="0" w:type="dxa"/>
            <w:right w:w="108" w:type="dxa"/>
          </w:tblCellMar>
        </w:tblPrEx>
        <w:trPr>
          <w:gridAfter w:val="1"/>
          <w:wAfter w:w="236" w:type="dxa"/>
          <w:trHeight w:val="336"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2121F">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EAA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EA27">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265F">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8340">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473B72F4">
        <w:tblPrEx>
          <w:tblCellMar>
            <w:top w:w="0" w:type="dxa"/>
            <w:left w:w="108" w:type="dxa"/>
            <w:bottom w:w="0" w:type="dxa"/>
            <w:right w:w="108" w:type="dxa"/>
          </w:tblCellMar>
        </w:tblPrEx>
        <w:trPr>
          <w:gridAfter w:val="1"/>
          <w:wAfter w:w="236" w:type="dxa"/>
          <w:trHeight w:val="317" w:hRule="atLeast"/>
        </w:trPr>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4A44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1F42F94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83081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9CBA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0558F8B9">
        <w:tblPrEx>
          <w:tblCellMar>
            <w:top w:w="0" w:type="dxa"/>
            <w:left w:w="108" w:type="dxa"/>
            <w:bottom w:w="0" w:type="dxa"/>
            <w:right w:w="108" w:type="dxa"/>
          </w:tblCellMar>
        </w:tblPrEx>
        <w:trPr>
          <w:gridAfter w:val="1"/>
          <w:wAfter w:w="236" w:type="dxa"/>
          <w:trHeight w:val="1455" w:hRule="atLeast"/>
        </w:trPr>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BDA6">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tcPr>
          <w:p w14:paraId="728C65BB">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运动场改造面积</w:t>
            </w:r>
            <w:r>
              <w:rPr>
                <w:rFonts w:hint="eastAsia" w:ascii="宋体" w:hAnsi="宋体" w:cs="宋体"/>
                <w:color w:val="auto"/>
                <w:sz w:val="22"/>
                <w:szCs w:val="22"/>
                <w:highlight w:val="none"/>
                <w:lang w:val="en-US" w:eastAsia="zh-CN"/>
              </w:rPr>
              <w:t>1950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tcPr>
          <w:p w14:paraId="51581102">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18"/>
                <w:szCs w:val="18"/>
                <w:highlight w:val="none"/>
                <w:lang w:eastAsia="zh-CN"/>
              </w:rPr>
              <w:t>完成</w:t>
            </w:r>
            <w:r>
              <w:rPr>
                <w:rFonts w:hint="eastAsia" w:ascii="宋体" w:hAnsi="宋体" w:cs="宋体"/>
                <w:color w:val="auto"/>
                <w:sz w:val="18"/>
                <w:szCs w:val="18"/>
                <w:highlight w:val="none"/>
                <w:lang w:val="en-US" w:eastAsia="zh-CN"/>
              </w:rPr>
              <w:t>1950</w:t>
            </w:r>
            <w:r>
              <w:rPr>
                <w:rFonts w:hint="default" w:ascii="宋体" w:hAnsi="宋体" w:cs="宋体"/>
                <w:color w:val="auto"/>
                <w:sz w:val="18"/>
                <w:szCs w:val="18"/>
                <w:highlight w:val="none"/>
              </w:rPr>
              <w:t>平方米</w:t>
            </w:r>
            <w:r>
              <w:rPr>
                <w:rFonts w:hint="eastAsia" w:ascii="宋体" w:hAnsi="宋体" w:cs="宋体"/>
                <w:color w:val="auto"/>
                <w:sz w:val="18"/>
                <w:szCs w:val="18"/>
                <w:highlight w:val="none"/>
                <w:lang w:eastAsia="zh-CN"/>
              </w:rPr>
              <w:t>的运动场改造，惠及</w:t>
            </w:r>
            <w:r>
              <w:rPr>
                <w:rFonts w:hint="eastAsia" w:ascii="宋体" w:hAnsi="宋体" w:cs="宋体"/>
                <w:color w:val="auto"/>
                <w:sz w:val="18"/>
                <w:szCs w:val="18"/>
                <w:highlight w:val="none"/>
                <w:lang w:val="en-US" w:eastAsia="zh-CN"/>
              </w:rPr>
              <w:t>95名学生，</w:t>
            </w:r>
            <w:r>
              <w:rPr>
                <w:rFonts w:hint="default" w:ascii="宋体" w:hAnsi="宋体" w:cs="宋体"/>
                <w:color w:val="auto"/>
                <w:sz w:val="18"/>
                <w:szCs w:val="18"/>
                <w:highlight w:val="none"/>
              </w:rPr>
              <w:t>改善</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学校办学条件和基础设施配套，提供</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高质量硬件设施设备，营造</w:t>
            </w:r>
            <w:r>
              <w:rPr>
                <w:rFonts w:hint="eastAsia" w:ascii="宋体" w:hAnsi="宋体" w:cs="宋体"/>
                <w:color w:val="auto"/>
                <w:sz w:val="18"/>
                <w:szCs w:val="18"/>
                <w:highlight w:val="none"/>
                <w:lang w:eastAsia="zh-CN"/>
              </w:rPr>
              <w:t>了</w:t>
            </w:r>
            <w:r>
              <w:rPr>
                <w:rFonts w:hint="default" w:ascii="宋体" w:hAnsi="宋体" w:cs="宋体"/>
                <w:color w:val="auto"/>
                <w:sz w:val="18"/>
                <w:szCs w:val="18"/>
                <w:highlight w:val="none"/>
              </w:rPr>
              <w:t>良好的学习氛围</w:t>
            </w:r>
            <w:r>
              <w:rPr>
                <w:rFonts w:hint="eastAsia" w:ascii="宋体" w:hAnsi="宋体" w:cs="宋体"/>
                <w:color w:val="auto"/>
                <w:sz w:val="18"/>
                <w:szCs w:val="18"/>
                <w:highlight w:val="none"/>
                <w:lang w:eastAsia="zh-CN"/>
              </w:rPr>
              <w:t>。</w:t>
            </w:r>
          </w:p>
        </w:tc>
      </w:tr>
      <w:tr w14:paraId="54F0DED1">
        <w:tblPrEx>
          <w:tblCellMar>
            <w:top w:w="0" w:type="dxa"/>
            <w:left w:w="108" w:type="dxa"/>
            <w:bottom w:w="0" w:type="dxa"/>
            <w:right w:w="108" w:type="dxa"/>
          </w:tblCellMar>
        </w:tblPrEx>
        <w:trPr>
          <w:gridAfter w:val="1"/>
          <w:wAfter w:w="236" w:type="dxa"/>
          <w:trHeight w:val="658" w:hRule="atLeast"/>
        </w:trPr>
        <w:tc>
          <w:tcPr>
            <w:tcW w:w="1084" w:type="dxa"/>
            <w:vMerge w:val="restart"/>
            <w:tcBorders>
              <w:top w:val="single" w:color="000000" w:sz="4" w:space="0"/>
              <w:left w:val="single" w:color="000000" w:sz="4" w:space="0"/>
              <w:right w:val="single" w:color="000000" w:sz="4" w:space="0"/>
            </w:tcBorders>
            <w:shd w:val="clear" w:color="auto" w:fill="auto"/>
            <w:vAlign w:val="center"/>
          </w:tcPr>
          <w:p w14:paraId="74E41D6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79" w:type="dxa"/>
            <w:tcBorders>
              <w:top w:val="single" w:color="000000" w:sz="4" w:space="0"/>
              <w:left w:val="nil"/>
              <w:bottom w:val="single" w:color="000000" w:sz="4" w:space="0"/>
              <w:right w:val="single" w:color="000000" w:sz="4" w:space="0"/>
            </w:tcBorders>
            <w:shd w:val="clear" w:color="auto" w:fill="auto"/>
            <w:vAlign w:val="center"/>
          </w:tcPr>
          <w:p w14:paraId="6DD5136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409E2D6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CC1E">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3FAC0ED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18F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30953E45">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FCB0">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35ED">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7B688486">
        <w:tblPrEx>
          <w:tblCellMar>
            <w:top w:w="0" w:type="dxa"/>
            <w:left w:w="108" w:type="dxa"/>
            <w:bottom w:w="0" w:type="dxa"/>
            <w:right w:w="108" w:type="dxa"/>
          </w:tblCellMar>
        </w:tblPrEx>
        <w:trPr>
          <w:gridAfter w:val="1"/>
          <w:wAfter w:w="236" w:type="dxa"/>
          <w:trHeight w:val="285" w:hRule="atLeast"/>
        </w:trPr>
        <w:tc>
          <w:tcPr>
            <w:tcW w:w="1084" w:type="dxa"/>
            <w:vMerge w:val="continue"/>
            <w:tcBorders>
              <w:left w:val="single" w:color="000000" w:sz="4" w:space="0"/>
              <w:right w:val="single" w:color="000000" w:sz="4" w:space="0"/>
            </w:tcBorders>
            <w:shd w:val="clear" w:color="auto" w:fill="auto"/>
            <w:vAlign w:val="center"/>
          </w:tcPr>
          <w:p w14:paraId="35B8128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3952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1D3CE84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B34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122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33A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1950m²</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F1A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1950m²</w:t>
            </w:r>
          </w:p>
        </w:tc>
      </w:tr>
      <w:tr w14:paraId="45100BDB">
        <w:tblPrEx>
          <w:tblCellMar>
            <w:top w:w="0" w:type="dxa"/>
            <w:left w:w="108" w:type="dxa"/>
            <w:bottom w:w="0" w:type="dxa"/>
            <w:right w:w="108" w:type="dxa"/>
          </w:tblCellMar>
        </w:tblPrEx>
        <w:trPr>
          <w:gridAfter w:val="1"/>
          <w:wAfter w:w="236" w:type="dxa"/>
          <w:trHeight w:val="365" w:hRule="atLeast"/>
        </w:trPr>
        <w:tc>
          <w:tcPr>
            <w:tcW w:w="1084" w:type="dxa"/>
            <w:vMerge w:val="continue"/>
            <w:tcBorders>
              <w:left w:val="single" w:color="000000" w:sz="4" w:space="0"/>
              <w:right w:val="single" w:color="000000" w:sz="4" w:space="0"/>
            </w:tcBorders>
            <w:shd w:val="clear" w:color="auto" w:fill="auto"/>
            <w:vAlign w:val="center"/>
          </w:tcPr>
          <w:p w14:paraId="1B91E30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A38A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restart"/>
            <w:tcBorders>
              <w:top w:val="single" w:color="000000" w:sz="4" w:space="0"/>
              <w:left w:val="single" w:color="000000" w:sz="4" w:space="0"/>
              <w:right w:val="single" w:color="000000" w:sz="4" w:space="0"/>
            </w:tcBorders>
            <w:shd w:val="clear" w:color="auto" w:fill="auto"/>
            <w:vAlign w:val="center"/>
          </w:tcPr>
          <w:p w14:paraId="1232A12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7DDAD">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6"/>
                <w:szCs w:val="16"/>
                <w:highlight w:val="none"/>
                <w:lang w:eastAsia="zh-CN"/>
              </w:rPr>
              <w:t>运动场改造</w:t>
            </w:r>
            <w:r>
              <w:rPr>
                <w:rFonts w:hint="default" w:ascii="仿宋_GB2312" w:hAnsi="仿宋_GB2312" w:eastAsia="仿宋_GB2312" w:cs="仿宋_GB2312"/>
                <w:color w:val="auto"/>
                <w:sz w:val="16"/>
                <w:szCs w:val="16"/>
                <w:highlight w:val="none"/>
              </w:rPr>
              <w:t>竣工验收合格率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946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6DA8">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14:paraId="425FA23A">
        <w:tblPrEx>
          <w:tblCellMar>
            <w:top w:w="0" w:type="dxa"/>
            <w:left w:w="108" w:type="dxa"/>
            <w:bottom w:w="0" w:type="dxa"/>
            <w:right w:w="108" w:type="dxa"/>
          </w:tblCellMar>
        </w:tblPrEx>
        <w:trPr>
          <w:gridAfter w:val="1"/>
          <w:wAfter w:w="236" w:type="dxa"/>
          <w:trHeight w:val="372" w:hRule="atLeast"/>
        </w:trPr>
        <w:tc>
          <w:tcPr>
            <w:tcW w:w="1084" w:type="dxa"/>
            <w:vMerge w:val="continue"/>
            <w:tcBorders>
              <w:left w:val="single" w:color="000000" w:sz="4" w:space="0"/>
              <w:right w:val="single" w:color="000000" w:sz="4" w:space="0"/>
            </w:tcBorders>
            <w:shd w:val="clear" w:color="auto" w:fill="auto"/>
            <w:vAlign w:val="center"/>
          </w:tcPr>
          <w:p w14:paraId="1CD492B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D1C8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right w:val="single" w:color="000000" w:sz="4" w:space="0"/>
            </w:tcBorders>
            <w:shd w:val="clear" w:color="auto" w:fill="auto"/>
            <w:vAlign w:val="center"/>
          </w:tcPr>
          <w:p w14:paraId="5A23995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EF09">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w:t>
            </w:r>
            <w:r>
              <w:rPr>
                <w:rFonts w:hint="default" w:ascii="仿宋_GB2312" w:hAnsi="仿宋_GB2312" w:eastAsia="仿宋_GB2312" w:cs="仿宋_GB2312"/>
                <w:color w:val="auto"/>
                <w:sz w:val="20"/>
                <w:szCs w:val="20"/>
                <w:highlight w:val="none"/>
              </w:rPr>
              <w:t>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759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DF7AC">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6F0FA976">
        <w:tblPrEx>
          <w:tblCellMar>
            <w:top w:w="0" w:type="dxa"/>
            <w:left w:w="108" w:type="dxa"/>
            <w:bottom w:w="0" w:type="dxa"/>
            <w:right w:w="108" w:type="dxa"/>
          </w:tblCellMar>
        </w:tblPrEx>
        <w:trPr>
          <w:gridAfter w:val="1"/>
          <w:wAfter w:w="236" w:type="dxa"/>
          <w:trHeight w:val="375" w:hRule="atLeast"/>
        </w:trPr>
        <w:tc>
          <w:tcPr>
            <w:tcW w:w="1084" w:type="dxa"/>
            <w:vMerge w:val="continue"/>
            <w:tcBorders>
              <w:left w:val="single" w:color="000000" w:sz="4" w:space="0"/>
              <w:right w:val="single" w:color="000000" w:sz="4" w:space="0"/>
            </w:tcBorders>
            <w:shd w:val="clear" w:color="auto" w:fill="auto"/>
            <w:vAlign w:val="center"/>
          </w:tcPr>
          <w:p w14:paraId="0471F99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241B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bottom w:val="single" w:color="000000" w:sz="4" w:space="0"/>
              <w:right w:val="single" w:color="000000" w:sz="4" w:space="0"/>
            </w:tcBorders>
            <w:shd w:val="clear" w:color="auto" w:fill="auto"/>
            <w:vAlign w:val="center"/>
          </w:tcPr>
          <w:p w14:paraId="2D80C69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BBB06">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B61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5600">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11CE837D">
        <w:tblPrEx>
          <w:tblCellMar>
            <w:top w:w="0" w:type="dxa"/>
            <w:left w:w="108" w:type="dxa"/>
            <w:bottom w:w="0" w:type="dxa"/>
            <w:right w:w="108" w:type="dxa"/>
          </w:tblCellMar>
        </w:tblPrEx>
        <w:trPr>
          <w:gridAfter w:val="1"/>
          <w:wAfter w:w="236" w:type="dxa"/>
          <w:trHeight w:val="348" w:hRule="atLeast"/>
        </w:trPr>
        <w:tc>
          <w:tcPr>
            <w:tcW w:w="1084" w:type="dxa"/>
            <w:vMerge w:val="continue"/>
            <w:tcBorders>
              <w:left w:val="single" w:color="000000" w:sz="4" w:space="0"/>
              <w:right w:val="single" w:color="000000" w:sz="4" w:space="0"/>
            </w:tcBorders>
            <w:shd w:val="clear" w:color="auto" w:fill="auto"/>
            <w:vAlign w:val="center"/>
          </w:tcPr>
          <w:p w14:paraId="1273310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A5C6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restart"/>
            <w:tcBorders>
              <w:top w:val="single" w:color="000000" w:sz="4" w:space="0"/>
              <w:left w:val="single" w:color="000000" w:sz="4" w:space="0"/>
              <w:right w:val="single" w:color="000000" w:sz="4" w:space="0"/>
            </w:tcBorders>
            <w:shd w:val="clear" w:color="auto" w:fill="auto"/>
            <w:vAlign w:val="center"/>
          </w:tcPr>
          <w:p w14:paraId="4E96B7A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4986">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运动场改造建设周期</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A37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4C6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365FE76A">
        <w:tblPrEx>
          <w:tblCellMar>
            <w:top w:w="0" w:type="dxa"/>
            <w:left w:w="108" w:type="dxa"/>
            <w:bottom w:w="0" w:type="dxa"/>
            <w:right w:w="108" w:type="dxa"/>
          </w:tblCellMar>
        </w:tblPrEx>
        <w:trPr>
          <w:gridAfter w:val="1"/>
          <w:wAfter w:w="236" w:type="dxa"/>
          <w:trHeight w:val="325" w:hRule="atLeast"/>
        </w:trPr>
        <w:tc>
          <w:tcPr>
            <w:tcW w:w="1084" w:type="dxa"/>
            <w:vMerge w:val="continue"/>
            <w:tcBorders>
              <w:left w:val="single" w:color="000000" w:sz="4" w:space="0"/>
              <w:right w:val="single" w:color="000000" w:sz="4" w:space="0"/>
            </w:tcBorders>
            <w:shd w:val="clear" w:color="auto" w:fill="auto"/>
            <w:vAlign w:val="center"/>
          </w:tcPr>
          <w:p w14:paraId="7B212A0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174E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bottom w:val="single" w:color="000000" w:sz="4" w:space="0"/>
              <w:right w:val="single" w:color="000000" w:sz="4" w:space="0"/>
            </w:tcBorders>
            <w:shd w:val="clear" w:color="auto" w:fill="auto"/>
            <w:vAlign w:val="center"/>
          </w:tcPr>
          <w:p w14:paraId="7AE23E1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AEC2">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607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CDE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r>
      <w:tr w14:paraId="2F445381">
        <w:tblPrEx>
          <w:tblCellMar>
            <w:top w:w="0" w:type="dxa"/>
            <w:left w:w="108" w:type="dxa"/>
            <w:bottom w:w="0" w:type="dxa"/>
            <w:right w:w="108" w:type="dxa"/>
          </w:tblCellMar>
        </w:tblPrEx>
        <w:trPr>
          <w:gridAfter w:val="1"/>
          <w:wAfter w:w="236" w:type="dxa"/>
          <w:trHeight w:val="601" w:hRule="atLeast"/>
        </w:trPr>
        <w:tc>
          <w:tcPr>
            <w:tcW w:w="1084" w:type="dxa"/>
            <w:vMerge w:val="continue"/>
            <w:tcBorders>
              <w:left w:val="single" w:color="000000" w:sz="4" w:space="0"/>
              <w:right w:val="single" w:color="000000" w:sz="4" w:space="0"/>
            </w:tcBorders>
            <w:shd w:val="clear" w:color="auto" w:fill="auto"/>
            <w:vAlign w:val="center"/>
          </w:tcPr>
          <w:p w14:paraId="7CEB647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928A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auto"/>
            <w:vAlign w:val="center"/>
          </w:tcPr>
          <w:p w14:paraId="03B37A6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0052">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w:t>
            </w:r>
            <w:r>
              <w:rPr>
                <w:rFonts w:hint="default" w:ascii="仿宋_GB2312" w:hAnsi="仿宋_GB2312" w:eastAsia="仿宋_GB2312" w:cs="仿宋_GB2312"/>
                <w:color w:val="auto"/>
                <w:sz w:val="20"/>
                <w:szCs w:val="20"/>
                <w:highlight w:val="none"/>
              </w:rPr>
              <w:t>类项目每平方米造价</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9FD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≤500元</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EE3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492元</w:t>
            </w:r>
          </w:p>
        </w:tc>
      </w:tr>
      <w:tr w14:paraId="6D229352">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14:paraId="4B5D28D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auto" w:sz="4" w:space="0"/>
            </w:tcBorders>
            <w:shd w:val="clear" w:color="auto" w:fill="auto"/>
            <w:vAlign w:val="center"/>
          </w:tcPr>
          <w:p w14:paraId="0132873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5AA8563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14:paraId="085ECAA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14:paraId="541A6FD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9FE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9FD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7A85B6CD">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14:paraId="7741CA5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right w:val="single" w:color="auto" w:sz="4" w:space="0"/>
            </w:tcBorders>
            <w:shd w:val="clear" w:color="auto" w:fill="auto"/>
            <w:vAlign w:val="center"/>
          </w:tcPr>
          <w:p w14:paraId="7F293C7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14:paraId="33052A4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14:paraId="69B3687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14:paraId="36273A8D">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BE9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21B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5007E2D2">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14:paraId="3932A5F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auto" w:sz="4" w:space="0"/>
            </w:tcBorders>
            <w:shd w:val="clear" w:color="auto" w:fill="auto"/>
            <w:vAlign w:val="center"/>
          </w:tcPr>
          <w:p w14:paraId="0374BFC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14:paraId="498A876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14:paraId="472D8C23">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FA82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083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14:paraId="120DF8EE">
        <w:tblPrEx>
          <w:tblCellMar>
            <w:top w:w="0" w:type="dxa"/>
            <w:left w:w="108" w:type="dxa"/>
            <w:bottom w:w="0" w:type="dxa"/>
            <w:right w:w="108" w:type="dxa"/>
          </w:tblCellMar>
        </w:tblPrEx>
        <w:trPr>
          <w:gridAfter w:val="1"/>
          <w:wAfter w:w="236" w:type="dxa"/>
          <w:trHeight w:val="701" w:hRule="atLeast"/>
        </w:trPr>
        <w:tc>
          <w:tcPr>
            <w:tcW w:w="1084" w:type="dxa"/>
            <w:vMerge w:val="continue"/>
            <w:tcBorders>
              <w:left w:val="single" w:color="000000" w:sz="4" w:space="0"/>
              <w:right w:val="single" w:color="000000" w:sz="4" w:space="0"/>
            </w:tcBorders>
            <w:shd w:val="clear" w:color="auto" w:fill="auto"/>
            <w:vAlign w:val="center"/>
          </w:tcPr>
          <w:p w14:paraId="5AA0600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000000" w:sz="4" w:space="0"/>
            </w:tcBorders>
            <w:shd w:val="clear" w:color="auto" w:fill="auto"/>
            <w:vAlign w:val="center"/>
          </w:tcPr>
          <w:p w14:paraId="17B9370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27B2B06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8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8E3F3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5C4908E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86D2">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E2E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3962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14:paraId="5ABFC5F1">
        <w:tblPrEx>
          <w:tblCellMar>
            <w:top w:w="0" w:type="dxa"/>
            <w:left w:w="108" w:type="dxa"/>
            <w:bottom w:w="0" w:type="dxa"/>
            <w:right w:w="108" w:type="dxa"/>
          </w:tblCellMar>
        </w:tblPrEx>
        <w:trPr>
          <w:gridAfter w:val="1"/>
          <w:wAfter w:w="236" w:type="dxa"/>
          <w:trHeight w:val="694" w:hRule="atLeast"/>
        </w:trPr>
        <w:tc>
          <w:tcPr>
            <w:tcW w:w="1084" w:type="dxa"/>
            <w:vMerge w:val="continue"/>
            <w:tcBorders>
              <w:left w:val="single" w:color="000000" w:sz="4" w:space="0"/>
              <w:bottom w:val="single" w:color="000000" w:sz="4" w:space="0"/>
              <w:right w:val="single" w:color="000000" w:sz="4" w:space="0"/>
            </w:tcBorders>
            <w:shd w:val="clear" w:color="auto" w:fill="auto"/>
            <w:vAlign w:val="center"/>
          </w:tcPr>
          <w:p w14:paraId="474F726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000000" w:sz="4" w:space="0"/>
            </w:tcBorders>
            <w:shd w:val="clear" w:color="auto" w:fill="auto"/>
            <w:vAlign w:val="center"/>
          </w:tcPr>
          <w:p w14:paraId="626CD908">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8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40691C">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E5DA">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9CA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DF73">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56D88F62">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14:paraId="100A6FF9">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14:paraId="12907AE1">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14:paraId="7926A6CE">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14:paraId="1D2AB408">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14:paraId="37896CEE">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14:paraId="15AC99D3">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14:paraId="78B5ADCC">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14:paraId="55C6B563">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14:paraId="11D87A4B">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14:paraId="668C6016">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14:paraId="5DFDC984">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14:paraId="77EB76DC">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14:paraId="7324DA36">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14:paraId="7AE6C7B7">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footerReference r:id="rId6" w:type="first"/>
      <w:footerReference r:id="rId5"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E3064C-2B34-41EB-9D06-BC27B7E8BB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1003177-E934-43BF-A38F-FA4CF686895C}"/>
  </w:font>
  <w:font w:name="Cambria">
    <w:panose1 w:val="02040503050406030204"/>
    <w:charset w:val="00"/>
    <w:family w:val="roman"/>
    <w:pitch w:val="default"/>
    <w:sig w:usb0="E00006FF" w:usb1="420024FF" w:usb2="02000000" w:usb3="00000000" w:csb0="2000019F" w:csb1="00000000"/>
    <w:embedRegular r:id="rId3" w:fontKey="{E180035C-A4A9-4374-A235-4584C063F421}"/>
  </w:font>
  <w:font w:name="仿宋_GB2312">
    <w:altName w:val="仿宋"/>
    <w:panose1 w:val="00000000000000000000"/>
    <w:charset w:val="86"/>
    <w:family w:val="modern"/>
    <w:pitch w:val="default"/>
    <w:sig w:usb0="00000000" w:usb1="00000000" w:usb2="00000000" w:usb3="00000000" w:csb0="00040000" w:csb1="00000000"/>
    <w:embedRegular r:id="rId4" w:fontKey="{BF3F9410-E051-46E7-BB32-4F42AB9E1A00}"/>
  </w:font>
  <w:font w:name="仿宋">
    <w:panose1 w:val="02010609060101010101"/>
    <w:charset w:val="86"/>
    <w:family w:val="auto"/>
    <w:pitch w:val="default"/>
    <w:sig w:usb0="800002BF" w:usb1="38CF7CFA" w:usb2="00000016" w:usb3="00000000" w:csb0="00040001" w:csb1="00000000"/>
    <w:embedRegular r:id="rId5" w:fontKey="{00729D77-1BAE-48A7-BA68-AEF740C77F6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FA078D8F-56F4-47AD-89FE-D532079F57A4}"/>
  </w:font>
  <w:font w:name="方正小标宋_GBK">
    <w:panose1 w:val="02000000000000000000"/>
    <w:charset w:val="86"/>
    <w:family w:val="auto"/>
    <w:pitch w:val="default"/>
    <w:sig w:usb0="A00002BF" w:usb1="38CF7CFA" w:usb2="00082016" w:usb3="00000000" w:csb0="00040001" w:csb1="00000000"/>
    <w:embedRegular r:id="rId7" w:fontKey="{E0BB812D-196D-4E4E-B0BB-4514EC6BCEC7}"/>
  </w:font>
  <w:font w:name="黑体;SimHei">
    <w:altName w:val="黑体"/>
    <w:panose1 w:val="00000000000000000000"/>
    <w:charset w:val="00"/>
    <w:family w:val="auto"/>
    <w:pitch w:val="default"/>
    <w:sig w:usb0="00000000" w:usb1="00000000" w:usb2="00000000" w:usb3="00000000" w:csb0="00000000" w:csb1="00000000"/>
    <w:embedRegular r:id="rId8" w:fontKey="{AAD465E4-CC28-4173-A93A-05963800F5D7}"/>
  </w:font>
  <w:font w:name="楷体">
    <w:panose1 w:val="02010609060101010101"/>
    <w:charset w:val="86"/>
    <w:family w:val="modern"/>
    <w:pitch w:val="default"/>
    <w:sig w:usb0="800002BF" w:usb1="38CF7CFA" w:usb2="00000016" w:usb3="00000000" w:csb0="00040001" w:csb1="00000000"/>
    <w:embedRegular r:id="rId9" w:fontKey="{CDB3393D-0C35-4771-B15F-C8E084F56BCE}"/>
  </w:font>
  <w:font w:name="华文仿宋">
    <w:panose1 w:val="02010600040101010101"/>
    <w:charset w:val="86"/>
    <w:family w:val="auto"/>
    <w:pitch w:val="default"/>
    <w:sig w:usb0="00000287" w:usb1="080F0000" w:usb2="00000000" w:usb3="00000000" w:csb0="0004009F" w:csb1="DFD70000"/>
    <w:embedRegular r:id="rId10" w:fontKey="{09018F4A-25E5-4430-B6F2-B8D231CCD0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C21FB">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C00B6">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1E6C00B6">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35315">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E054A">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7B5E054A">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4A271">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BB20C">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488BB20C">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EAA09">
                          <w:pPr>
                            <w:pStyle w:val="12"/>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42EEAA09">
                    <w:pPr>
                      <w:pStyle w:val="12"/>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81E9">
    <w:pPr>
      <w:pStyle w:val="1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4A1F"/>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36131"/>
    <w:rsid w:val="01944054"/>
    <w:rsid w:val="02F079B0"/>
    <w:rsid w:val="038D3451"/>
    <w:rsid w:val="03A0367D"/>
    <w:rsid w:val="06642230"/>
    <w:rsid w:val="077961C6"/>
    <w:rsid w:val="090C3711"/>
    <w:rsid w:val="099A2423"/>
    <w:rsid w:val="09BF1E8A"/>
    <w:rsid w:val="0A2032A3"/>
    <w:rsid w:val="0A2201E6"/>
    <w:rsid w:val="0B8A37D8"/>
    <w:rsid w:val="0C6F5DE9"/>
    <w:rsid w:val="0D58062B"/>
    <w:rsid w:val="0D766D04"/>
    <w:rsid w:val="0DC11628"/>
    <w:rsid w:val="0DE51190"/>
    <w:rsid w:val="0E6354DA"/>
    <w:rsid w:val="0EC71F0D"/>
    <w:rsid w:val="0F7F0045"/>
    <w:rsid w:val="10C055FF"/>
    <w:rsid w:val="112C7A85"/>
    <w:rsid w:val="118107EC"/>
    <w:rsid w:val="11DD6519"/>
    <w:rsid w:val="12910332"/>
    <w:rsid w:val="15520056"/>
    <w:rsid w:val="157E27B0"/>
    <w:rsid w:val="16BB723D"/>
    <w:rsid w:val="177D300F"/>
    <w:rsid w:val="17D52505"/>
    <w:rsid w:val="18015F3F"/>
    <w:rsid w:val="18875C33"/>
    <w:rsid w:val="18C44BAB"/>
    <w:rsid w:val="1BE8440E"/>
    <w:rsid w:val="1C4032FE"/>
    <w:rsid w:val="1D155CEE"/>
    <w:rsid w:val="1D70376F"/>
    <w:rsid w:val="1E200CF1"/>
    <w:rsid w:val="20B54256"/>
    <w:rsid w:val="20F57F95"/>
    <w:rsid w:val="21156B08"/>
    <w:rsid w:val="23066A21"/>
    <w:rsid w:val="23813850"/>
    <w:rsid w:val="240371BF"/>
    <w:rsid w:val="24D54B4E"/>
    <w:rsid w:val="25551BC9"/>
    <w:rsid w:val="25C741E6"/>
    <w:rsid w:val="26CB766D"/>
    <w:rsid w:val="277B1EA4"/>
    <w:rsid w:val="27842671"/>
    <w:rsid w:val="2818067D"/>
    <w:rsid w:val="28942A08"/>
    <w:rsid w:val="29FD04D3"/>
    <w:rsid w:val="2ABE7A3E"/>
    <w:rsid w:val="2BAE4DE0"/>
    <w:rsid w:val="2BD15D21"/>
    <w:rsid w:val="2BFD7DB0"/>
    <w:rsid w:val="2C0D4D5A"/>
    <w:rsid w:val="2D0D0FDB"/>
    <w:rsid w:val="2D2B320F"/>
    <w:rsid w:val="2D777E62"/>
    <w:rsid w:val="2EE0388D"/>
    <w:rsid w:val="2EE8124D"/>
    <w:rsid w:val="2EEC0981"/>
    <w:rsid w:val="2EFA178C"/>
    <w:rsid w:val="30B46D73"/>
    <w:rsid w:val="31100374"/>
    <w:rsid w:val="319F7F4E"/>
    <w:rsid w:val="3209113A"/>
    <w:rsid w:val="32E05DEF"/>
    <w:rsid w:val="3312384B"/>
    <w:rsid w:val="353C0D20"/>
    <w:rsid w:val="372B44BA"/>
    <w:rsid w:val="391A1D33"/>
    <w:rsid w:val="39705BD5"/>
    <w:rsid w:val="39AE70AB"/>
    <w:rsid w:val="3C0C0783"/>
    <w:rsid w:val="3F206990"/>
    <w:rsid w:val="3F795B0E"/>
    <w:rsid w:val="3F9F3A96"/>
    <w:rsid w:val="433F4155"/>
    <w:rsid w:val="43820EC1"/>
    <w:rsid w:val="453A5463"/>
    <w:rsid w:val="45682C77"/>
    <w:rsid w:val="462C5BD6"/>
    <w:rsid w:val="46A14816"/>
    <w:rsid w:val="493C27E9"/>
    <w:rsid w:val="496F39ED"/>
    <w:rsid w:val="49FF41D3"/>
    <w:rsid w:val="4A0707E1"/>
    <w:rsid w:val="4A185DC8"/>
    <w:rsid w:val="4AEA0627"/>
    <w:rsid w:val="4BD44D46"/>
    <w:rsid w:val="4BE068DB"/>
    <w:rsid w:val="4BE647E3"/>
    <w:rsid w:val="4BF6002B"/>
    <w:rsid w:val="4ECE2238"/>
    <w:rsid w:val="4F6732B5"/>
    <w:rsid w:val="4F9F38BD"/>
    <w:rsid w:val="4FD61684"/>
    <w:rsid w:val="503645ED"/>
    <w:rsid w:val="508F3649"/>
    <w:rsid w:val="51DB4B86"/>
    <w:rsid w:val="52CF5BE8"/>
    <w:rsid w:val="52FB5859"/>
    <w:rsid w:val="538925BA"/>
    <w:rsid w:val="547F5A6B"/>
    <w:rsid w:val="55333C3E"/>
    <w:rsid w:val="55654C60"/>
    <w:rsid w:val="558E2409"/>
    <w:rsid w:val="571B7CCD"/>
    <w:rsid w:val="58737E60"/>
    <w:rsid w:val="5B1E7D8B"/>
    <w:rsid w:val="5D8E10AE"/>
    <w:rsid w:val="5EEF25B2"/>
    <w:rsid w:val="60A2320D"/>
    <w:rsid w:val="635D166D"/>
    <w:rsid w:val="63FE2E3D"/>
    <w:rsid w:val="64340620"/>
    <w:rsid w:val="64772D5C"/>
    <w:rsid w:val="64A80084"/>
    <w:rsid w:val="64CA39A1"/>
    <w:rsid w:val="65B126BB"/>
    <w:rsid w:val="69D312C4"/>
    <w:rsid w:val="6AE04DBB"/>
    <w:rsid w:val="6B8E11DE"/>
    <w:rsid w:val="6C4A05C8"/>
    <w:rsid w:val="6C6E6699"/>
    <w:rsid w:val="6C9F2CF6"/>
    <w:rsid w:val="6EDA0CDC"/>
    <w:rsid w:val="6F950767"/>
    <w:rsid w:val="72734D90"/>
    <w:rsid w:val="727D7081"/>
    <w:rsid w:val="72D45177"/>
    <w:rsid w:val="72E456B5"/>
    <w:rsid w:val="74E366CA"/>
    <w:rsid w:val="75137DDD"/>
    <w:rsid w:val="75A45D63"/>
    <w:rsid w:val="79E7B28D"/>
    <w:rsid w:val="7AC82E51"/>
    <w:rsid w:val="7BFA24EA"/>
    <w:rsid w:val="7CAB154F"/>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8"/>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9"/>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0"/>
    <w:pPr>
      <w:spacing w:after="120" w:line="480" w:lineRule="auto"/>
      <w:ind w:left="420" w:leftChars="200" w:firstLine="200" w:firstLineChars="200"/>
    </w:pPr>
    <w:rPr>
      <w:rFonts w:ascii="Times New Roman" w:hAnsi="Times New Roman" w:eastAsia="宋体" w:cs="Times New Roman"/>
      <w:sz w:val="24"/>
      <w:szCs w:val="21"/>
    </w:rPr>
  </w:style>
  <w:style w:type="paragraph" w:styleId="11">
    <w:name w:val="Balloon Text"/>
    <w:basedOn w:val="1"/>
    <w:link w:val="33"/>
    <w:semiHidden/>
    <w:unhideWhenUsed/>
    <w:qFormat/>
    <w:uiPriority w:val="99"/>
    <w:rPr>
      <w:sz w:val="18"/>
      <w:szCs w:val="18"/>
    </w:rPr>
  </w:style>
  <w:style w:type="paragraph" w:styleId="12">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paragraph" w:styleId="17">
    <w:name w:val="Body Text First Indent 2"/>
    <w:basedOn w:val="8"/>
    <w:link w:val="40"/>
    <w:qFormat/>
    <w:uiPriority w:val="99"/>
    <w:pPr>
      <w:ind w:firstLine="420" w:firstLineChars="200"/>
    </w:p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3"/>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2"/>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1"/>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2"/>
    <w:qFormat/>
    <w:uiPriority w:val="0"/>
    <w:rPr>
      <w:rFonts w:hint="eastAsia" w:ascii="仿宋_GB2312" w:eastAsia="仿宋_GB2312" w:cs="仿宋_GB2312"/>
      <w:sz w:val="24"/>
    </w:rPr>
  </w:style>
  <w:style w:type="character" w:customStyle="1" w:styleId="39">
    <w:name w:val="正文文本缩进 字符"/>
    <w:basedOn w:val="19"/>
    <w:link w:val="8"/>
    <w:qFormat/>
    <w:uiPriority w:val="0"/>
    <w:rPr>
      <w:rFonts w:hint="default" w:ascii="Times New Roman" w:hAnsi="Times New Roman" w:cs="Times New Roman"/>
      <w:kern w:val="2"/>
      <w:sz w:val="21"/>
      <w:szCs w:val="24"/>
    </w:rPr>
  </w:style>
  <w:style w:type="character" w:customStyle="1" w:styleId="40">
    <w:name w:val="正文首行缩进 2 字符"/>
    <w:basedOn w:val="39"/>
    <w:link w:val="17"/>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557.94</c:v>
                </c:pt>
                <c:pt idx="1">
                  <c:v>485.93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557.94</c:v>
                </c:pt>
                <c:pt idx="1">
                  <c:v>485.93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c86d31cc-615c-4aca-b54d-6405276aefb9}"/>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0.9969</c:v>
                </c:pt>
                <c:pt idx="1">
                  <c:v>0.0031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da884ba-1b01-4e7f-8d3b-4e40c60b651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080924829242534"/>
                  <c:y val="-0.22027942126955"/>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79.94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79549827618891"/>
                  <c:y val="0.12272902351746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20.06</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0.7994</c:v>
                </c:pt>
                <c:pt idx="1">
                  <c:v>0.2006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a11b5970-c793-4b53-b968-d770fd9cab7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557.94</c:v>
                </c:pt>
                <c:pt idx="1">
                  <c:v>485.93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557.94</c:v>
                </c:pt>
                <c:pt idx="1">
                  <c:v>485.93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577cb3c3-6ab0-4558-9dd4-8283677308ca}"/>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554.94</c:v>
                </c:pt>
                <c:pt idx="1">
                  <c:v>484.43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19cbb05-3b6e-4485-b9f5-1dba79e874fd}"/>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403609b-416b-469a-b37e-c48034338550}"/>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63d5d07e-262a-4355-b38d-bac73b856e7c}"/>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22</Pages>
  <Words>7317</Words>
  <Characters>7782</Characters>
  <Lines>47</Lines>
  <Paragraphs>13</Paragraphs>
  <TotalTime>13</TotalTime>
  <ScaleCrop>false</ScaleCrop>
  <LinksUpToDate>false</LinksUpToDate>
  <CharactersWithSpaces>7868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2024-12-19T08:06:46Z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AED9643A71254DC08B3EBE94A9AB1348</vt:lpwstr>
  </property>
  <property fmtid="{D5CDD505-2E9C-101B-9397-08002B2CF9AE}" pid="4" name="KSOTemplateDocerSaveRecord">
    <vt:lpwstr>eyJoZGlkIjoiMGVhYTg4NGNkZWJkODFjNzcyZDRjM2M4Y2UzNjI5ZmUiLCJ1c2VySWQiOiI2MTE2MzEwMDYifQ==</vt:lpwstr>
  </property>
</Properties>
</file>