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5378441"/>
      <w:bookmarkStart w:id="3" w:name="_Toc15396475"/>
      <w:bookmarkStart w:id="4" w:name="_Toc15396597"/>
      <w:bookmarkStart w:id="5" w:name="_Toc1537742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8442"/>
      <w:bookmarkStart w:id="7" w:name="_Toc15396598"/>
      <w:bookmarkStart w:id="8" w:name="_Toc15377194"/>
      <w:bookmarkStart w:id="9" w:name="_Toc15377426"/>
      <w:bookmarkStart w:id="10" w:name="_Toc15396476"/>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67" w:name="_GoBack"/>
      <w:bookmarkEnd w:id="67"/>
      <w:r>
        <w:rPr>
          <w:rFonts w:hint="eastAsia" w:ascii="方正小标宋_GBK" w:hAnsi="方正小标宋_GBK" w:eastAsia="方正小标宋_GBK" w:cs="方正小标宋_GBK"/>
          <w:color w:val="auto"/>
          <w:sz w:val="72"/>
          <w:szCs w:val="72"/>
          <w:highlight w:val="none"/>
          <w:lang w:eastAsia="zh-CN"/>
        </w:rPr>
        <w:t>射箭镇小学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sectPr>
          <w:footerReference r:id="rId4" w:type="first"/>
          <w:headerReference r:id="rId3" w:type="default"/>
          <w:pgSz w:w="11906" w:h="16838"/>
          <w:pgMar w:top="1440" w:right="1800" w:bottom="1440" w:left="1800" w:header="851" w:footer="992" w:gutter="0"/>
          <w:pgNumType w:fmt="numberInDash" w:start="1"/>
          <w:cols w:space="425" w:num="1"/>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14"/>
        <w:jc w:val="both"/>
        <w:rPr>
          <w:color w:val="auto"/>
          <w:highlight w:val="none"/>
        </w:rPr>
      </w:pPr>
    </w:p>
    <w:p>
      <w:pPr>
        <w:rPr>
          <w:color w:val="auto"/>
          <w:highlight w:val="none"/>
        </w:rPr>
      </w:pP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77196"/>
      <w:bookmarkStart w:id="13" w:name="_Toc15396599"/>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4"/>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7</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7</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7</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8</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8</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13</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4"/>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15</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二、收入决算表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三、支出决算表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5"/>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r>
        <w:rPr>
          <w:rFonts w:ascii="仿宋" w:hAnsi="仿宋" w:eastAsia="仿宋"/>
          <w:b/>
          <w:color w:val="auto"/>
          <w:sz w:val="24"/>
          <w:highlight w:val="none"/>
        </w:rPr>
        <w:br w:type="page"/>
      </w:r>
    </w:p>
    <w:p>
      <w:pPr>
        <w:pStyle w:val="3"/>
        <w:jc w:val="center"/>
        <w:rPr>
          <w:rStyle w:val="30"/>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30"/>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1"/>
          <w:rFonts w:ascii="黑体" w:hAnsi="黑体" w:eastAsia="黑体"/>
          <w:b w:val="0"/>
          <w:bCs w:val="0"/>
          <w:color w:val="auto"/>
          <w:highlight w:val="none"/>
        </w:rPr>
      </w:pPr>
      <w:bookmarkStart w:id="14" w:name="_Toc15377197"/>
      <w:bookmarkStart w:id="15" w:name="_Toc15396600"/>
      <w:r>
        <w:rPr>
          <w:rStyle w:val="31"/>
          <w:rFonts w:hint="eastAsia" w:ascii="黑体" w:hAnsi="黑体" w:eastAsia="黑体"/>
          <w:b w:val="0"/>
          <w:bCs w:val="0"/>
          <w:color w:val="auto"/>
          <w:highlight w:val="none"/>
        </w:rPr>
        <w:t>职能简介</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6.负责学籍管理并对学生实施奖励或处分。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7.负责依法制定本校教师及其他职工聘任办法并对教师及其他员工实施包括奖励、处分在内的具体管理活动。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8.负责科学管理、合理使用学校的设施和经费，并积极筹措资金，改善办学条件。</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hint="eastAsia" w:ascii="仿宋" w:hAnsi="仿宋" w:eastAsia="仿宋"/>
          <w:color w:val="auto"/>
          <w:kern w:val="2"/>
          <w:sz w:val="32"/>
          <w:szCs w:val="32"/>
          <w:highlight w:val="none"/>
        </w:rPr>
      </w:pPr>
      <w:bookmarkStart w:id="16" w:name="_Toc15396602"/>
      <w:bookmarkStart w:id="17" w:name="_Toc15377204"/>
      <w:r>
        <w:rPr>
          <w:rFonts w:hint="eastAsia" w:ascii="楷体_GB2312" w:hAnsi="Times New Roman" w:eastAsia="楷体_GB2312"/>
          <w:b w:val="0"/>
          <w:bCs/>
          <w:color w:val="auto"/>
          <w:sz w:val="32"/>
          <w:szCs w:val="32"/>
          <w:highlight w:val="none"/>
        </w:rPr>
        <w:t>（一）</w:t>
      </w:r>
      <w:r>
        <w:rPr>
          <w:rFonts w:ascii="仿宋" w:hAnsi="仿宋" w:eastAsia="仿宋"/>
          <w:b/>
          <w:color w:val="auto"/>
          <w:kern w:val="2"/>
          <w:sz w:val="32"/>
          <w:szCs w:val="32"/>
          <w:highlight w:val="none"/>
        </w:rPr>
        <w:t>狠抓教师思想政治工作</w:t>
      </w:r>
      <w:r>
        <w:rPr>
          <w:rFonts w:ascii="仿宋" w:hAnsi="仿宋" w:eastAsia="仿宋"/>
          <w:color w:val="auto"/>
          <w:kern w:val="2"/>
          <w:sz w:val="32"/>
          <w:szCs w:val="32"/>
          <w:highlight w:val="none"/>
        </w:rPr>
        <w:t>。</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hint="eastAsia" w:ascii="仿宋" w:hAnsi="仿宋" w:eastAsia="仿宋"/>
          <w:b/>
          <w:color w:val="auto"/>
          <w:kern w:val="2"/>
          <w:sz w:val="32"/>
          <w:szCs w:val="32"/>
          <w:highlight w:val="none"/>
        </w:rPr>
      </w:pPr>
      <w:r>
        <w:rPr>
          <w:rFonts w:ascii="仿宋" w:hAnsi="仿宋" w:eastAsia="仿宋"/>
          <w:color w:val="auto"/>
          <w:kern w:val="2"/>
          <w:sz w:val="32"/>
          <w:szCs w:val="32"/>
          <w:highlight w:val="none"/>
        </w:rPr>
        <w:t>学校坚持以制度建设为抓手，努力构建师德教育新机制。</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3" w:firstLineChars="200"/>
        <w:textAlignment w:val="auto"/>
        <w:outlineLvl w:val="2"/>
        <w:rPr>
          <w:rFonts w:ascii="仿宋" w:hAnsi="仿宋" w:eastAsia="仿宋"/>
          <w:b/>
          <w:color w:val="auto"/>
          <w:kern w:val="2"/>
          <w:sz w:val="32"/>
          <w:szCs w:val="32"/>
          <w:highlight w:val="none"/>
        </w:rPr>
      </w:pPr>
      <w:r>
        <w:rPr>
          <w:rFonts w:ascii="仿宋" w:hAnsi="仿宋" w:eastAsia="仿宋"/>
          <w:b/>
          <w:color w:val="auto"/>
          <w:kern w:val="2"/>
          <w:sz w:val="32"/>
          <w:szCs w:val="32"/>
          <w:highlight w:val="none"/>
        </w:rPr>
        <w:t>（</w:t>
      </w:r>
      <w:r>
        <w:rPr>
          <w:rFonts w:hint="eastAsia" w:ascii="仿宋" w:hAnsi="仿宋" w:eastAsia="仿宋"/>
          <w:b/>
          <w:color w:val="auto"/>
          <w:kern w:val="2"/>
          <w:sz w:val="32"/>
          <w:szCs w:val="32"/>
          <w:highlight w:val="none"/>
          <w:lang w:val="en-US" w:eastAsia="zh-CN"/>
        </w:rPr>
        <w:t>二</w:t>
      </w:r>
      <w:r>
        <w:rPr>
          <w:rFonts w:hint="eastAsia" w:ascii="仿宋" w:hAnsi="仿宋" w:eastAsia="仿宋"/>
          <w:b/>
          <w:color w:val="auto"/>
          <w:kern w:val="2"/>
          <w:sz w:val="32"/>
          <w:szCs w:val="32"/>
          <w:highlight w:val="none"/>
        </w:rPr>
        <w:t>）</w:t>
      </w:r>
      <w:r>
        <w:rPr>
          <w:rFonts w:ascii="仿宋" w:hAnsi="仿宋" w:eastAsia="仿宋"/>
          <w:b/>
          <w:color w:val="auto"/>
          <w:kern w:val="2"/>
          <w:sz w:val="32"/>
          <w:szCs w:val="32"/>
          <w:highlight w:val="none"/>
        </w:rPr>
        <w:t xml:space="preserve">学生成长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800" w:firstLineChars="250"/>
        <w:textAlignment w:val="auto"/>
        <w:outlineLvl w:val="2"/>
        <w:rPr>
          <w:rFonts w:hint="eastAsia" w:ascii="仿宋" w:hAnsi="仿宋" w:eastAsia="仿宋"/>
          <w:color w:val="auto"/>
          <w:kern w:val="2"/>
          <w:sz w:val="32"/>
          <w:szCs w:val="32"/>
          <w:highlight w:val="none"/>
        </w:rPr>
      </w:pPr>
      <w:r>
        <w:rPr>
          <w:rFonts w:ascii="仿宋" w:hAnsi="仿宋" w:eastAsia="仿宋"/>
          <w:color w:val="auto"/>
          <w:kern w:val="2"/>
          <w:sz w:val="32"/>
          <w:szCs w:val="32"/>
          <w:highlight w:val="none"/>
        </w:rPr>
        <w:t>1</w:t>
      </w:r>
      <w:r>
        <w:rPr>
          <w:rFonts w:hint="eastAsia" w:ascii="仿宋" w:hAnsi="仿宋" w:eastAsia="仿宋"/>
          <w:color w:val="auto"/>
          <w:kern w:val="2"/>
          <w:sz w:val="32"/>
          <w:szCs w:val="32"/>
          <w:highlight w:val="none"/>
          <w:lang w:val="en-US" w:eastAsia="zh-CN"/>
        </w:rPr>
        <w:t>.</w:t>
      </w:r>
      <w:r>
        <w:rPr>
          <w:rFonts w:ascii="仿宋" w:hAnsi="仿宋" w:eastAsia="仿宋"/>
          <w:color w:val="auto"/>
          <w:kern w:val="2"/>
          <w:sz w:val="32"/>
          <w:szCs w:val="32"/>
          <w:highlight w:val="none"/>
        </w:rPr>
        <w:t xml:space="preserve">保障安全和学业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仿宋" w:hAnsi="仿宋" w:eastAsia="仿宋"/>
          <w:color w:val="auto"/>
          <w:kern w:val="2"/>
          <w:sz w:val="32"/>
          <w:szCs w:val="32"/>
          <w:highlight w:val="none"/>
        </w:rPr>
      </w:pPr>
      <w:r>
        <w:rPr>
          <w:rFonts w:ascii="仿宋" w:hAnsi="仿宋" w:eastAsia="仿宋"/>
          <w:color w:val="auto"/>
          <w:kern w:val="2"/>
          <w:sz w:val="32"/>
          <w:szCs w:val="32"/>
          <w:highlight w:val="none"/>
        </w:rPr>
        <w:t xml:space="preserve">我们把安全管理放在学校工作第一位。安全管理网络健全、责任明确，措施有力。通过学习、培训、讲座、系列活动等，为全校师生保驾护航。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仿宋" w:hAnsi="仿宋" w:eastAsia="仿宋"/>
          <w:color w:val="auto"/>
          <w:kern w:val="2"/>
          <w:sz w:val="32"/>
          <w:szCs w:val="32"/>
          <w:highlight w:val="none"/>
        </w:rPr>
      </w:pPr>
      <w:r>
        <w:rPr>
          <w:rFonts w:ascii="仿宋" w:hAnsi="仿宋" w:eastAsia="仿宋"/>
          <w:color w:val="auto"/>
          <w:kern w:val="2"/>
          <w:sz w:val="32"/>
          <w:szCs w:val="32"/>
          <w:highlight w:val="none"/>
        </w:rPr>
        <w:t xml:space="preserve"> 2</w:t>
      </w:r>
      <w:r>
        <w:rPr>
          <w:rFonts w:hint="eastAsia" w:ascii="仿宋" w:hAnsi="仿宋" w:eastAsia="仿宋"/>
          <w:color w:val="auto"/>
          <w:kern w:val="2"/>
          <w:sz w:val="32"/>
          <w:szCs w:val="32"/>
          <w:highlight w:val="none"/>
          <w:lang w:val="en-US" w:eastAsia="zh-CN"/>
        </w:rPr>
        <w:t>.</w:t>
      </w:r>
      <w:r>
        <w:rPr>
          <w:rFonts w:ascii="仿宋" w:hAnsi="仿宋" w:eastAsia="仿宋"/>
          <w:color w:val="auto"/>
          <w:kern w:val="2"/>
          <w:sz w:val="32"/>
          <w:szCs w:val="32"/>
          <w:highlight w:val="none"/>
        </w:rPr>
        <w:t xml:space="preserve">规范管理，外化于行。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仿宋" w:hAnsi="仿宋" w:eastAsia="仿宋"/>
          <w:color w:val="auto"/>
          <w:kern w:val="2"/>
          <w:sz w:val="32"/>
          <w:szCs w:val="32"/>
          <w:highlight w:val="none"/>
        </w:rPr>
      </w:pPr>
      <w:r>
        <w:rPr>
          <w:rFonts w:ascii="仿宋" w:hAnsi="仿宋" w:eastAsia="仿宋"/>
          <w:color w:val="auto"/>
          <w:kern w:val="2"/>
          <w:sz w:val="32"/>
          <w:szCs w:val="32"/>
          <w:highlight w:val="none"/>
        </w:rPr>
        <w:t>规范管理成就了学生好习惯、好形象</w:t>
      </w:r>
      <w:r>
        <w:rPr>
          <w:rFonts w:hint="eastAsia" w:ascii="仿宋" w:hAnsi="仿宋" w:eastAsia="仿宋"/>
          <w:color w:val="auto"/>
          <w:kern w:val="2"/>
          <w:sz w:val="32"/>
          <w:szCs w:val="32"/>
          <w:highlight w:val="none"/>
        </w:rPr>
        <w:t>，</w:t>
      </w:r>
      <w:r>
        <w:rPr>
          <w:rFonts w:ascii="仿宋" w:hAnsi="仿宋" w:eastAsia="仿宋"/>
          <w:color w:val="auto"/>
          <w:kern w:val="2"/>
          <w:sz w:val="32"/>
          <w:szCs w:val="32"/>
          <w:highlight w:val="none"/>
        </w:rPr>
        <w:t>培养了学生个性品质和合作意识，打造了高效课堂，提高了学习效率。学生常规管理上，让学生参与其中，通过学生自主管理，教师调控，形成了人人有事做，事事有人管的良好局面。</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800" w:firstLineChars="250"/>
        <w:textAlignment w:val="auto"/>
        <w:outlineLvl w:val="2"/>
        <w:rPr>
          <w:rFonts w:hint="eastAsia" w:ascii="仿宋" w:hAnsi="仿宋" w:eastAsia="仿宋"/>
          <w:color w:val="auto"/>
          <w:kern w:val="2"/>
          <w:sz w:val="32"/>
          <w:szCs w:val="32"/>
          <w:highlight w:val="none"/>
        </w:rPr>
      </w:pPr>
      <w:r>
        <w:rPr>
          <w:rFonts w:ascii="仿宋" w:hAnsi="仿宋" w:eastAsia="仿宋"/>
          <w:color w:val="auto"/>
          <w:kern w:val="2"/>
          <w:sz w:val="32"/>
          <w:szCs w:val="32"/>
          <w:highlight w:val="none"/>
        </w:rPr>
        <w:t>3</w:t>
      </w:r>
      <w:r>
        <w:rPr>
          <w:rFonts w:hint="eastAsia" w:ascii="仿宋" w:hAnsi="仿宋" w:eastAsia="仿宋"/>
          <w:color w:val="auto"/>
          <w:kern w:val="2"/>
          <w:sz w:val="32"/>
          <w:szCs w:val="32"/>
          <w:highlight w:val="none"/>
          <w:lang w:val="en-US" w:eastAsia="zh-CN"/>
        </w:rPr>
        <w:t>.</w:t>
      </w:r>
      <w:r>
        <w:rPr>
          <w:rFonts w:ascii="仿宋" w:hAnsi="仿宋" w:eastAsia="仿宋"/>
          <w:color w:val="auto"/>
          <w:kern w:val="2"/>
          <w:sz w:val="32"/>
          <w:szCs w:val="32"/>
          <w:highlight w:val="none"/>
        </w:rPr>
        <w:t>关注他人和社会</w:t>
      </w:r>
      <w:r>
        <w:rPr>
          <w:rFonts w:hint="eastAsia" w:ascii="仿宋" w:hAnsi="仿宋" w:eastAsia="仿宋"/>
          <w:color w:val="auto"/>
          <w:kern w:val="2"/>
          <w:sz w:val="32"/>
          <w:szCs w:val="32"/>
          <w:highlight w:val="none"/>
        </w:rPr>
        <w:t>。</w:t>
      </w:r>
      <w:r>
        <w:rPr>
          <w:rFonts w:ascii="仿宋" w:hAnsi="仿宋" w:eastAsia="仿宋"/>
          <w:color w:val="auto"/>
          <w:kern w:val="2"/>
          <w:sz w:val="32"/>
          <w:szCs w:val="32"/>
          <w:highlight w:val="none"/>
        </w:rPr>
        <w:t xml:space="preserve">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仿宋" w:hAnsi="仿宋" w:eastAsia="仿宋"/>
          <w:color w:val="auto"/>
          <w:kern w:val="2"/>
          <w:sz w:val="32"/>
          <w:szCs w:val="32"/>
          <w:highlight w:val="none"/>
        </w:rPr>
      </w:pPr>
      <w:r>
        <w:rPr>
          <w:rFonts w:ascii="仿宋" w:hAnsi="仿宋" w:eastAsia="仿宋"/>
          <w:color w:val="auto"/>
          <w:kern w:val="2"/>
          <w:sz w:val="32"/>
          <w:szCs w:val="32"/>
          <w:highlight w:val="none"/>
        </w:rPr>
        <w:t xml:space="preserve">通过德育系列活动，达到立德树人；开展了扶贫日捐助等活动，让学生学会关心帮助他人；通过旅学研行、深入社区义务服务等活动，进行主题学习、观察记录、动手实践，让学生与自然共生，与文化同行。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3" w:firstLineChars="200"/>
        <w:textAlignment w:val="auto"/>
        <w:outlineLvl w:val="2"/>
        <w:rPr>
          <w:rFonts w:ascii="仿宋" w:hAnsi="仿宋" w:eastAsia="仿宋"/>
          <w:b/>
          <w:color w:val="auto"/>
          <w:kern w:val="2"/>
          <w:sz w:val="32"/>
          <w:szCs w:val="32"/>
          <w:highlight w:val="none"/>
        </w:rPr>
      </w:pPr>
      <w:r>
        <w:rPr>
          <w:rFonts w:ascii="仿宋" w:hAnsi="仿宋" w:eastAsia="仿宋"/>
          <w:b/>
          <w:color w:val="auto"/>
          <w:kern w:val="2"/>
          <w:sz w:val="32"/>
          <w:szCs w:val="32"/>
          <w:highlight w:val="none"/>
        </w:rPr>
        <w:t>（</w:t>
      </w:r>
      <w:r>
        <w:rPr>
          <w:rFonts w:hint="eastAsia" w:ascii="仿宋" w:hAnsi="仿宋" w:eastAsia="仿宋"/>
          <w:b/>
          <w:color w:val="auto"/>
          <w:kern w:val="2"/>
          <w:sz w:val="32"/>
          <w:szCs w:val="32"/>
          <w:highlight w:val="none"/>
          <w:lang w:val="en-US" w:eastAsia="zh-CN"/>
        </w:rPr>
        <w:t>三</w:t>
      </w:r>
      <w:r>
        <w:rPr>
          <w:rFonts w:ascii="仿宋" w:hAnsi="仿宋" w:eastAsia="仿宋"/>
          <w:b/>
          <w:color w:val="auto"/>
          <w:kern w:val="2"/>
          <w:sz w:val="32"/>
          <w:szCs w:val="32"/>
          <w:highlight w:val="none"/>
        </w:rPr>
        <w:t xml:space="preserve">）教师发展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仿宋" w:hAnsi="仿宋" w:eastAsia="仿宋"/>
          <w:color w:val="auto"/>
          <w:kern w:val="2"/>
          <w:sz w:val="32"/>
          <w:szCs w:val="32"/>
          <w:highlight w:val="none"/>
        </w:rPr>
      </w:pPr>
      <w:r>
        <w:rPr>
          <w:rFonts w:ascii="仿宋" w:hAnsi="仿宋" w:eastAsia="仿宋"/>
          <w:color w:val="auto"/>
          <w:kern w:val="2"/>
          <w:sz w:val="32"/>
          <w:szCs w:val="32"/>
          <w:highlight w:val="none"/>
        </w:rPr>
        <w:t>1</w:t>
      </w:r>
      <w:r>
        <w:rPr>
          <w:rFonts w:hint="eastAsia" w:ascii="仿宋" w:hAnsi="仿宋" w:eastAsia="仿宋"/>
          <w:color w:val="auto"/>
          <w:kern w:val="2"/>
          <w:sz w:val="32"/>
          <w:szCs w:val="32"/>
          <w:highlight w:val="none"/>
          <w:lang w:val="en-US" w:eastAsia="zh-CN"/>
        </w:rPr>
        <w:t>.</w:t>
      </w:r>
      <w:r>
        <w:rPr>
          <w:rFonts w:ascii="仿宋" w:hAnsi="仿宋" w:eastAsia="仿宋"/>
          <w:color w:val="auto"/>
          <w:kern w:val="2"/>
          <w:sz w:val="32"/>
          <w:szCs w:val="32"/>
          <w:highlight w:val="none"/>
        </w:rPr>
        <w:t xml:space="preserve">统一思想，占领高地，规范行为。一个支部就是一座堡垒，一个党员就是一面旗帜。充分把“不忘初心、牢记使命”主题教育同学校发展、教师发展、学生发展相结合，突出实效性。努力探索党组织领导下的校长负责制的有效之路，为学校的发展前行保驾护航。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仿宋" w:hAnsi="仿宋" w:eastAsia="仿宋"/>
          <w:color w:val="auto"/>
          <w:kern w:val="2"/>
          <w:sz w:val="32"/>
          <w:szCs w:val="32"/>
          <w:highlight w:val="none"/>
        </w:rPr>
      </w:pPr>
      <w:r>
        <w:rPr>
          <w:rFonts w:ascii="仿宋" w:hAnsi="仿宋" w:eastAsia="仿宋"/>
          <w:color w:val="auto"/>
          <w:kern w:val="2"/>
          <w:sz w:val="32"/>
          <w:szCs w:val="32"/>
          <w:highlight w:val="none"/>
        </w:rPr>
        <w:t>2</w:t>
      </w:r>
      <w:r>
        <w:rPr>
          <w:rFonts w:hint="eastAsia" w:ascii="仿宋" w:hAnsi="仿宋" w:eastAsia="仿宋"/>
          <w:color w:val="auto"/>
          <w:kern w:val="2"/>
          <w:sz w:val="32"/>
          <w:szCs w:val="32"/>
          <w:highlight w:val="none"/>
          <w:lang w:val="en-US" w:eastAsia="zh-CN"/>
        </w:rPr>
        <w:t>.</w:t>
      </w:r>
      <w:r>
        <w:rPr>
          <w:rFonts w:ascii="仿宋" w:hAnsi="仿宋" w:eastAsia="仿宋"/>
          <w:color w:val="auto"/>
          <w:kern w:val="2"/>
          <w:sz w:val="32"/>
          <w:szCs w:val="32"/>
          <w:highlight w:val="none"/>
        </w:rPr>
        <w:t xml:space="preserve">在师生中提倡团队精神，在团队中不断学习、培养精神特质，吸取能量之源。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仿宋" w:hAnsi="仿宋" w:eastAsia="仿宋"/>
          <w:color w:val="auto"/>
          <w:kern w:val="2"/>
          <w:sz w:val="32"/>
          <w:szCs w:val="32"/>
          <w:highlight w:val="none"/>
        </w:rPr>
      </w:pPr>
      <w:r>
        <w:rPr>
          <w:rFonts w:ascii="仿宋" w:hAnsi="仿宋" w:eastAsia="仿宋"/>
          <w:color w:val="auto"/>
          <w:kern w:val="2"/>
          <w:sz w:val="32"/>
          <w:szCs w:val="32"/>
          <w:highlight w:val="none"/>
        </w:rPr>
        <w:t>3</w:t>
      </w:r>
      <w:r>
        <w:rPr>
          <w:rFonts w:hint="eastAsia" w:ascii="仿宋" w:hAnsi="仿宋" w:eastAsia="仿宋"/>
          <w:color w:val="auto"/>
          <w:kern w:val="2"/>
          <w:sz w:val="32"/>
          <w:szCs w:val="32"/>
          <w:highlight w:val="none"/>
          <w:lang w:val="en-US" w:eastAsia="zh-CN"/>
        </w:rPr>
        <w:t>.</w:t>
      </w:r>
      <w:r>
        <w:rPr>
          <w:rFonts w:ascii="仿宋" w:hAnsi="仿宋" w:eastAsia="仿宋"/>
          <w:color w:val="auto"/>
          <w:kern w:val="2"/>
          <w:sz w:val="32"/>
          <w:szCs w:val="32"/>
          <w:highlight w:val="none"/>
        </w:rPr>
        <w:t>我们创造一切机会，走出去、请进来。一年来学校外派教师到省、市、区参加各种培训达</w:t>
      </w:r>
      <w:r>
        <w:rPr>
          <w:rFonts w:hint="eastAsia" w:ascii="仿宋" w:hAnsi="仿宋" w:eastAsia="仿宋"/>
          <w:color w:val="auto"/>
          <w:kern w:val="2"/>
          <w:sz w:val="32"/>
          <w:szCs w:val="32"/>
          <w:highlight w:val="none"/>
        </w:rPr>
        <w:t>10</w:t>
      </w:r>
      <w:r>
        <w:rPr>
          <w:rFonts w:ascii="仿宋" w:hAnsi="仿宋" w:eastAsia="仿宋"/>
          <w:color w:val="auto"/>
          <w:kern w:val="2"/>
          <w:sz w:val="32"/>
          <w:szCs w:val="32"/>
          <w:highlight w:val="none"/>
        </w:rPr>
        <w:t>人次</w:t>
      </w:r>
      <w:r>
        <w:rPr>
          <w:rFonts w:hint="eastAsia" w:ascii="仿宋" w:hAnsi="仿宋" w:eastAsia="仿宋"/>
          <w:color w:val="auto"/>
          <w:kern w:val="2"/>
          <w:sz w:val="32"/>
          <w:szCs w:val="32"/>
          <w:highlight w:val="none"/>
          <w:lang w:eastAsia="zh-CN"/>
        </w:rPr>
        <w:t>，</w:t>
      </w:r>
      <w:r>
        <w:rPr>
          <w:rFonts w:hint="eastAsia" w:ascii="Times New Roman" w:hAnsi="Times New Roman" w:eastAsia="仿宋_GB2312"/>
          <w:b w:val="0"/>
          <w:bCs/>
          <w:color w:val="auto"/>
          <w:sz w:val="32"/>
          <w:szCs w:val="32"/>
          <w:highlight w:val="none"/>
        </w:rPr>
        <w:t>发表及获奖论文</w:t>
      </w:r>
      <w:r>
        <w:rPr>
          <w:rFonts w:hint="eastAsia" w:ascii="Times New Roman"/>
          <w:b w:val="0"/>
          <w:bCs/>
          <w:color w:val="auto"/>
          <w:sz w:val="32"/>
          <w:szCs w:val="32"/>
          <w:highlight w:val="none"/>
          <w:lang w:val="en-US" w:eastAsia="zh-CN"/>
        </w:rPr>
        <w:t>5</w:t>
      </w:r>
      <w:r>
        <w:rPr>
          <w:rFonts w:hint="eastAsia" w:ascii="Times New Roman" w:hAnsi="Times New Roman" w:eastAsia="仿宋_GB2312"/>
          <w:b w:val="0"/>
          <w:bCs/>
          <w:color w:val="auto"/>
          <w:sz w:val="32"/>
          <w:szCs w:val="32"/>
          <w:highlight w:val="none"/>
        </w:rPr>
        <w:t>篇。</w:t>
      </w:r>
      <w:r>
        <w:rPr>
          <w:rFonts w:ascii="仿宋" w:hAnsi="仿宋" w:eastAsia="仿宋"/>
          <w:color w:val="auto"/>
          <w:kern w:val="2"/>
          <w:sz w:val="32"/>
          <w:szCs w:val="32"/>
          <w:highlight w:val="none"/>
        </w:rPr>
        <w:t xml:space="preserve">种种途径，大力促进了我校师资队伍的专业成长。 </w:t>
      </w:r>
    </w:p>
    <w:p>
      <w:pPr>
        <w:pStyle w:val="2"/>
        <w:keepNext w:val="0"/>
        <w:keepLines w:val="0"/>
        <w:pageBreakBefore w:val="0"/>
        <w:widowControl w:val="0"/>
        <w:kinsoku/>
        <w:wordWrap/>
        <w:overflowPunct/>
        <w:topLinePunct w:val="0"/>
        <w:autoSpaceDE/>
        <w:autoSpaceDN/>
        <w:bidi w:val="0"/>
        <w:adjustRightInd w:val="0"/>
        <w:snapToGrid/>
        <w:spacing w:beforeLines="0" w:line="600" w:lineRule="exact"/>
        <w:ind w:firstLine="640" w:firstLineChars="200"/>
        <w:textAlignment w:val="auto"/>
        <w:outlineLvl w:val="2"/>
        <w:rPr>
          <w:rFonts w:ascii="Times New Roman" w:hAnsi="Times New Roman" w:eastAsia="仿宋_GB2312"/>
          <w:b w:val="0"/>
          <w:bCs/>
          <w:color w:val="auto"/>
          <w:sz w:val="32"/>
          <w:szCs w:val="32"/>
          <w:highlight w:val="none"/>
        </w:rPr>
      </w:pPr>
      <w:r>
        <w:rPr>
          <w:rFonts w:ascii="仿宋" w:hAnsi="仿宋" w:eastAsia="仿宋"/>
          <w:color w:val="auto"/>
          <w:kern w:val="2"/>
          <w:sz w:val="32"/>
          <w:szCs w:val="32"/>
          <w:highlight w:val="none"/>
        </w:rPr>
        <w:t>4</w:t>
      </w:r>
      <w:r>
        <w:rPr>
          <w:rFonts w:hint="eastAsia" w:ascii="仿宋" w:hAnsi="仿宋" w:eastAsia="仿宋"/>
          <w:color w:val="auto"/>
          <w:kern w:val="2"/>
          <w:sz w:val="32"/>
          <w:szCs w:val="32"/>
          <w:highlight w:val="none"/>
          <w:lang w:val="en-US" w:eastAsia="zh-CN"/>
        </w:rPr>
        <w:t>.</w:t>
      </w:r>
      <w:r>
        <w:rPr>
          <w:rFonts w:ascii="仿宋" w:hAnsi="仿宋" w:eastAsia="仿宋"/>
          <w:color w:val="auto"/>
          <w:kern w:val="2"/>
          <w:sz w:val="32"/>
          <w:szCs w:val="32"/>
          <w:highlight w:val="none"/>
        </w:rPr>
        <w:t>立足课堂实施</w:t>
      </w:r>
      <w:r>
        <w:rPr>
          <w:rFonts w:hint="eastAsia" w:ascii="仿宋" w:hAnsi="仿宋" w:eastAsia="仿宋"/>
          <w:color w:val="auto"/>
          <w:kern w:val="2"/>
          <w:sz w:val="32"/>
          <w:szCs w:val="32"/>
          <w:highlight w:val="none"/>
        </w:rPr>
        <w:t>，</w:t>
      </w:r>
      <w:r>
        <w:rPr>
          <w:rFonts w:ascii="仿宋" w:hAnsi="仿宋" w:eastAsia="仿宋"/>
          <w:color w:val="auto"/>
          <w:kern w:val="2"/>
          <w:sz w:val="32"/>
          <w:szCs w:val="32"/>
          <w:highlight w:val="none"/>
        </w:rPr>
        <w:t>探索和研究的过程中，成就了老师的快速成长。</w:t>
      </w: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3"/>
        <w:ind w:right="440"/>
        <w:jc w:val="center"/>
        <w:rPr>
          <w:rStyle w:val="30"/>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30"/>
          <w:rFonts w:hint="eastAsia" w:ascii="黑体" w:hAnsi="黑体" w:eastAsia="黑体"/>
          <w:b w:val="0"/>
          <w:bCs/>
          <w:color w:val="auto"/>
          <w:highlight w:val="none"/>
        </w:rPr>
        <w:t>单位决算情况说明</w:t>
      </w:r>
      <w:bookmarkEnd w:id="16"/>
      <w:bookmarkEnd w:id="17"/>
    </w:p>
    <w:p>
      <w:pPr>
        <w:rPr>
          <w:color w:val="auto"/>
          <w:highlight w:val="none"/>
        </w:rPr>
      </w:pP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。与2020年相比，收、支总计各</w:t>
      </w:r>
      <w:r>
        <w:rPr>
          <w:rFonts w:hint="eastAsia" w:ascii="仿宋" w:hAnsi="仿宋" w:eastAsia="仿宋"/>
          <w:color w:val="auto"/>
          <w:sz w:val="32"/>
          <w:szCs w:val="32"/>
          <w:highlight w:val="none"/>
          <w:lang w:eastAsia="zh-CN"/>
        </w:rPr>
        <w:t>减少115.74万元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下降18.76%</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20" w:name="_Toc15396604"/>
      <w:bookmarkStart w:id="21" w:name="_Toc15377206"/>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，其中：一般公共预算财政拨款收入</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w:t>
      </w:r>
    </w:p>
    <w:p>
      <w:pPr>
        <w:pStyle w:val="2"/>
        <w:rPr>
          <w:rFonts w:hint="eastAsia"/>
          <w:color w:val="auto"/>
          <w:highlight w:val="none"/>
        </w:rPr>
      </w:pPr>
    </w:p>
    <w:p>
      <w:pPr>
        <w:pStyle w:val="17"/>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7"/>
        <w:ind w:left="0" w:leftChars="0" w:firstLine="640" w:firstLineChars="200"/>
        <w:rPr>
          <w:rStyle w:val="31"/>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1"/>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，其中：基本支出</w:t>
      </w:r>
      <w:r>
        <w:rPr>
          <w:rFonts w:hint="eastAsia" w:ascii="仿宋" w:hAnsi="仿宋" w:eastAsia="仿宋"/>
          <w:color w:val="auto"/>
          <w:sz w:val="32"/>
          <w:szCs w:val="32"/>
          <w:highlight w:val="none"/>
          <w:lang w:val="en-US" w:eastAsia="zh-CN"/>
        </w:rPr>
        <w:t>386.2万元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77.06%</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115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22.94%</w:t>
      </w:r>
      <w:r>
        <w:rPr>
          <w:rFonts w:hint="eastAsia" w:ascii="仿宋" w:hAnsi="仿宋" w:eastAsia="仿宋"/>
          <w:color w:val="auto"/>
          <w:sz w:val="32"/>
          <w:szCs w:val="32"/>
          <w:highlight w:val="none"/>
        </w:rPr>
        <w:t>。</w:t>
      </w:r>
    </w:p>
    <w:p>
      <w:pPr>
        <w:spacing w:line="600" w:lineRule="exact"/>
        <w:ind w:firstLine="640" w:firstLineChars="200"/>
        <w:outlineLvl w:val="1"/>
        <w:rPr>
          <w:rStyle w:val="31"/>
          <w:rFonts w:ascii="黑体" w:hAnsi="黑体" w:eastAsia="黑体"/>
          <w:b w:val="0"/>
          <w:color w:val="auto"/>
          <w:highlight w:val="none"/>
        </w:rPr>
      </w:pPr>
      <w:bookmarkStart w:id="24" w:name="_Toc15377208"/>
      <w:bookmarkStart w:id="25" w:name="_Toc15396606"/>
      <w:r>
        <w:rPr>
          <w:rFonts w:hint="eastAsia" w:ascii="黑体" w:hAnsi="黑体" w:eastAsia="黑体"/>
          <w:color w:val="auto"/>
          <w:sz w:val="32"/>
          <w:szCs w:val="32"/>
          <w:highlight w:val="none"/>
        </w:rPr>
        <w:t>四、财</w:t>
      </w:r>
      <w:r>
        <w:rPr>
          <w:rStyle w:val="31"/>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减少115.74万元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下降18.76%</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r>
        <w:rPr>
          <w:rFonts w:hint="eastAsia" w:ascii="仿宋" w:hAnsi="仿宋" w:eastAsia="仿宋"/>
          <w:color w:val="auto"/>
          <w:sz w:val="32"/>
          <w:szCs w:val="32"/>
          <w:highlight w:val="none"/>
        </w:rPr>
        <w:t>。</w:t>
      </w:r>
    </w:p>
    <w:p>
      <w:pPr>
        <w:pStyle w:val="17"/>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Style w:val="31"/>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default" w:ascii="仿宋" w:hAnsi="仿宋" w:eastAsia="仿宋"/>
          <w:b/>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，占本年支出合计的</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616.94</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减少115.74万元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下降18.76%</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基本支出和项目支出减少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501.20万元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213"/>
      <w:bookmarkStart w:id="32" w:name="_Toc15378460"/>
      <w:bookmarkStart w:id="33" w:name="_Toc15377444"/>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501.20万元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1.教育205（类）普通教育02（款）小学教育02（项）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377.83万元</w:t>
      </w:r>
      <w:r>
        <w:rPr>
          <w:rStyle w:val="20"/>
          <w:rFonts w:hint="eastAsia" w:ascii="仿宋" w:hAnsi="仿宋" w:eastAsia="仿宋"/>
          <w:b w:val="0"/>
          <w:bCs/>
          <w:color w:val="auto"/>
          <w:sz w:val="32"/>
          <w:szCs w:val="32"/>
          <w:highlight w:val="none"/>
        </w:rPr>
        <w:t>，完成预算100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spacing w:line="600" w:lineRule="exact"/>
        <w:ind w:firstLine="643" w:firstLineChars="200"/>
        <w:rPr>
          <w:rStyle w:val="20"/>
          <w:rFonts w:hint="eastAsia"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2</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其他普通教育</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115</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spacing w:line="600" w:lineRule="exact"/>
        <w:ind w:firstLine="643" w:firstLineChars="200"/>
        <w:rPr>
          <w:rStyle w:val="20"/>
          <w:rFonts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lang w:val="en-US" w:eastAsia="zh-CN"/>
        </w:rPr>
        <w:t>3</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lang w:eastAsia="zh-CN"/>
        </w:rPr>
        <w:t>社会保障和就业</w:t>
      </w:r>
      <w:r>
        <w:rPr>
          <w:rStyle w:val="20"/>
          <w:rFonts w:hint="eastAsia" w:ascii="仿宋" w:hAnsi="仿宋" w:eastAsia="仿宋"/>
          <w:bCs/>
          <w:color w:val="auto"/>
          <w:sz w:val="32"/>
          <w:szCs w:val="32"/>
          <w:highlight w:val="none"/>
        </w:rPr>
        <w:t>20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（类）</w:t>
      </w:r>
      <w:r>
        <w:rPr>
          <w:rStyle w:val="20"/>
          <w:rFonts w:hint="eastAsia" w:ascii="仿宋" w:hAnsi="仿宋" w:eastAsia="仿宋"/>
          <w:bCs/>
          <w:color w:val="auto"/>
          <w:sz w:val="32"/>
          <w:szCs w:val="32"/>
          <w:highlight w:val="none"/>
          <w:lang w:eastAsia="zh-CN"/>
        </w:rPr>
        <w:t>抚恤</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8</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其死亡抚恤</w:t>
      </w:r>
      <w:r>
        <w:rPr>
          <w:rStyle w:val="20"/>
          <w:rFonts w:hint="eastAsia" w:ascii="仿宋" w:hAnsi="仿宋" w:eastAsia="仿宋"/>
          <w:bCs/>
          <w:color w:val="auto"/>
          <w:sz w:val="32"/>
          <w:szCs w:val="32"/>
          <w:highlight w:val="none"/>
          <w:lang w:val="en-US" w:eastAsia="zh-CN"/>
        </w:rPr>
        <w:t>01</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8.37</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pStyle w:val="17"/>
        <w:rPr>
          <w:color w:val="auto"/>
          <w:highlight w:val="none"/>
        </w:rPr>
      </w:pPr>
    </w:p>
    <w:p>
      <w:pPr>
        <w:tabs>
          <w:tab w:val="right" w:pos="8306"/>
        </w:tabs>
        <w:spacing w:line="600" w:lineRule="exact"/>
        <w:ind w:firstLine="640"/>
        <w:outlineLvl w:val="1"/>
        <w:rPr>
          <w:rStyle w:val="31"/>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般公共预算财政拨款基本支出决算情况说明</w:t>
      </w:r>
      <w:bookmarkEnd w:id="34"/>
      <w:bookmarkEnd w:id="35"/>
      <w:r>
        <w:rPr>
          <w:rStyle w:val="3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386.2万元</w:t>
      </w:r>
      <w:r>
        <w:rPr>
          <w:rFonts w:hint="eastAsia" w:ascii="仿宋" w:hAnsi="仿宋" w:eastAsia="仿宋"/>
          <w:color w:val="auto"/>
          <w:sz w:val="32"/>
          <w:szCs w:val="32"/>
          <w:highlight w:val="none"/>
        </w:rPr>
        <w:t>，其中：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347.45</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w:t>
      </w:r>
      <w:r>
        <w:rPr>
          <w:rFonts w:hint="eastAsia" w:ascii="仿宋" w:hAnsi="仿宋" w:eastAsia="仿宋"/>
          <w:color w:val="auto"/>
          <w:sz w:val="32"/>
          <w:szCs w:val="32"/>
          <w:highlight w:val="none"/>
          <w:lang w:eastAsia="zh-CN"/>
        </w:rPr>
        <w:t>抚恤金、</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eastAsia="zh-CN"/>
        </w:rPr>
        <w:t>助学金、</w:t>
      </w:r>
      <w:r>
        <w:rPr>
          <w:rFonts w:hint="eastAsia" w:ascii="仿宋" w:hAnsi="仿宋" w:eastAsia="仿宋"/>
          <w:color w:val="auto"/>
          <w:sz w:val="32"/>
          <w:szCs w:val="32"/>
          <w:highlight w:val="none"/>
        </w:rPr>
        <w:t>奖励金等。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38.75</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1"/>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0.56万元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93.33%</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0.56万元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3" w:firstLineChars="20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0.56万元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93.33%</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公务接待费支出决算比20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减少0.03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减少5.08</w:t>
      </w:r>
      <w:r>
        <w:rPr>
          <w:rFonts w:hint="eastAsia" w:ascii="仿宋" w:hAnsi="仿宋" w:eastAsia="仿宋" w:cs="仿宋"/>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0.56万元</w:t>
      </w:r>
      <w:r>
        <w:rPr>
          <w:rFonts w:hint="default" w:ascii="Times New Roman" w:hAnsi="Times New Roman" w:eastAsia="仿宋" w:cs="Times New Roman"/>
          <w:color w:val="auto"/>
          <w:sz w:val="32"/>
          <w:szCs w:val="32"/>
          <w:highlight w:val="none"/>
        </w:rPr>
        <w:t>，主要用于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24</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96</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0.56万元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学生活动费及运动会学生用餐、交通费、体检费等0.36万元。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96610"/>
      <w:bookmarkStart w:id="41" w:name="_Toc15377218"/>
    </w:p>
    <w:p>
      <w:pPr>
        <w:spacing w:line="600" w:lineRule="exact"/>
        <w:ind w:firstLine="640"/>
        <w:outlineLvl w:val="1"/>
        <w:rPr>
          <w:rStyle w:val="31"/>
          <w:rFonts w:ascii="黑体" w:hAnsi="黑体" w:eastAsia="黑体"/>
          <w:color w:val="auto"/>
          <w:highlight w:val="none"/>
        </w:rPr>
      </w:pPr>
      <w:r>
        <w:rPr>
          <w:rFonts w:hint="eastAsia" w:ascii="黑体" w:eastAsia="黑体"/>
          <w:color w:val="auto"/>
          <w:sz w:val="32"/>
          <w:szCs w:val="32"/>
          <w:highlight w:val="none"/>
        </w:rPr>
        <w:t>八、</w:t>
      </w:r>
      <w:r>
        <w:rPr>
          <w:rStyle w:val="31"/>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17"/>
        <w:rPr>
          <w:color w:val="auto"/>
          <w:highlight w:val="none"/>
        </w:rPr>
      </w:pPr>
    </w:p>
    <w:p>
      <w:pPr>
        <w:numPr>
          <w:ilvl w:val="0"/>
          <w:numId w:val="3"/>
        </w:numPr>
        <w:spacing w:line="600" w:lineRule="exact"/>
        <w:ind w:firstLine="640"/>
        <w:outlineLvl w:val="1"/>
        <w:rPr>
          <w:rStyle w:val="31"/>
          <w:rFonts w:ascii="黑体" w:hAnsi="黑体" w:eastAsia="黑体"/>
          <w:b w:val="0"/>
          <w:color w:val="auto"/>
          <w:highlight w:val="none"/>
        </w:rPr>
      </w:pPr>
      <w:bookmarkStart w:id="42" w:name="_Toc15396611"/>
      <w:bookmarkStart w:id="43" w:name="_Toc15377219"/>
      <w:r>
        <w:rPr>
          <w:rStyle w:val="31"/>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1"/>
          <w:rFonts w:ascii="黑体" w:hAnsi="黑体" w:eastAsia="黑体"/>
          <w:b w:val="0"/>
          <w:color w:val="auto"/>
          <w:highlight w:val="none"/>
        </w:rPr>
      </w:pPr>
      <w:bookmarkStart w:id="44" w:name="_Toc15396612"/>
      <w:bookmarkStart w:id="45" w:name="_Toc15377221"/>
      <w:r>
        <w:rPr>
          <w:rStyle w:val="31"/>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对追加预算教学楼改造项目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3"/>
        </w:numPr>
        <w:spacing w:line="600" w:lineRule="exact"/>
        <w:ind w:firstLine="640"/>
        <w:outlineLvl w:val="1"/>
        <w:rPr>
          <w:rStyle w:val="31"/>
          <w:rFonts w:ascii="黑体" w:hAnsi="黑体" w:eastAsia="黑体"/>
          <w:b w:val="0"/>
          <w:color w:val="auto"/>
          <w:highlight w:val="none"/>
        </w:rPr>
      </w:pPr>
      <w:r>
        <w:rPr>
          <w:rStyle w:val="31"/>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2"/>
        <w:rPr>
          <w:rFonts w:hint="eastAsia"/>
          <w:color w:val="auto"/>
          <w:highlight w:val="none"/>
        </w:rPr>
      </w:pPr>
    </w:p>
    <w:p>
      <w:pPr>
        <w:numPr>
          <w:ilvl w:val="0"/>
          <w:numId w:val="4"/>
        </w:numPr>
        <w:spacing w:line="600" w:lineRule="exact"/>
        <w:ind w:firstLine="660" w:firstLineChars="150"/>
        <w:jc w:val="center"/>
        <w:outlineLvl w:val="0"/>
        <w:rPr>
          <w:rStyle w:val="30"/>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30"/>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7.教育（类）普通教育（款）其他普通教育（项）：指其他普通教育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7"/>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10.</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8"/>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8"/>
        <w:spacing w:line="560" w:lineRule="exact"/>
        <w:ind w:firstLine="883" w:firstLineChars="200"/>
        <w:jc w:val="center"/>
        <w:rPr>
          <w:rStyle w:val="30"/>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四部分 附件</w:t>
      </w:r>
      <w:bookmarkEnd w:id="52"/>
    </w:p>
    <w:p>
      <w:pPr>
        <w:rPr>
          <w:rFonts w:hint="eastAsia" w:ascii="仿宋_GB2312" w:hAnsi="仿宋_GB2312" w:eastAsia="黑体" w:cs="仿宋_GB2312"/>
          <w:color w:val="auto"/>
          <w:sz w:val="32"/>
          <w:szCs w:val="32"/>
          <w:highlight w:val="none"/>
          <w:lang w:val="en-US" w:eastAsia="zh-CN"/>
        </w:rPr>
      </w:pPr>
      <w:bookmarkStart w:id="53" w:name="_Toc15396618"/>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8"/>
        <w:tblpPr w:leftFromText="180" w:rightFromText="180" w:vertAnchor="text" w:horzAnchor="page" w:tblpX="1702" w:tblpY="109"/>
        <w:tblOverlap w:val="never"/>
        <w:tblW w:w="8979" w:type="dxa"/>
        <w:tblInd w:w="0" w:type="dxa"/>
        <w:tblLayout w:type="fixed"/>
        <w:tblCellMar>
          <w:top w:w="0" w:type="dxa"/>
          <w:left w:w="108" w:type="dxa"/>
          <w:bottom w:w="0" w:type="dxa"/>
          <w:right w:w="108" w:type="dxa"/>
        </w:tblCellMar>
      </w:tblPr>
      <w:tblGrid>
        <w:gridCol w:w="1053"/>
        <w:gridCol w:w="953"/>
        <w:gridCol w:w="1151"/>
        <w:gridCol w:w="2264"/>
        <w:gridCol w:w="1116"/>
        <w:gridCol w:w="2206"/>
        <w:gridCol w:w="236"/>
      </w:tblGrid>
      <w:tr>
        <w:tblPrEx>
          <w:tblCellMar>
            <w:top w:w="0" w:type="dxa"/>
            <w:left w:w="108" w:type="dxa"/>
            <w:bottom w:w="0" w:type="dxa"/>
            <w:right w:w="108" w:type="dxa"/>
          </w:tblCellMar>
        </w:tblPrEx>
        <w:trPr>
          <w:trHeight w:val="1260" w:hRule="atLeast"/>
        </w:trPr>
        <w:tc>
          <w:tcPr>
            <w:tcW w:w="8743"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（射箭镇小学教学楼改造项目）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656"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360335</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广元市昭化区射箭镇小学</w:t>
            </w:r>
          </w:p>
        </w:tc>
      </w:tr>
      <w:tr>
        <w:tblPrEx>
          <w:tblCellMar>
            <w:top w:w="0" w:type="dxa"/>
            <w:left w:w="108" w:type="dxa"/>
            <w:bottom w:w="0" w:type="dxa"/>
            <w:right w:w="108" w:type="dxa"/>
          </w:tblCellMar>
        </w:tblPrEx>
        <w:trPr>
          <w:gridAfter w:val="1"/>
          <w:wAfter w:w="236" w:type="dxa"/>
          <w:trHeight w:val="656" w:hRule="atLeast"/>
        </w:trPr>
        <w:tc>
          <w:tcPr>
            <w:tcW w:w="20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115</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115</w:t>
            </w:r>
          </w:p>
        </w:tc>
      </w:tr>
      <w:tr>
        <w:tblPrEx>
          <w:tblCellMar>
            <w:top w:w="0" w:type="dxa"/>
            <w:left w:w="108" w:type="dxa"/>
            <w:bottom w:w="0" w:type="dxa"/>
            <w:right w:w="108" w:type="dxa"/>
          </w:tblCellMar>
        </w:tblPrEx>
        <w:trPr>
          <w:gridAfter w:val="1"/>
          <w:wAfter w:w="236" w:type="dxa"/>
          <w:trHeight w:val="979" w:hRule="atLeast"/>
        </w:trPr>
        <w:tc>
          <w:tcPr>
            <w:tcW w:w="20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115</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115</w:t>
            </w:r>
          </w:p>
        </w:tc>
      </w:tr>
      <w:tr>
        <w:tblPrEx>
          <w:tblCellMar>
            <w:top w:w="0" w:type="dxa"/>
            <w:left w:w="108" w:type="dxa"/>
            <w:bottom w:w="0" w:type="dxa"/>
            <w:right w:w="108" w:type="dxa"/>
          </w:tblCellMar>
        </w:tblPrEx>
        <w:trPr>
          <w:gridAfter w:val="1"/>
          <w:wAfter w:w="236" w:type="dxa"/>
          <w:trHeight w:val="656" w:hRule="atLeast"/>
        </w:trPr>
        <w:tc>
          <w:tcPr>
            <w:tcW w:w="20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33"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3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302"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368"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教学楼改造面积</w:t>
            </w:r>
            <w:r>
              <w:rPr>
                <w:rFonts w:hint="eastAsia" w:ascii="宋体" w:hAnsi="宋体" w:cs="宋体"/>
                <w:color w:val="auto"/>
                <w:sz w:val="22"/>
                <w:szCs w:val="22"/>
                <w:highlight w:val="none"/>
                <w:lang w:val="en-US" w:eastAsia="zh-CN"/>
              </w:rPr>
              <w:t>1450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32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0"/>
                <w:szCs w:val="20"/>
                <w:highlight w:val="none"/>
                <w:lang w:eastAsia="zh-CN"/>
              </w:rPr>
              <w:t>完成</w:t>
            </w:r>
            <w:r>
              <w:rPr>
                <w:rFonts w:hint="eastAsia" w:ascii="宋体" w:hAnsi="宋体" w:cs="宋体"/>
                <w:color w:val="auto"/>
                <w:sz w:val="20"/>
                <w:szCs w:val="20"/>
                <w:highlight w:val="none"/>
                <w:lang w:val="en-US" w:eastAsia="zh-CN"/>
              </w:rPr>
              <w:t>1450</w:t>
            </w:r>
            <w:r>
              <w:rPr>
                <w:rFonts w:hint="default" w:ascii="宋体" w:hAnsi="宋体" w:cs="宋体"/>
                <w:color w:val="auto"/>
                <w:sz w:val="20"/>
                <w:szCs w:val="20"/>
                <w:highlight w:val="none"/>
              </w:rPr>
              <w:t>平方米</w:t>
            </w:r>
            <w:r>
              <w:rPr>
                <w:rFonts w:hint="eastAsia" w:ascii="宋体" w:hAnsi="宋体" w:cs="宋体"/>
                <w:color w:val="auto"/>
                <w:sz w:val="20"/>
                <w:szCs w:val="20"/>
                <w:highlight w:val="none"/>
                <w:lang w:eastAsia="zh-CN"/>
              </w:rPr>
              <w:t>的教学楼改造，惠及</w:t>
            </w:r>
            <w:r>
              <w:rPr>
                <w:rFonts w:hint="eastAsia" w:ascii="宋体" w:hAnsi="宋体" w:cs="宋体"/>
                <w:color w:val="auto"/>
                <w:sz w:val="20"/>
                <w:szCs w:val="20"/>
                <w:highlight w:val="none"/>
                <w:lang w:val="en-US" w:eastAsia="zh-CN"/>
              </w:rPr>
              <w:t>112名学生，</w:t>
            </w:r>
            <w:r>
              <w:rPr>
                <w:rFonts w:hint="default" w:ascii="宋体" w:hAnsi="宋体" w:cs="宋体"/>
                <w:color w:val="auto"/>
                <w:sz w:val="20"/>
                <w:szCs w:val="20"/>
                <w:highlight w:val="none"/>
              </w:rPr>
              <w:t>改善</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学校办学条件和基础设施配套，提供</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高质量硬件设施设备，营造</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良好的学习氛围</w:t>
            </w:r>
            <w:r>
              <w:rPr>
                <w:rFonts w:hint="eastAsia" w:ascii="宋体" w:hAnsi="宋体" w:cs="宋体"/>
                <w:color w:val="auto"/>
                <w:sz w:val="20"/>
                <w:szCs w:val="20"/>
                <w:highlight w:val="none"/>
                <w:lang w:eastAsia="zh-CN"/>
              </w:rPr>
              <w:t>。</w:t>
            </w:r>
          </w:p>
        </w:tc>
      </w:tr>
      <w:tr>
        <w:tblPrEx>
          <w:tblCellMar>
            <w:top w:w="0" w:type="dxa"/>
            <w:left w:w="108" w:type="dxa"/>
            <w:bottom w:w="0" w:type="dxa"/>
            <w:right w:w="108" w:type="dxa"/>
          </w:tblCellMar>
        </w:tblPrEx>
        <w:trPr>
          <w:gridAfter w:val="1"/>
          <w:wAfter w:w="236" w:type="dxa"/>
          <w:trHeight w:val="674" w:hRule="atLeast"/>
        </w:trPr>
        <w:tc>
          <w:tcPr>
            <w:tcW w:w="105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95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333"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1450m²</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1450m²</w:t>
            </w:r>
          </w:p>
        </w:tc>
      </w:tr>
      <w:tr>
        <w:tblPrEx>
          <w:tblCellMar>
            <w:top w:w="0" w:type="dxa"/>
            <w:left w:w="108" w:type="dxa"/>
            <w:bottom w:w="0" w:type="dxa"/>
            <w:right w:w="108" w:type="dxa"/>
          </w:tblCellMar>
        </w:tblPrEx>
        <w:trPr>
          <w:gridAfter w:val="1"/>
          <w:wAfter w:w="236" w:type="dxa"/>
          <w:trHeight w:val="449"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5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16"/>
                <w:szCs w:val="16"/>
                <w:highlight w:val="none"/>
                <w:lang w:eastAsia="zh-CN"/>
              </w:rPr>
              <w:t>教学楼改造</w:t>
            </w:r>
            <w:r>
              <w:rPr>
                <w:rFonts w:hint="default" w:ascii="仿宋_GB2312" w:hAnsi="仿宋_GB2312" w:eastAsia="仿宋_GB2312" w:cs="仿宋_GB2312"/>
                <w:color w:val="auto"/>
                <w:sz w:val="16"/>
                <w:szCs w:val="16"/>
                <w:highlight w:val="none"/>
              </w:rPr>
              <w:t>竣工验收合格率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372"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51"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教学楼改造</w:t>
            </w:r>
            <w:r>
              <w:rPr>
                <w:rFonts w:hint="default" w:ascii="仿宋_GB2312" w:hAnsi="仿宋_GB2312" w:eastAsia="仿宋_GB2312" w:cs="仿宋_GB2312"/>
                <w:color w:val="auto"/>
                <w:sz w:val="20"/>
                <w:szCs w:val="20"/>
                <w:highlight w:val="none"/>
              </w:rPr>
              <w:t>质量标准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333"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5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361"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5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教学楼改造建设周期</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656"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5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教学楼改造</w:t>
            </w:r>
            <w:r>
              <w:rPr>
                <w:rFonts w:hint="default" w:ascii="仿宋_GB2312" w:hAnsi="仿宋_GB2312" w:eastAsia="仿宋_GB2312" w:cs="仿宋_GB2312"/>
                <w:color w:val="auto"/>
                <w:sz w:val="20"/>
                <w:szCs w:val="20"/>
                <w:highlight w:val="none"/>
              </w:rPr>
              <w:t>类项目每平方米造价</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793元</w:t>
            </w:r>
          </w:p>
        </w:tc>
      </w:tr>
      <w:tr>
        <w:tblPrEx>
          <w:tblCellMar>
            <w:top w:w="0" w:type="dxa"/>
            <w:left w:w="108" w:type="dxa"/>
            <w:bottom w:w="0" w:type="dxa"/>
            <w:right w:w="108" w:type="dxa"/>
          </w:tblCellMar>
        </w:tblPrEx>
        <w:trPr>
          <w:gridAfter w:val="1"/>
          <w:wAfter w:w="236" w:type="dxa"/>
          <w:trHeight w:val="656"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26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56"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26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56"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26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579" w:hRule="atLeast"/>
        </w:trPr>
        <w:tc>
          <w:tcPr>
            <w:tcW w:w="105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151"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513" w:hRule="atLeast"/>
        </w:trPr>
        <w:tc>
          <w:tcPr>
            <w:tcW w:w="105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5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151"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1"/>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1"/>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1"/>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政拨款收入支出决算总表</w:t>
      </w:r>
      <w:bookmarkEnd w:id="57"/>
    </w:p>
    <w:p>
      <w:pPr>
        <w:pStyle w:val="4"/>
        <w:rPr>
          <w:rStyle w:val="31"/>
          <w:rFonts w:ascii="仿宋" w:hAnsi="仿宋" w:eastAsia="仿宋"/>
          <w:b w:val="0"/>
          <w:bCs w:val="0"/>
          <w:color w:val="auto"/>
          <w:highlight w:val="none"/>
        </w:rPr>
      </w:pPr>
      <w:bookmarkStart w:id="58" w:name="_Toc15396623"/>
      <w:r>
        <w:rPr>
          <w:rStyle w:val="3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1"/>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1"/>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1"/>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府性基金预算财政拨款“三公”经费支出决算表</w:t>
      </w:r>
      <w:bookmarkEnd w:id="65"/>
    </w:p>
    <w:p>
      <w:pPr>
        <w:pStyle w:val="4"/>
        <w:rPr>
          <w:rStyle w:val="31"/>
          <w:rFonts w:ascii="仿宋" w:hAnsi="仿宋" w:eastAsia="仿宋"/>
          <w:b w:val="0"/>
          <w:bCs w:val="0"/>
          <w:color w:val="auto"/>
          <w:highlight w:val="none"/>
        </w:rPr>
      </w:pPr>
      <w:bookmarkStart w:id="66" w:name="_Toc15396631"/>
      <w:r>
        <w:rPr>
          <w:rStyle w:val="31"/>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1"/>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1"/>
          <w:rFonts w:hint="eastAsia" w:ascii="仿宋" w:hAnsi="仿宋" w:eastAsia="仿宋"/>
          <w:b w:val="0"/>
          <w:bCs w:val="0"/>
          <w:color w:val="auto"/>
          <w:highlight w:val="none"/>
        </w:rPr>
        <w:t>十四、国有资本经营预算财政拨款支出决算表</w:t>
      </w:r>
    </w:p>
    <w:sectPr>
      <w:footerReference r:id="rId6" w:type="first"/>
      <w:footerReference r:id="rId5" w:type="default"/>
      <w:pgSz w:w="11906" w:h="16838"/>
      <w:pgMar w:top="1440" w:right="1800" w:bottom="1440" w:left="1800" w:header="851" w:footer="992" w:gutter="0"/>
      <w:pgNumType w:fmt="numberInDash"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2"/>
                      <w:rPr>
                        <w:rFonts w:hint="default"/>
                        <w:lang w:val="en-US"/>
                      </w:rPr>
                    </w:pP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4A1F"/>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3684"/>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44054"/>
    <w:rsid w:val="02F079B0"/>
    <w:rsid w:val="038D3451"/>
    <w:rsid w:val="056557BF"/>
    <w:rsid w:val="06497B03"/>
    <w:rsid w:val="06642230"/>
    <w:rsid w:val="077961C6"/>
    <w:rsid w:val="099A2423"/>
    <w:rsid w:val="09BF1E8A"/>
    <w:rsid w:val="0A2032A3"/>
    <w:rsid w:val="0B8A37D8"/>
    <w:rsid w:val="0D58062B"/>
    <w:rsid w:val="0D766D04"/>
    <w:rsid w:val="0D817B82"/>
    <w:rsid w:val="0E6354DA"/>
    <w:rsid w:val="0EC71F0D"/>
    <w:rsid w:val="0F373202"/>
    <w:rsid w:val="0F7F0045"/>
    <w:rsid w:val="10C055FF"/>
    <w:rsid w:val="112C7A85"/>
    <w:rsid w:val="118107EC"/>
    <w:rsid w:val="11DD6519"/>
    <w:rsid w:val="12910332"/>
    <w:rsid w:val="15520056"/>
    <w:rsid w:val="157E27B0"/>
    <w:rsid w:val="16BB723D"/>
    <w:rsid w:val="177D300F"/>
    <w:rsid w:val="18015F3F"/>
    <w:rsid w:val="1B013245"/>
    <w:rsid w:val="1BE8440E"/>
    <w:rsid w:val="1D155CEE"/>
    <w:rsid w:val="1D556AB9"/>
    <w:rsid w:val="1D70376F"/>
    <w:rsid w:val="20F57F95"/>
    <w:rsid w:val="21156B08"/>
    <w:rsid w:val="21710A4D"/>
    <w:rsid w:val="23066A21"/>
    <w:rsid w:val="23813850"/>
    <w:rsid w:val="240371BF"/>
    <w:rsid w:val="24D54B4E"/>
    <w:rsid w:val="25551BC9"/>
    <w:rsid w:val="259D1976"/>
    <w:rsid w:val="25C741E6"/>
    <w:rsid w:val="277B1EA4"/>
    <w:rsid w:val="27842671"/>
    <w:rsid w:val="28942A08"/>
    <w:rsid w:val="29FD04D3"/>
    <w:rsid w:val="2ABE7A3E"/>
    <w:rsid w:val="2B2631B2"/>
    <w:rsid w:val="2BAE4DE0"/>
    <w:rsid w:val="2BD15D21"/>
    <w:rsid w:val="2C0D4D5A"/>
    <w:rsid w:val="2D0D0FDB"/>
    <w:rsid w:val="2D2B320F"/>
    <w:rsid w:val="2D3B7903"/>
    <w:rsid w:val="2D777E62"/>
    <w:rsid w:val="2EAE40F8"/>
    <w:rsid w:val="2EE0388D"/>
    <w:rsid w:val="2EFA178C"/>
    <w:rsid w:val="30B46D73"/>
    <w:rsid w:val="31100374"/>
    <w:rsid w:val="319F7F4E"/>
    <w:rsid w:val="31F471A1"/>
    <w:rsid w:val="32966B45"/>
    <w:rsid w:val="32E05DEF"/>
    <w:rsid w:val="32E20DCB"/>
    <w:rsid w:val="353C0D20"/>
    <w:rsid w:val="38930294"/>
    <w:rsid w:val="391A1D33"/>
    <w:rsid w:val="39705BD5"/>
    <w:rsid w:val="39AE70AB"/>
    <w:rsid w:val="3A117902"/>
    <w:rsid w:val="3C0C0783"/>
    <w:rsid w:val="3F206990"/>
    <w:rsid w:val="3F795B0E"/>
    <w:rsid w:val="3F9F3A96"/>
    <w:rsid w:val="462C5BD6"/>
    <w:rsid w:val="46A14816"/>
    <w:rsid w:val="47FF2DD3"/>
    <w:rsid w:val="493C27E9"/>
    <w:rsid w:val="496F39ED"/>
    <w:rsid w:val="49FF41D3"/>
    <w:rsid w:val="4A185DC8"/>
    <w:rsid w:val="4BE068DB"/>
    <w:rsid w:val="4BF6002B"/>
    <w:rsid w:val="4ECE2238"/>
    <w:rsid w:val="4F9F38BD"/>
    <w:rsid w:val="4FD61684"/>
    <w:rsid w:val="503645ED"/>
    <w:rsid w:val="508F3649"/>
    <w:rsid w:val="50D32AD9"/>
    <w:rsid w:val="51DB4B86"/>
    <w:rsid w:val="526861E8"/>
    <w:rsid w:val="52CF5BE8"/>
    <w:rsid w:val="52FB5859"/>
    <w:rsid w:val="538925BA"/>
    <w:rsid w:val="547F5A6B"/>
    <w:rsid w:val="55333C3E"/>
    <w:rsid w:val="558E2409"/>
    <w:rsid w:val="571B7CCD"/>
    <w:rsid w:val="58737E60"/>
    <w:rsid w:val="5B1E7D8B"/>
    <w:rsid w:val="5EEF25B2"/>
    <w:rsid w:val="5F3E6C81"/>
    <w:rsid w:val="60A2320D"/>
    <w:rsid w:val="64340620"/>
    <w:rsid w:val="64A80084"/>
    <w:rsid w:val="64CA39A1"/>
    <w:rsid w:val="65B126BB"/>
    <w:rsid w:val="69D312C4"/>
    <w:rsid w:val="6C4A05C8"/>
    <w:rsid w:val="6C6E6699"/>
    <w:rsid w:val="6C9F2CF6"/>
    <w:rsid w:val="6EDA0CDC"/>
    <w:rsid w:val="71B15D87"/>
    <w:rsid w:val="72734D90"/>
    <w:rsid w:val="727D7081"/>
    <w:rsid w:val="72E456B5"/>
    <w:rsid w:val="74E366CA"/>
    <w:rsid w:val="75137DDD"/>
    <w:rsid w:val="75370E8B"/>
    <w:rsid w:val="75B618B0"/>
    <w:rsid w:val="79E7B28D"/>
    <w:rsid w:val="7AC82E51"/>
    <w:rsid w:val="7BFA24EA"/>
    <w:rsid w:val="7CAB154F"/>
    <w:rsid w:val="7CC3033B"/>
    <w:rsid w:val="7EC64112"/>
    <w:rsid w:val="7F9F20EE"/>
    <w:rsid w:val="7FC76394"/>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8"/>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9"/>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ody Text Indent 2"/>
    <w:basedOn w:val="1"/>
    <w:qFormat/>
    <w:uiPriority w:val="0"/>
    <w:pPr>
      <w:spacing w:after="120" w:line="480" w:lineRule="auto"/>
      <w:ind w:left="420" w:leftChars="200" w:firstLine="200" w:firstLineChars="200"/>
    </w:pPr>
    <w:rPr>
      <w:rFonts w:ascii="Times New Roman" w:hAnsi="Times New Roman" w:eastAsia="宋体" w:cs="Times New Roman"/>
      <w:sz w:val="24"/>
      <w:szCs w:val="21"/>
    </w:rPr>
  </w:style>
  <w:style w:type="paragraph" w:styleId="11">
    <w:name w:val="Balloon Text"/>
    <w:basedOn w:val="1"/>
    <w:link w:val="33"/>
    <w:semiHidden/>
    <w:unhideWhenUsed/>
    <w:qFormat/>
    <w:uiPriority w:val="99"/>
    <w:rPr>
      <w:sz w:val="18"/>
      <w:szCs w:val="18"/>
    </w:rPr>
  </w:style>
  <w:style w:type="paragraph" w:styleId="12">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paragraph" w:styleId="17">
    <w:name w:val="Body Text First Indent 2"/>
    <w:basedOn w:val="8"/>
    <w:link w:val="40"/>
    <w:qFormat/>
    <w:uiPriority w:val="99"/>
    <w:pPr>
      <w:ind w:firstLine="420" w:firstLineChars="200"/>
    </w:pPr>
  </w:style>
  <w:style w:type="character" w:styleId="20">
    <w:name w:val="Strong"/>
    <w:basedOn w:val="19"/>
    <w:qFormat/>
    <w:uiPriority w:val="99"/>
    <w:rPr>
      <w:rFonts w:hint="default" w:ascii="Times New Roman" w:hAnsi="Times New Roman" w:cs="Times New Roman"/>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Header Char"/>
    <w:basedOn w:val="19"/>
    <w:semiHidden/>
    <w:qFormat/>
    <w:uiPriority w:val="99"/>
    <w:rPr>
      <w:rFonts w:ascii="Times New Roman" w:hAnsi="Times New Roman"/>
      <w:sz w:val="18"/>
      <w:szCs w:val="18"/>
    </w:rPr>
  </w:style>
  <w:style w:type="character" w:customStyle="1" w:styleId="23">
    <w:name w:val="页眉 Char"/>
    <w:link w:val="13"/>
    <w:semiHidden/>
    <w:qFormat/>
    <w:locked/>
    <w:uiPriority w:val="99"/>
    <w:rPr>
      <w:sz w:val="18"/>
    </w:rPr>
  </w:style>
  <w:style w:type="character" w:customStyle="1" w:styleId="24">
    <w:name w:val="Footer Char"/>
    <w:basedOn w:val="19"/>
    <w:semiHidden/>
    <w:qFormat/>
    <w:uiPriority w:val="99"/>
    <w:rPr>
      <w:rFonts w:ascii="Times New Roman" w:hAnsi="Times New Roman"/>
      <w:sz w:val="18"/>
      <w:szCs w:val="18"/>
    </w:rPr>
  </w:style>
  <w:style w:type="character" w:customStyle="1" w:styleId="25">
    <w:name w:val="页脚 Char"/>
    <w:link w:val="12"/>
    <w:qFormat/>
    <w:locked/>
    <w:uiPriority w:val="99"/>
    <w:rPr>
      <w:sz w:val="18"/>
    </w:rPr>
  </w:style>
  <w:style w:type="character" w:customStyle="1" w:styleId="26">
    <w:name w:val="Body Text Char"/>
    <w:basedOn w:val="19"/>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9"/>
    <w:link w:val="3"/>
    <w:qFormat/>
    <w:uiPriority w:val="9"/>
    <w:rPr>
      <w:rFonts w:ascii="Times New Roman" w:hAnsi="Times New Roman"/>
      <w:b/>
      <w:bCs/>
      <w:kern w:val="44"/>
      <w:sz w:val="44"/>
      <w:szCs w:val="44"/>
    </w:rPr>
  </w:style>
  <w:style w:type="character" w:customStyle="1" w:styleId="31">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9"/>
    <w:link w:val="11"/>
    <w:semiHidden/>
    <w:qFormat/>
    <w:uiPriority w:val="99"/>
    <w:rPr>
      <w:rFonts w:ascii="Times New Roman" w:hAnsi="Times New Roman"/>
      <w:kern w:val="2"/>
      <w:sz w:val="18"/>
      <w:szCs w:val="18"/>
    </w:rPr>
  </w:style>
  <w:style w:type="character" w:customStyle="1" w:styleId="34">
    <w:name w:val="标题 3 Char"/>
    <w:basedOn w:val="19"/>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正文文本 字符"/>
    <w:basedOn w:val="19"/>
    <w:qFormat/>
    <w:uiPriority w:val="0"/>
    <w:rPr>
      <w:kern w:val="2"/>
      <w:sz w:val="21"/>
      <w:szCs w:val="24"/>
    </w:rPr>
  </w:style>
  <w:style w:type="character" w:customStyle="1" w:styleId="37">
    <w:name w:val="标题 2 Char1"/>
    <w:basedOn w:val="19"/>
    <w:link w:val="4"/>
    <w:qFormat/>
    <w:uiPriority w:val="0"/>
    <w:rPr>
      <w:rFonts w:ascii="等线 Light" w:hAnsi="等线 Light" w:eastAsia="等线 Light" w:cs="Times New Roman"/>
      <w:b/>
      <w:bCs/>
      <w:kern w:val="2"/>
      <w:sz w:val="32"/>
      <w:szCs w:val="32"/>
    </w:rPr>
  </w:style>
  <w:style w:type="character" w:customStyle="1" w:styleId="38">
    <w:name w:val="正文文本 Char1"/>
    <w:basedOn w:val="19"/>
    <w:link w:val="2"/>
    <w:qFormat/>
    <w:uiPriority w:val="0"/>
    <w:rPr>
      <w:rFonts w:hint="eastAsia" w:ascii="仿宋_GB2312" w:eastAsia="仿宋_GB2312" w:cs="仿宋_GB2312"/>
      <w:sz w:val="24"/>
    </w:rPr>
  </w:style>
  <w:style w:type="character" w:customStyle="1" w:styleId="39">
    <w:name w:val="正文文本缩进 字符"/>
    <w:basedOn w:val="19"/>
    <w:link w:val="8"/>
    <w:qFormat/>
    <w:uiPriority w:val="0"/>
    <w:rPr>
      <w:rFonts w:hint="default" w:ascii="Times New Roman" w:hAnsi="Times New Roman" w:cs="Times New Roman"/>
      <w:kern w:val="2"/>
      <w:sz w:val="21"/>
      <w:szCs w:val="24"/>
    </w:rPr>
  </w:style>
  <w:style w:type="character" w:customStyle="1" w:styleId="40">
    <w:name w:val="正文首行缩进 2 字符"/>
    <w:basedOn w:val="39"/>
    <w:link w:val="17"/>
    <w:qFormat/>
    <w:uiPriority w:val="0"/>
    <w:rPr>
      <w:rFonts w:hint="default" w:ascii="Times New Roman" w:hAnsi="Times New Roman" w:cs="Times New Roman"/>
      <w:kern w:val="2"/>
      <w:sz w:val="21"/>
      <w:szCs w:val="24"/>
    </w:rPr>
  </w:style>
  <w:style w:type="character" w:customStyle="1" w:styleId="41">
    <w:name w:val="标题 2 字符"/>
    <w:basedOn w:val="19"/>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616.94</c:v>
                </c:pt>
                <c:pt idx="1">
                  <c:v>501.2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616.94</c:v>
                </c:pt>
                <c:pt idx="1">
                  <c:v>501.2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101174829242534"/>
                  <c:y val="-0.20770625846877"/>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77.06</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82424827618891"/>
                  <c:y val="0.15502904519533"/>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22.94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0.7706</c:v>
                </c:pt>
                <c:pt idx="1">
                  <c:v>0.2294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616.94</c:v>
                </c:pt>
                <c:pt idx="1">
                  <c:v>501.2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616.94</c:v>
                </c:pt>
                <c:pt idx="1">
                  <c:v>501.2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616.94</c:v>
                </c:pt>
                <c:pt idx="1">
                  <c:v>501.2</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18</Pages>
  <Words>5019</Words>
  <Characters>5435</Characters>
  <Lines>47</Lines>
  <Paragraphs>13</Paragraphs>
  <TotalTime>4</TotalTime>
  <ScaleCrop>false</ScaleCrop>
  <LinksUpToDate>false</LinksUpToDate>
  <CharactersWithSpaces>5501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2022-09-30T15:30:47Z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773137D377624A1482235C5A83E71150</vt:lpwstr>
  </property>
</Properties>
</file>