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A4CB3">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52619CE2">
      <w:pPr>
        <w:spacing w:line="600" w:lineRule="exact"/>
        <w:jc w:val="center"/>
        <w:outlineLvl w:val="0"/>
        <w:rPr>
          <w:rFonts w:ascii="方正小标宋简体" w:hAnsi="宋体" w:eastAsia="方正小标宋简体"/>
          <w:color w:val="auto"/>
          <w:sz w:val="72"/>
          <w:szCs w:val="72"/>
          <w:highlight w:val="none"/>
        </w:rPr>
      </w:pPr>
    </w:p>
    <w:p w14:paraId="502459CE">
      <w:pPr>
        <w:spacing w:line="600" w:lineRule="exact"/>
        <w:jc w:val="center"/>
        <w:outlineLvl w:val="0"/>
        <w:rPr>
          <w:rFonts w:ascii="方正小标宋简体" w:hAnsi="宋体" w:eastAsia="方正小标宋简体"/>
          <w:color w:val="auto"/>
          <w:sz w:val="72"/>
          <w:szCs w:val="72"/>
          <w:highlight w:val="none"/>
        </w:rPr>
      </w:pPr>
    </w:p>
    <w:p w14:paraId="034DE4A1">
      <w:pPr>
        <w:spacing w:line="600" w:lineRule="exact"/>
        <w:jc w:val="center"/>
        <w:outlineLvl w:val="0"/>
        <w:rPr>
          <w:rFonts w:ascii="方正小标宋简体" w:hAnsi="宋体" w:eastAsia="方正小标宋简体"/>
          <w:color w:val="auto"/>
          <w:sz w:val="72"/>
          <w:szCs w:val="72"/>
          <w:highlight w:val="none"/>
        </w:rPr>
      </w:pPr>
    </w:p>
    <w:p w14:paraId="0B71C8D1">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96597"/>
      <w:bookmarkStart w:id="2" w:name="_Toc15378441"/>
      <w:bookmarkStart w:id="3" w:name="_Toc15377193"/>
      <w:bookmarkStart w:id="4" w:name="_Toc15377425"/>
      <w:bookmarkStart w:id="5" w:name="_Toc1539647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14:paraId="0CCF047A">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6" w:name="_Toc15396598"/>
      <w:bookmarkStart w:id="7" w:name="_Toc15377426"/>
      <w:bookmarkStart w:id="8" w:name="_Toc15377194"/>
      <w:bookmarkStart w:id="9" w:name="_Toc15378442"/>
      <w:bookmarkStart w:id="10" w:name="_Toc15396476"/>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r>
        <w:rPr>
          <w:rFonts w:hint="eastAsia" w:ascii="方正小标宋_GBK" w:hAnsi="方正小标宋_GBK" w:eastAsia="方正小标宋_GBK" w:cs="方正小标宋_GBK"/>
          <w:color w:val="auto"/>
          <w:sz w:val="72"/>
          <w:szCs w:val="72"/>
          <w:highlight w:val="none"/>
          <w:lang w:eastAsia="zh-CN"/>
        </w:rPr>
        <w:t>射箭</w:t>
      </w:r>
      <w:r>
        <w:rPr>
          <w:rFonts w:hint="eastAsia" w:ascii="方正小标宋_GBK" w:hAnsi="方正小标宋_GBK" w:eastAsia="方正小标宋_GBK" w:cs="方正小标宋_GBK"/>
          <w:color w:val="auto"/>
          <w:sz w:val="72"/>
          <w:szCs w:val="72"/>
          <w:highlight w:val="none"/>
        </w:rPr>
        <w:t>镇</w:t>
      </w:r>
      <w:r>
        <w:rPr>
          <w:rFonts w:hint="eastAsia" w:ascii="方正小标宋_GBK" w:hAnsi="方正小标宋_GBK" w:eastAsia="方正小标宋_GBK" w:cs="方正小标宋_GBK"/>
          <w:color w:val="auto"/>
          <w:sz w:val="72"/>
          <w:szCs w:val="72"/>
          <w:highlight w:val="none"/>
          <w:lang w:eastAsia="zh-CN"/>
        </w:rPr>
        <w:t>明觉</w:t>
      </w:r>
      <w:r>
        <w:rPr>
          <w:rFonts w:hint="eastAsia" w:ascii="方正小标宋_GBK" w:hAnsi="方正小标宋_GBK" w:eastAsia="方正小标宋_GBK" w:cs="方正小标宋_GBK"/>
          <w:color w:val="auto"/>
          <w:sz w:val="72"/>
          <w:szCs w:val="72"/>
          <w:highlight w:val="none"/>
        </w:rPr>
        <w:t>小学单位决算</w:t>
      </w:r>
      <w:bookmarkEnd w:id="6"/>
      <w:bookmarkEnd w:id="7"/>
      <w:bookmarkEnd w:id="8"/>
      <w:bookmarkEnd w:id="9"/>
      <w:bookmarkEnd w:id="10"/>
      <w:bookmarkEnd w:id="11"/>
    </w:p>
    <w:p w14:paraId="55926382">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04E6660B">
      <w:pPr>
        <w:pStyle w:val="13"/>
        <w:jc w:val="both"/>
        <w:rPr>
          <w:color w:val="auto"/>
          <w:highlight w:val="none"/>
        </w:rPr>
      </w:pPr>
    </w:p>
    <w:p w14:paraId="1F657C65">
      <w:pPr>
        <w:rPr>
          <w:color w:val="auto"/>
          <w:highlight w:val="none"/>
        </w:rPr>
      </w:pPr>
    </w:p>
    <w:p w14:paraId="19C863B7">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14:paraId="230110CF">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14:paraId="15DEB89D">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14:paraId="02203434">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8</w:t>
      </w:r>
    </w:p>
    <w:p w14:paraId="16BCA2A2">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8</w:t>
      </w:r>
    </w:p>
    <w:p w14:paraId="50282F8C">
      <w:pPr>
        <w:pStyle w:val="14"/>
        <w:adjustRightInd w:val="0"/>
        <w:snapToGrid w:val="0"/>
        <w:spacing w:line="440" w:lineRule="exact"/>
        <w:jc w:val="distribute"/>
        <w:rPr>
          <w:rFonts w:ascii="仿宋" w:hAnsi="仿宋" w:eastAsia="仿宋" w:cstheme="minorBidi"/>
          <w:color w:val="auto"/>
          <w:sz w:val="24"/>
          <w:highlight w:val="none"/>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8</w:t>
      </w:r>
    </w:p>
    <w:p w14:paraId="7BF3E297">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9</w:t>
      </w:r>
    </w:p>
    <w:p w14:paraId="032466BD">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9</w:t>
      </w:r>
    </w:p>
    <w:p w14:paraId="169F58C6">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10</w:t>
      </w:r>
    </w:p>
    <w:p w14:paraId="08067E04">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11</w:t>
      </w:r>
    </w:p>
    <w:p w14:paraId="3A3E34C0">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14:paraId="1E10C97E">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13</w:t>
      </w:r>
    </w:p>
    <w:p w14:paraId="08518F94">
      <w:pPr>
        <w:pStyle w:val="14"/>
        <w:adjustRightInd w:val="0"/>
        <w:snapToGrid w:val="0"/>
        <w:spacing w:line="440" w:lineRule="exact"/>
        <w:jc w:val="distribute"/>
        <w:rPr>
          <w:rFonts w:hint="eastAsia"/>
          <w:color w:val="auto"/>
          <w:sz w:val="24"/>
          <w:highlight w:val="none"/>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13</w:t>
      </w:r>
    </w:p>
    <w:p w14:paraId="3DA74F60">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14</w:t>
      </w:r>
    </w:p>
    <w:p w14:paraId="07C167B4">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14</w:t>
      </w:r>
    </w:p>
    <w:p w14:paraId="230F17C5">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15</w:t>
      </w:r>
    </w:p>
    <w:p w14:paraId="6C64B67D">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14:paraId="055BADBA">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19</w:t>
      </w:r>
    </w:p>
    <w:p w14:paraId="2AA39B59">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cs="Times New Roman"/>
          <w:color w:val="auto"/>
          <w:kern w:val="2"/>
          <w:sz w:val="24"/>
          <w:szCs w:val="24"/>
          <w:highlight w:val="none"/>
          <w:lang w:val="en-US" w:eastAsia="zh-CN" w:bidi="ar-SA"/>
        </w:rPr>
        <w:t>19</w:t>
      </w:r>
    </w:p>
    <w:p w14:paraId="21D827BA">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19</w:t>
      </w:r>
    </w:p>
    <w:p w14:paraId="70F697B7">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19</w:t>
      </w:r>
    </w:p>
    <w:p w14:paraId="25C83DC4">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19</w:t>
      </w:r>
    </w:p>
    <w:p w14:paraId="225859A6">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19</w:t>
      </w:r>
    </w:p>
    <w:p w14:paraId="7882D28F">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19</w:t>
      </w:r>
    </w:p>
    <w:p w14:paraId="1ABA0CBB">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19</w:t>
      </w:r>
    </w:p>
    <w:p w14:paraId="1059FE1F">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19</w:t>
      </w:r>
    </w:p>
    <w:p w14:paraId="2A4587D6">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19</w:t>
      </w:r>
    </w:p>
    <w:p w14:paraId="105EA2C4">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19</w:t>
      </w:r>
    </w:p>
    <w:p w14:paraId="43C9FB81">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19</w:t>
      </w:r>
    </w:p>
    <w:p w14:paraId="24B8A28C">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19</w:t>
      </w:r>
    </w:p>
    <w:p w14:paraId="63D360AB">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19</w:t>
      </w:r>
    </w:p>
    <w:p w14:paraId="391460E6">
      <w:pPr>
        <w:pStyle w:val="14"/>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19</w:t>
      </w:r>
      <w:r>
        <w:rPr>
          <w:rFonts w:ascii="仿宋" w:hAnsi="仿宋" w:eastAsia="仿宋"/>
          <w:b/>
          <w:color w:val="auto"/>
          <w:sz w:val="24"/>
          <w:highlight w:val="none"/>
        </w:rPr>
        <w:br w:type="page"/>
      </w:r>
    </w:p>
    <w:p w14:paraId="6D225FDC">
      <w:pPr>
        <w:pStyle w:val="3"/>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14:paraId="11F1AB82">
      <w:pPr>
        <w:widowControl/>
        <w:jc w:val="left"/>
        <w:rPr>
          <w:rFonts w:ascii="黑体" w:eastAsia="黑体"/>
          <w:color w:val="auto"/>
          <w:sz w:val="32"/>
          <w:szCs w:val="32"/>
          <w:highlight w:val="none"/>
        </w:rPr>
      </w:pPr>
    </w:p>
    <w:p w14:paraId="6E54D1E7">
      <w:pPr>
        <w:pStyle w:val="4"/>
        <w:numPr>
          <w:ilvl w:val="0"/>
          <w:numId w:val="1"/>
        </w:numPr>
        <w:rPr>
          <w:rStyle w:val="30"/>
          <w:rFonts w:ascii="黑体" w:hAnsi="黑体" w:eastAsia="黑体"/>
          <w:b w:val="0"/>
          <w:bCs w:val="0"/>
          <w:color w:val="auto"/>
          <w:highlight w:val="none"/>
        </w:rPr>
      </w:pPr>
      <w:bookmarkStart w:id="14" w:name="_Toc15396600"/>
      <w:bookmarkStart w:id="15" w:name="_Toc15377197"/>
      <w:r>
        <w:rPr>
          <w:rStyle w:val="30"/>
          <w:rFonts w:hint="eastAsia" w:ascii="黑体" w:hAnsi="黑体" w:eastAsia="黑体"/>
          <w:b w:val="0"/>
          <w:bCs w:val="0"/>
          <w:color w:val="auto"/>
          <w:highlight w:val="none"/>
        </w:rPr>
        <w:t>职能简介</w:t>
      </w:r>
    </w:p>
    <w:p w14:paraId="76AD2207">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14:paraId="0A5B49BC">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14:paraId="1E18B047">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14:paraId="67DB5183">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14:paraId="4130F954">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14:paraId="03E8830F">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14:paraId="6760D686">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14:paraId="699A76A8">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14:paraId="47EED952">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14:paraId="1EBDC36A">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14:paraId="52B719F2">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27A056B9">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14:paraId="7B082E23">
      <w:pPr>
        <w:spacing w:line="576" w:lineRule="exact"/>
        <w:ind w:firstLine="640" w:firstLineChars="200"/>
        <w:rPr>
          <w:rFonts w:ascii="楷体_GB2312" w:eastAsia="楷体_GB2312"/>
          <w:bCs/>
          <w:color w:val="auto"/>
          <w:sz w:val="32"/>
          <w:szCs w:val="32"/>
          <w:highlight w:val="none"/>
        </w:rPr>
      </w:pPr>
      <w:r>
        <w:rPr>
          <w:rFonts w:hint="eastAsia" w:ascii="楷体_GB2312" w:eastAsia="楷体_GB2312"/>
          <w:bCs/>
          <w:color w:val="auto"/>
          <w:sz w:val="32"/>
          <w:szCs w:val="32"/>
          <w:highlight w:val="none"/>
        </w:rPr>
        <w:t>（一）工作方略</w:t>
      </w:r>
    </w:p>
    <w:p w14:paraId="54EE7979">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hint="eastAsia" w:eastAsia="仿宋_GB2312"/>
          <w:bCs/>
          <w:color w:val="auto"/>
          <w:sz w:val="32"/>
          <w:szCs w:val="32"/>
          <w:highlight w:val="none"/>
        </w:rPr>
        <w:t>统一一个思想：积极践行党组织领导下的校长负责制。</w:t>
      </w:r>
    </w:p>
    <w:p w14:paraId="1F520A36">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2.</w:t>
      </w:r>
      <w:r>
        <w:rPr>
          <w:rFonts w:hint="eastAsia" w:eastAsia="仿宋_GB2312"/>
          <w:bCs/>
          <w:color w:val="auto"/>
          <w:sz w:val="32"/>
          <w:szCs w:val="32"/>
          <w:highlight w:val="none"/>
        </w:rPr>
        <w:t>练就一身本领：作为校长，要耐得住，静得下，会思考。</w:t>
      </w:r>
    </w:p>
    <w:p w14:paraId="2EF70BEA">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3.</w:t>
      </w:r>
      <w:r>
        <w:rPr>
          <w:rFonts w:hint="eastAsia" w:eastAsia="仿宋_GB2312"/>
          <w:bCs/>
          <w:color w:val="auto"/>
          <w:sz w:val="32"/>
          <w:szCs w:val="32"/>
          <w:highlight w:val="none"/>
        </w:rPr>
        <w:t>完善一套机制：对教师的管理，要用学习去提高，用理论去武装，用制度去约束，用成绩去激励，用语言去温暖，用肚量去和谐，用任务去锻炼，用愿景去凝聚。</w:t>
      </w:r>
    </w:p>
    <w:p w14:paraId="02656C0B">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4.</w:t>
      </w:r>
      <w:r>
        <w:rPr>
          <w:rFonts w:hint="eastAsia" w:eastAsia="仿宋_GB2312"/>
          <w:bCs/>
          <w:color w:val="auto"/>
          <w:sz w:val="32"/>
          <w:szCs w:val="32"/>
          <w:highlight w:val="none"/>
        </w:rPr>
        <w:t>形成一种风气：领导围着教师转，教师围着学生转，后勤围着前勤转，全校围着教学转。</w:t>
      </w:r>
    </w:p>
    <w:p w14:paraId="14EA1523">
      <w:pPr>
        <w:spacing w:line="576" w:lineRule="exact"/>
        <w:ind w:firstLine="601" w:firstLineChars="200"/>
        <w:jc w:val="left"/>
        <w:rPr>
          <w:rFonts w:hint="eastAsia" w:ascii="华文楷体" w:hAnsi="华文楷体" w:eastAsia="华文楷体" w:cs="华文楷体"/>
          <w:b/>
          <w:bCs/>
          <w:color w:val="auto"/>
          <w:sz w:val="30"/>
          <w:szCs w:val="30"/>
          <w:highlight w:val="none"/>
          <w:lang w:eastAsia="zh-CN"/>
        </w:rPr>
      </w:pPr>
      <w:r>
        <w:rPr>
          <w:rFonts w:hint="eastAsia" w:ascii="华文楷体" w:hAnsi="华文楷体" w:eastAsia="华文楷体" w:cs="华文楷体"/>
          <w:b/>
          <w:bCs/>
          <w:color w:val="auto"/>
          <w:sz w:val="30"/>
          <w:szCs w:val="30"/>
          <w:highlight w:val="none"/>
          <w:lang w:eastAsia="zh-CN"/>
        </w:rPr>
        <w:t>（二）工作成效</w:t>
      </w:r>
    </w:p>
    <w:p w14:paraId="540227C1">
      <w:pPr>
        <w:spacing w:line="576" w:lineRule="exact"/>
        <w:ind w:firstLine="601" w:firstLineChars="200"/>
        <w:jc w:val="left"/>
        <w:rPr>
          <w:rFonts w:hint="eastAsia" w:ascii="华文楷体" w:hAnsi="华文楷体" w:eastAsia="华文楷体" w:cs="华文楷体"/>
          <w:b/>
          <w:bCs/>
          <w:color w:val="auto"/>
          <w:sz w:val="30"/>
          <w:szCs w:val="30"/>
          <w:highlight w:val="none"/>
          <w:lang w:eastAsia="zh-CN"/>
        </w:rPr>
      </w:pPr>
      <w:r>
        <w:rPr>
          <w:rFonts w:hint="eastAsia" w:ascii="华文楷体" w:hAnsi="华文楷体" w:eastAsia="华文楷体" w:cs="华文楷体"/>
          <w:b/>
          <w:bCs/>
          <w:color w:val="auto"/>
          <w:sz w:val="30"/>
          <w:szCs w:val="30"/>
          <w:highlight w:val="none"/>
          <w:lang w:val="en-US" w:eastAsia="zh-CN"/>
        </w:rPr>
        <w:t>1、</w:t>
      </w:r>
      <w:r>
        <w:rPr>
          <w:rFonts w:hint="eastAsia" w:ascii="华文楷体" w:hAnsi="华文楷体" w:eastAsia="华文楷体" w:cs="华文楷体"/>
          <w:b/>
          <w:bCs/>
          <w:color w:val="auto"/>
          <w:sz w:val="30"/>
          <w:szCs w:val="30"/>
          <w:highlight w:val="none"/>
          <w:lang w:eastAsia="zh-CN"/>
        </w:rPr>
        <w:t>学校文化内涵更加彰显。</w:t>
      </w:r>
      <w:r>
        <w:rPr>
          <w:rFonts w:hint="eastAsia" w:ascii="仿宋" w:hAnsi="仿宋" w:eastAsia="仿宋" w:cs="仿宋"/>
          <w:b w:val="0"/>
          <w:bCs w:val="0"/>
          <w:color w:val="auto"/>
          <w:sz w:val="30"/>
          <w:szCs w:val="30"/>
          <w:highlight w:val="none"/>
          <w:lang w:val="en-US" w:eastAsia="zh-CN"/>
        </w:rPr>
        <w:t>去年秋季，学校组织承办了区初中学校英语、语文教学管理现场会，学校经验做法、先后以集体报道和个人宣传两种方式在区级新闻媒体进行了广泛宣传报道，</w:t>
      </w:r>
      <w:r>
        <w:rPr>
          <w:rFonts w:hint="eastAsia" w:ascii="仿宋" w:hAnsi="仿宋" w:eastAsia="仿宋" w:cs="华文仿宋"/>
          <w:color w:val="auto"/>
          <w:sz w:val="30"/>
          <w:szCs w:val="30"/>
          <w:highlight w:val="none"/>
          <w:lang w:eastAsia="zh-CN"/>
        </w:rPr>
        <w:t>都市的繁华喧嚣、信息的高效便捷，让教育也多了几分浮躁，而明觉教师群体的宁静与纯粹宛如一股清流，让我们切身感受到了教育的理想状态，把简单的招数练到极致，对教育的琐碎力求完美。正是这种对职业态度的坚守，积淀孕育了明觉教育的精神文化。</w:t>
      </w:r>
      <w:r>
        <w:rPr>
          <w:rFonts w:hint="eastAsia" w:ascii="仿宋" w:hAnsi="仿宋" w:eastAsia="仿宋" w:cs="仿宋"/>
          <w:b w:val="0"/>
          <w:bCs w:val="0"/>
          <w:color w:val="auto"/>
          <w:sz w:val="30"/>
          <w:szCs w:val="30"/>
          <w:highlight w:val="none"/>
          <w:lang w:val="en-US" w:eastAsia="zh-CN"/>
        </w:rPr>
        <w:t>莫道桑榆晚，为霞尚满天就是这种文化的写照，如今</w:t>
      </w:r>
      <w:r>
        <w:rPr>
          <w:rFonts w:hint="eastAsia" w:ascii="仿宋" w:hAnsi="仿宋" w:eastAsia="仿宋" w:cs="华文仿宋"/>
          <w:color w:val="auto"/>
          <w:sz w:val="30"/>
          <w:szCs w:val="30"/>
          <w:highlight w:val="none"/>
          <w:lang w:eastAsia="zh-CN"/>
        </w:rPr>
        <w:t>这种文化已经成为了引领明觉教师团结一心、阳光向上的不竭动力。有了精神的引领，</w:t>
      </w:r>
      <w:r>
        <w:rPr>
          <w:rFonts w:hint="eastAsia" w:ascii="仿宋" w:hAnsi="仿宋" w:eastAsia="仿宋" w:cs="仿宋"/>
          <w:b w:val="0"/>
          <w:bCs w:val="0"/>
          <w:color w:val="auto"/>
          <w:sz w:val="30"/>
          <w:szCs w:val="30"/>
          <w:highlight w:val="none"/>
          <w:lang w:val="en-US" w:eastAsia="zh-CN"/>
        </w:rPr>
        <w:t>老师们的职业成就感、幸福感显著提升。</w:t>
      </w:r>
    </w:p>
    <w:p w14:paraId="2A101F06">
      <w:pPr>
        <w:spacing w:line="576" w:lineRule="exact"/>
        <w:ind w:firstLine="601" w:firstLineChars="200"/>
        <w:jc w:val="left"/>
        <w:rPr>
          <w:rFonts w:hint="eastAsia" w:ascii="仿宋" w:hAnsi="仿宋" w:eastAsia="仿宋" w:cs="华文仿宋"/>
          <w:color w:val="auto"/>
          <w:sz w:val="30"/>
          <w:szCs w:val="30"/>
          <w:highlight w:val="none"/>
          <w:lang w:eastAsia="zh-CN"/>
        </w:rPr>
      </w:pPr>
      <w:r>
        <w:rPr>
          <w:rFonts w:hint="eastAsia" w:ascii="华文楷体" w:hAnsi="华文楷体" w:eastAsia="华文楷体" w:cs="华文楷体"/>
          <w:b/>
          <w:bCs/>
          <w:color w:val="auto"/>
          <w:sz w:val="30"/>
          <w:szCs w:val="30"/>
          <w:highlight w:val="none"/>
          <w:lang w:val="en-US" w:eastAsia="zh-CN"/>
        </w:rPr>
        <w:t>2、</w:t>
      </w:r>
      <w:r>
        <w:rPr>
          <w:rFonts w:hint="eastAsia" w:ascii="华文楷体" w:hAnsi="华文楷体" w:eastAsia="华文楷体" w:cs="华文楷体"/>
          <w:b/>
          <w:bCs/>
          <w:color w:val="auto"/>
          <w:sz w:val="30"/>
          <w:szCs w:val="30"/>
          <w:highlight w:val="none"/>
          <w:lang w:eastAsia="zh-CN"/>
        </w:rPr>
        <w:t>保生</w:t>
      </w:r>
      <w:r>
        <w:rPr>
          <w:rFonts w:hint="eastAsia" w:ascii="华文楷体" w:hAnsi="华文楷体" w:eastAsia="华文楷体" w:cs="华文楷体"/>
          <w:b/>
          <w:bCs/>
          <w:color w:val="auto"/>
          <w:sz w:val="30"/>
          <w:szCs w:val="30"/>
          <w:highlight w:val="none"/>
        </w:rPr>
        <w:t>保学成效显著</w:t>
      </w:r>
      <w:r>
        <w:rPr>
          <w:rFonts w:hint="eastAsia" w:ascii="仿宋" w:hAnsi="仿宋" w:eastAsia="仿宋" w:cs="华文仿宋"/>
          <w:color w:val="auto"/>
          <w:sz w:val="30"/>
          <w:szCs w:val="30"/>
          <w:highlight w:val="none"/>
        </w:rPr>
        <w:t>。今年</w:t>
      </w:r>
      <w:r>
        <w:rPr>
          <w:rFonts w:hint="eastAsia" w:ascii="仿宋" w:hAnsi="仿宋" w:eastAsia="仿宋" w:cs="华文仿宋"/>
          <w:color w:val="auto"/>
          <w:sz w:val="30"/>
          <w:szCs w:val="30"/>
          <w:highlight w:val="none"/>
          <w:lang w:eastAsia="zh-CN"/>
        </w:rPr>
        <w:t>春季</w:t>
      </w:r>
      <w:r>
        <w:rPr>
          <w:rFonts w:hint="eastAsia" w:ascii="仿宋" w:hAnsi="仿宋" w:eastAsia="仿宋" w:cs="华文仿宋"/>
          <w:color w:val="auto"/>
          <w:sz w:val="30"/>
          <w:szCs w:val="30"/>
          <w:highlight w:val="none"/>
        </w:rPr>
        <w:t>我校</w:t>
      </w:r>
      <w:r>
        <w:rPr>
          <w:rFonts w:hint="eastAsia" w:ascii="仿宋" w:hAnsi="仿宋" w:eastAsia="仿宋" w:cs="华文仿宋"/>
          <w:color w:val="auto"/>
          <w:sz w:val="30"/>
          <w:szCs w:val="30"/>
          <w:highlight w:val="none"/>
          <w:lang w:eastAsia="zh-CN"/>
        </w:rPr>
        <w:t>九</w:t>
      </w:r>
      <w:r>
        <w:rPr>
          <w:rFonts w:hint="eastAsia" w:ascii="仿宋" w:hAnsi="仿宋" w:eastAsia="仿宋" w:cs="华文仿宋"/>
          <w:color w:val="auto"/>
          <w:sz w:val="30"/>
          <w:szCs w:val="30"/>
          <w:highlight w:val="none"/>
        </w:rPr>
        <w:t>年级毕业</w:t>
      </w:r>
      <w:r>
        <w:rPr>
          <w:rFonts w:hint="eastAsia" w:ascii="仿宋" w:hAnsi="仿宋" w:eastAsia="仿宋" w:cs="华文仿宋"/>
          <w:color w:val="auto"/>
          <w:sz w:val="30"/>
          <w:szCs w:val="30"/>
          <w:highlight w:val="none"/>
          <w:lang w:val="en-US" w:eastAsia="zh-CN"/>
        </w:rPr>
        <w:t>28</w:t>
      </w:r>
      <w:r>
        <w:rPr>
          <w:rFonts w:hint="eastAsia" w:ascii="仿宋" w:hAnsi="仿宋" w:eastAsia="仿宋" w:cs="华文仿宋"/>
          <w:color w:val="auto"/>
          <w:sz w:val="30"/>
          <w:szCs w:val="30"/>
          <w:highlight w:val="none"/>
        </w:rPr>
        <w:t>人，</w:t>
      </w:r>
      <w:r>
        <w:rPr>
          <w:rFonts w:hint="eastAsia" w:ascii="仿宋" w:hAnsi="仿宋" w:eastAsia="仿宋" w:cs="华文仿宋"/>
          <w:color w:val="auto"/>
          <w:sz w:val="30"/>
          <w:szCs w:val="30"/>
          <w:highlight w:val="none"/>
          <w:lang w:eastAsia="zh-CN"/>
        </w:rPr>
        <w:t>除</w:t>
      </w:r>
      <w:r>
        <w:rPr>
          <w:rFonts w:hint="eastAsia" w:ascii="仿宋" w:hAnsi="仿宋" w:eastAsia="仿宋" w:cs="华文仿宋"/>
          <w:color w:val="auto"/>
          <w:sz w:val="30"/>
          <w:szCs w:val="30"/>
          <w:highlight w:val="none"/>
          <w:lang w:val="en-US" w:eastAsia="zh-CN"/>
        </w:rPr>
        <w:t>18</w:t>
      </w:r>
      <w:r>
        <w:rPr>
          <w:rFonts w:hint="eastAsia" w:ascii="仿宋" w:hAnsi="仿宋" w:eastAsia="仿宋" w:cs="华文仿宋"/>
          <w:color w:val="auto"/>
          <w:sz w:val="30"/>
          <w:szCs w:val="30"/>
          <w:highlight w:val="none"/>
        </w:rPr>
        <w:t>人</w:t>
      </w:r>
      <w:r>
        <w:rPr>
          <w:rFonts w:hint="eastAsia" w:ascii="仿宋" w:hAnsi="仿宋" w:eastAsia="仿宋" w:cs="华文仿宋"/>
          <w:color w:val="auto"/>
          <w:sz w:val="30"/>
          <w:szCs w:val="30"/>
          <w:highlight w:val="none"/>
          <w:lang w:eastAsia="zh-CN"/>
        </w:rPr>
        <w:t>元坝中学就读外，其余</w:t>
      </w:r>
      <w:r>
        <w:rPr>
          <w:rFonts w:hint="eastAsia" w:ascii="仿宋" w:hAnsi="仿宋" w:eastAsia="仿宋" w:cs="华文仿宋"/>
          <w:color w:val="auto"/>
          <w:sz w:val="30"/>
          <w:szCs w:val="30"/>
          <w:highlight w:val="none"/>
          <w:lang w:val="en-US" w:eastAsia="zh-CN"/>
        </w:rPr>
        <w:t>10人在昭化职中就读；小学六年级全部保留在我校就读，</w:t>
      </w:r>
      <w:r>
        <w:rPr>
          <w:rFonts w:hint="eastAsia" w:ascii="仿宋" w:hAnsi="仿宋" w:eastAsia="仿宋" w:cs="华文仿宋"/>
          <w:color w:val="auto"/>
          <w:sz w:val="30"/>
          <w:szCs w:val="30"/>
          <w:highlight w:val="none"/>
          <w:lang w:eastAsia="zh-CN"/>
        </w:rPr>
        <w:t>我们继续细化了招生和保生保学措施和奖惩。确保了保生保学目标达成。</w:t>
      </w:r>
    </w:p>
    <w:p w14:paraId="41F49CE9">
      <w:pPr>
        <w:spacing w:line="576" w:lineRule="exact"/>
        <w:ind w:left="17" w:leftChars="8" w:firstLine="583" w:firstLineChars="194"/>
        <w:jc w:val="left"/>
        <w:rPr>
          <w:rFonts w:hint="eastAsia" w:ascii="仿宋" w:hAnsi="仿宋" w:eastAsia="仿宋" w:cs="华文仿宋"/>
          <w:color w:val="auto"/>
          <w:sz w:val="30"/>
          <w:szCs w:val="30"/>
          <w:highlight w:val="none"/>
        </w:rPr>
      </w:pPr>
      <w:r>
        <w:rPr>
          <w:rFonts w:hint="eastAsia" w:ascii="华文楷体" w:hAnsi="华文楷体" w:eastAsia="华文楷体" w:cs="华文楷体"/>
          <w:b/>
          <w:bCs/>
          <w:color w:val="auto"/>
          <w:sz w:val="30"/>
          <w:szCs w:val="30"/>
          <w:highlight w:val="none"/>
          <w:lang w:val="en-US" w:eastAsia="zh-CN"/>
        </w:rPr>
        <w:t>3、</w:t>
      </w:r>
      <w:r>
        <w:rPr>
          <w:rFonts w:hint="eastAsia" w:ascii="华文楷体" w:hAnsi="华文楷体" w:eastAsia="华文楷体" w:cs="华文楷体"/>
          <w:b/>
          <w:bCs/>
          <w:color w:val="auto"/>
          <w:sz w:val="30"/>
          <w:szCs w:val="30"/>
          <w:highlight w:val="none"/>
        </w:rPr>
        <w:t>学生行为习惯养成教育常抓常新</w:t>
      </w:r>
      <w:r>
        <w:rPr>
          <w:rFonts w:hint="eastAsia" w:ascii="仿宋" w:hAnsi="仿宋" w:eastAsia="仿宋" w:cs="华文仿宋"/>
          <w:color w:val="auto"/>
          <w:sz w:val="30"/>
          <w:szCs w:val="30"/>
          <w:highlight w:val="none"/>
        </w:rPr>
        <w:t>。这一年来</w:t>
      </w:r>
      <w:r>
        <w:rPr>
          <w:rFonts w:hint="eastAsia" w:ascii="仿宋" w:hAnsi="仿宋" w:eastAsia="仿宋" w:cs="华文仿宋"/>
          <w:color w:val="auto"/>
          <w:sz w:val="30"/>
          <w:szCs w:val="30"/>
          <w:highlight w:val="none"/>
          <w:lang w:eastAsia="zh-CN"/>
        </w:rPr>
        <w:t>政教</w:t>
      </w:r>
      <w:r>
        <w:rPr>
          <w:rFonts w:hint="eastAsia" w:ascii="仿宋" w:hAnsi="仿宋" w:eastAsia="仿宋" w:cs="华文仿宋"/>
          <w:color w:val="auto"/>
          <w:sz w:val="30"/>
          <w:szCs w:val="30"/>
          <w:highlight w:val="none"/>
        </w:rPr>
        <w:t>处同志放下身段，工作抓得实、抓得细，完善了学生管理机制建设，学校环境卫生、内务整理、安全防范、学生行为习惯均有质的提升。</w:t>
      </w:r>
    </w:p>
    <w:p w14:paraId="0BBB12EA">
      <w:pPr>
        <w:spacing w:line="576" w:lineRule="exact"/>
        <w:ind w:left="17" w:leftChars="8" w:firstLine="583" w:firstLineChars="194"/>
        <w:jc w:val="left"/>
        <w:rPr>
          <w:rFonts w:hint="eastAsia" w:ascii="仿宋" w:hAnsi="仿宋" w:eastAsia="仿宋" w:cs="华文仿宋"/>
          <w:color w:val="auto"/>
          <w:sz w:val="30"/>
          <w:szCs w:val="30"/>
          <w:highlight w:val="none"/>
          <w:lang w:eastAsia="zh-CN"/>
        </w:rPr>
      </w:pPr>
      <w:r>
        <w:rPr>
          <w:rFonts w:hint="eastAsia" w:ascii="华文楷体" w:hAnsi="华文楷体" w:eastAsia="华文楷体" w:cs="华文楷体"/>
          <w:b/>
          <w:bCs/>
          <w:color w:val="auto"/>
          <w:sz w:val="30"/>
          <w:szCs w:val="30"/>
          <w:highlight w:val="none"/>
          <w:lang w:val="en-US" w:eastAsia="zh-CN"/>
        </w:rPr>
        <w:t>4、</w:t>
      </w:r>
      <w:r>
        <w:rPr>
          <w:rFonts w:hint="eastAsia" w:ascii="华文楷体" w:hAnsi="华文楷体" w:eastAsia="华文楷体" w:cs="华文楷体"/>
          <w:b/>
          <w:bCs/>
          <w:color w:val="auto"/>
          <w:sz w:val="30"/>
          <w:szCs w:val="30"/>
          <w:highlight w:val="none"/>
          <w:lang w:eastAsia="zh-CN"/>
        </w:rPr>
        <w:t>是疫情防控有序有效</w:t>
      </w:r>
      <w:r>
        <w:rPr>
          <w:rFonts w:hint="eastAsia" w:ascii="仿宋" w:hAnsi="仿宋" w:eastAsia="仿宋" w:cs="华文仿宋"/>
          <w:color w:val="auto"/>
          <w:sz w:val="30"/>
          <w:szCs w:val="30"/>
          <w:highlight w:val="none"/>
          <w:lang w:eastAsia="zh-CN"/>
        </w:rPr>
        <w:t>。我们严格按照中央和省市地各级指挥部安排部署，第一时间启动重大风险防控应急预案。强化组织领导，加大教育宣传，健全两案九制，精准信息摸排，紧密行程跟踪，坚持体温检测，一日三检，严格门卫值班，有效做好消毒消杀和异常处置，加强各类传染病、流行病筛查预防。确保了人员安全和人心稳定。</w:t>
      </w:r>
    </w:p>
    <w:p w14:paraId="3CADE5DE">
      <w:pPr>
        <w:spacing w:line="576" w:lineRule="exact"/>
        <w:ind w:left="17" w:leftChars="8" w:firstLine="583" w:firstLineChars="194"/>
        <w:jc w:val="left"/>
        <w:rPr>
          <w:rFonts w:hint="eastAsia" w:ascii="仿宋" w:hAnsi="仿宋" w:eastAsia="仿宋" w:cs="华文仿宋"/>
          <w:color w:val="auto"/>
          <w:sz w:val="30"/>
          <w:szCs w:val="30"/>
          <w:highlight w:val="none"/>
        </w:rPr>
      </w:pPr>
      <w:r>
        <w:rPr>
          <w:rFonts w:hint="eastAsia" w:ascii="华文楷体" w:hAnsi="华文楷体" w:eastAsia="华文楷体" w:cs="华文楷体"/>
          <w:b/>
          <w:bCs/>
          <w:color w:val="auto"/>
          <w:sz w:val="30"/>
          <w:szCs w:val="30"/>
          <w:highlight w:val="none"/>
          <w:lang w:val="en-US" w:eastAsia="zh-CN"/>
        </w:rPr>
        <w:t>5、</w:t>
      </w:r>
      <w:r>
        <w:rPr>
          <w:rFonts w:hint="eastAsia" w:ascii="华文楷体" w:hAnsi="华文楷体" w:eastAsia="华文楷体" w:cs="华文楷体"/>
          <w:b/>
          <w:bCs/>
          <w:color w:val="auto"/>
          <w:sz w:val="30"/>
          <w:szCs w:val="30"/>
          <w:highlight w:val="none"/>
        </w:rPr>
        <w:t>是素质教育推进有力</w:t>
      </w:r>
      <w:r>
        <w:rPr>
          <w:rFonts w:hint="eastAsia" w:ascii="仿宋" w:hAnsi="仿宋" w:eastAsia="仿宋" w:cs="华文仿宋"/>
          <w:color w:val="auto"/>
          <w:sz w:val="30"/>
          <w:szCs w:val="30"/>
          <w:highlight w:val="none"/>
        </w:rPr>
        <w:t>。</w:t>
      </w:r>
      <w:r>
        <w:rPr>
          <w:rFonts w:hint="eastAsia" w:ascii="仿宋" w:hAnsi="仿宋" w:eastAsia="仿宋" w:cs="华文仿宋"/>
          <w:color w:val="auto"/>
          <w:sz w:val="30"/>
          <w:szCs w:val="30"/>
          <w:highlight w:val="none"/>
          <w:lang w:eastAsia="zh-CN"/>
        </w:rPr>
        <w:t>这一年，老师们质量意识显著加强，教导上加强了教学工作管理考核，老师们教学工作也积极主动，不惜花时间，舍得下功夫。春季期末检测，学校质量综合考核居全区第</w:t>
      </w:r>
      <w:r>
        <w:rPr>
          <w:rFonts w:hint="eastAsia" w:ascii="仿宋" w:hAnsi="仿宋" w:eastAsia="仿宋" w:cs="华文仿宋"/>
          <w:color w:val="auto"/>
          <w:sz w:val="30"/>
          <w:szCs w:val="30"/>
          <w:highlight w:val="none"/>
          <w:lang w:val="en-US" w:eastAsia="zh-CN"/>
        </w:rPr>
        <w:t>3</w:t>
      </w:r>
      <w:r>
        <w:rPr>
          <w:rFonts w:hint="eastAsia" w:ascii="仿宋" w:hAnsi="仿宋" w:eastAsia="仿宋" w:cs="华文仿宋"/>
          <w:color w:val="auto"/>
          <w:sz w:val="30"/>
          <w:szCs w:val="30"/>
          <w:highlight w:val="none"/>
          <w:lang w:eastAsia="zh-CN"/>
        </w:rPr>
        <w:t>位。在学生能力培养、特长发展上，</w:t>
      </w:r>
      <w:r>
        <w:rPr>
          <w:rFonts w:hint="eastAsia" w:ascii="仿宋" w:hAnsi="仿宋" w:eastAsia="仿宋" w:cs="华文仿宋"/>
          <w:color w:val="auto"/>
          <w:sz w:val="30"/>
          <w:szCs w:val="30"/>
          <w:highlight w:val="none"/>
        </w:rPr>
        <w:t>我们</w:t>
      </w:r>
      <w:r>
        <w:rPr>
          <w:rFonts w:hint="eastAsia" w:ascii="仿宋" w:hAnsi="仿宋" w:eastAsia="仿宋" w:cs="华文仿宋"/>
          <w:color w:val="auto"/>
          <w:sz w:val="30"/>
          <w:szCs w:val="30"/>
          <w:highlight w:val="none"/>
          <w:lang w:eastAsia="zh-CN"/>
        </w:rPr>
        <w:t>依托</w:t>
      </w:r>
      <w:r>
        <w:rPr>
          <w:rFonts w:hint="eastAsia" w:ascii="仿宋" w:hAnsi="仿宋" w:eastAsia="仿宋" w:cs="华文仿宋"/>
          <w:color w:val="auto"/>
          <w:sz w:val="30"/>
          <w:szCs w:val="30"/>
          <w:highlight w:val="none"/>
        </w:rPr>
        <w:t>少年宫</w:t>
      </w:r>
      <w:r>
        <w:rPr>
          <w:rFonts w:hint="eastAsia" w:ascii="仿宋" w:hAnsi="仿宋" w:eastAsia="仿宋" w:cs="华文仿宋"/>
          <w:color w:val="auto"/>
          <w:sz w:val="30"/>
          <w:szCs w:val="30"/>
          <w:highlight w:val="none"/>
          <w:lang w:eastAsia="zh-CN"/>
        </w:rPr>
        <w:t>建设</w:t>
      </w:r>
      <w:r>
        <w:rPr>
          <w:rFonts w:hint="eastAsia" w:ascii="仿宋" w:hAnsi="仿宋" w:eastAsia="仿宋" w:cs="华文仿宋"/>
          <w:color w:val="auto"/>
          <w:sz w:val="30"/>
          <w:szCs w:val="30"/>
          <w:highlight w:val="none"/>
        </w:rPr>
        <w:t>，以</w:t>
      </w:r>
      <w:r>
        <w:rPr>
          <w:rFonts w:hint="eastAsia" w:ascii="仿宋" w:hAnsi="仿宋" w:eastAsia="仿宋" w:cs="华文仿宋"/>
          <w:color w:val="auto"/>
          <w:sz w:val="30"/>
          <w:szCs w:val="30"/>
          <w:highlight w:val="none"/>
          <w:lang w:eastAsia="zh-CN"/>
        </w:rPr>
        <w:t>社</w:t>
      </w:r>
      <w:r>
        <w:rPr>
          <w:rFonts w:hint="eastAsia" w:ascii="仿宋" w:hAnsi="仿宋" w:eastAsia="仿宋" w:cs="华文仿宋"/>
          <w:color w:val="auto"/>
          <w:sz w:val="30"/>
          <w:szCs w:val="30"/>
          <w:highlight w:val="none"/>
        </w:rPr>
        <w:t>团活动为</w:t>
      </w:r>
      <w:r>
        <w:rPr>
          <w:rFonts w:hint="eastAsia" w:ascii="仿宋" w:hAnsi="仿宋" w:eastAsia="仿宋" w:cs="华文仿宋"/>
          <w:color w:val="auto"/>
          <w:sz w:val="30"/>
          <w:szCs w:val="30"/>
          <w:highlight w:val="none"/>
          <w:lang w:eastAsia="zh-CN"/>
        </w:rPr>
        <w:t>阵地</w:t>
      </w:r>
      <w:r>
        <w:rPr>
          <w:rFonts w:hint="eastAsia" w:ascii="仿宋" w:hAnsi="仿宋" w:eastAsia="仿宋" w:cs="华文仿宋"/>
          <w:color w:val="auto"/>
          <w:sz w:val="30"/>
          <w:szCs w:val="30"/>
          <w:highlight w:val="none"/>
        </w:rPr>
        <w:t>，</w:t>
      </w:r>
      <w:r>
        <w:rPr>
          <w:rFonts w:hint="eastAsia" w:ascii="仿宋" w:hAnsi="仿宋" w:eastAsia="仿宋" w:cs="华文仿宋"/>
          <w:color w:val="auto"/>
          <w:sz w:val="30"/>
          <w:szCs w:val="30"/>
          <w:highlight w:val="none"/>
          <w:lang w:eastAsia="zh-CN"/>
        </w:rPr>
        <w:t>以延时服务为抓手，</w:t>
      </w:r>
      <w:r>
        <w:rPr>
          <w:rFonts w:hint="eastAsia" w:ascii="仿宋" w:hAnsi="仿宋" w:eastAsia="仿宋" w:cs="华文仿宋"/>
          <w:color w:val="auto"/>
          <w:sz w:val="30"/>
          <w:szCs w:val="30"/>
          <w:highlight w:val="none"/>
        </w:rPr>
        <w:t>坚持兴趣</w:t>
      </w:r>
      <w:r>
        <w:rPr>
          <w:rFonts w:hint="eastAsia" w:ascii="仿宋" w:hAnsi="仿宋" w:eastAsia="仿宋" w:cs="华文仿宋"/>
          <w:color w:val="auto"/>
          <w:sz w:val="30"/>
          <w:szCs w:val="30"/>
          <w:highlight w:val="none"/>
          <w:lang w:eastAsia="zh-CN"/>
        </w:rPr>
        <w:t>加</w:t>
      </w:r>
      <w:r>
        <w:rPr>
          <w:rFonts w:hint="eastAsia" w:ascii="仿宋" w:hAnsi="仿宋" w:eastAsia="仿宋" w:cs="华文仿宋"/>
          <w:color w:val="auto"/>
          <w:sz w:val="30"/>
          <w:szCs w:val="30"/>
          <w:highlight w:val="none"/>
        </w:rPr>
        <w:t>特长培养</w:t>
      </w:r>
      <w:r>
        <w:rPr>
          <w:rFonts w:hint="eastAsia" w:ascii="仿宋" w:hAnsi="仿宋" w:eastAsia="仿宋" w:cs="华文仿宋"/>
          <w:color w:val="auto"/>
          <w:sz w:val="30"/>
          <w:szCs w:val="30"/>
          <w:highlight w:val="none"/>
          <w:lang w:eastAsia="zh-CN"/>
        </w:rPr>
        <w:t>模式</w:t>
      </w:r>
      <w:r>
        <w:rPr>
          <w:rFonts w:hint="eastAsia" w:ascii="仿宋" w:hAnsi="仿宋" w:eastAsia="仿宋" w:cs="华文仿宋"/>
          <w:color w:val="auto"/>
          <w:sz w:val="30"/>
          <w:szCs w:val="30"/>
          <w:highlight w:val="none"/>
        </w:rPr>
        <w:t>，学校阅读、球类等活动初具特色。</w:t>
      </w:r>
    </w:p>
    <w:p w14:paraId="66349C35">
      <w:pPr>
        <w:spacing w:line="576" w:lineRule="exact"/>
        <w:ind w:left="17" w:leftChars="8" w:firstLine="583" w:firstLineChars="194"/>
        <w:jc w:val="left"/>
        <w:rPr>
          <w:rFonts w:hint="eastAsia" w:ascii="华文楷体" w:hAnsi="华文楷体" w:eastAsia="华文楷体" w:cs="华文楷体"/>
          <w:b/>
          <w:bCs/>
          <w:color w:val="auto"/>
          <w:sz w:val="30"/>
          <w:szCs w:val="30"/>
          <w:highlight w:val="none"/>
          <w:lang w:eastAsia="zh-CN"/>
        </w:rPr>
      </w:pPr>
      <w:r>
        <w:rPr>
          <w:rFonts w:hint="eastAsia" w:ascii="华文楷体" w:hAnsi="华文楷体" w:eastAsia="华文楷体" w:cs="华文楷体"/>
          <w:b/>
          <w:bCs/>
          <w:color w:val="auto"/>
          <w:sz w:val="30"/>
          <w:szCs w:val="30"/>
          <w:highlight w:val="none"/>
          <w:lang w:val="en-US" w:eastAsia="zh-CN"/>
        </w:rPr>
        <w:t>6、</w:t>
      </w:r>
      <w:r>
        <w:rPr>
          <w:rFonts w:hint="eastAsia" w:ascii="华文楷体" w:hAnsi="华文楷体" w:eastAsia="华文楷体" w:cs="华文楷体"/>
          <w:b/>
          <w:bCs/>
          <w:color w:val="auto"/>
          <w:sz w:val="30"/>
          <w:szCs w:val="30"/>
          <w:highlight w:val="none"/>
        </w:rPr>
        <w:t>是</w:t>
      </w:r>
      <w:r>
        <w:rPr>
          <w:rFonts w:hint="eastAsia" w:ascii="华文楷体" w:hAnsi="华文楷体" w:eastAsia="华文楷体" w:cs="华文楷体"/>
          <w:b/>
          <w:bCs/>
          <w:color w:val="auto"/>
          <w:sz w:val="30"/>
          <w:szCs w:val="30"/>
          <w:highlight w:val="none"/>
          <w:lang w:eastAsia="zh-CN"/>
        </w:rPr>
        <w:t>群团工作有序推进</w:t>
      </w:r>
      <w:r>
        <w:rPr>
          <w:rFonts w:hint="eastAsia" w:ascii="仿宋" w:hAnsi="仿宋" w:eastAsia="仿宋" w:cs="华文仿宋"/>
          <w:color w:val="auto"/>
          <w:sz w:val="30"/>
          <w:szCs w:val="30"/>
          <w:highlight w:val="none"/>
        </w:rPr>
        <w:t>。党组织领导下的校长负责制改革让</w:t>
      </w:r>
      <w:r>
        <w:rPr>
          <w:rFonts w:hint="eastAsia" w:ascii="仿宋" w:hAnsi="仿宋" w:eastAsia="仿宋" w:cs="华文仿宋"/>
          <w:color w:val="auto"/>
          <w:sz w:val="30"/>
          <w:szCs w:val="30"/>
          <w:highlight w:val="none"/>
          <w:lang w:eastAsia="zh-CN"/>
        </w:rPr>
        <w:t>支部党员引领示范作用发挥更加充分，基层组织建设和活动深入开展，学校师德师风建</w:t>
      </w:r>
      <w:bookmarkStart w:id="67" w:name="_GoBack"/>
      <w:bookmarkEnd w:id="67"/>
      <w:r>
        <w:rPr>
          <w:rFonts w:hint="eastAsia" w:ascii="仿宋" w:hAnsi="仿宋" w:eastAsia="仿宋" w:cs="华文仿宋"/>
          <w:color w:val="auto"/>
          <w:sz w:val="30"/>
          <w:szCs w:val="30"/>
          <w:highlight w:val="none"/>
          <w:lang w:eastAsia="zh-CN"/>
        </w:rPr>
        <w:t>设取得明显成效，老师们讲政治、讲纪律，工作自律意识和职业素养都得到了显著提升。工会关心教师疾苦，关注教师诉求，积极主动为学校发展建言献策，为老师发展排忧解难。团队、总务部门也主动积极，任劳任怨。</w:t>
      </w:r>
      <w:r>
        <w:rPr>
          <w:rFonts w:hint="eastAsia" w:ascii="仿宋" w:hAnsi="仿宋" w:eastAsia="仿宋" w:cs="华文仿宋"/>
          <w:color w:val="auto"/>
          <w:sz w:val="30"/>
          <w:szCs w:val="30"/>
          <w:highlight w:val="none"/>
        </w:rPr>
        <w:t>教育扶贫工作在各级检察评估中均呈现诸多经验和亮点</w:t>
      </w:r>
      <w:r>
        <w:rPr>
          <w:rFonts w:hint="eastAsia" w:ascii="仿宋" w:hAnsi="仿宋" w:eastAsia="仿宋" w:cs="华文仿宋"/>
          <w:color w:val="auto"/>
          <w:sz w:val="30"/>
          <w:szCs w:val="30"/>
          <w:highlight w:val="none"/>
          <w:lang w:eastAsia="zh-CN"/>
        </w:rPr>
        <w:t>，为确保昭化区高质量脱贫，我们多渠道反复宣传，每学期走村入户，通过深入细致的工作，做到了资助救助应助尽助，适龄儿童应读尽读。</w:t>
      </w:r>
    </w:p>
    <w:p w14:paraId="51A12B23">
      <w:pPr>
        <w:spacing w:line="576" w:lineRule="exact"/>
        <w:ind w:firstLine="640" w:firstLineChars="200"/>
        <w:rPr>
          <w:rFonts w:ascii="楷体_GB2312" w:hAnsi="Times New Roman" w:eastAsia="楷体_GB2312"/>
          <w:b w:val="0"/>
          <w:bCs/>
          <w:color w:val="auto"/>
          <w:sz w:val="32"/>
          <w:szCs w:val="32"/>
          <w:highlight w:val="none"/>
        </w:rPr>
      </w:pPr>
      <w:r>
        <w:rPr>
          <w:rFonts w:ascii="楷体_GB2312" w:hAnsi="Times New Roman" w:eastAsia="楷体_GB2312"/>
          <w:b w:val="0"/>
          <w:bCs/>
          <w:color w:val="auto"/>
          <w:sz w:val="32"/>
          <w:szCs w:val="32"/>
          <w:highlight w:val="none"/>
        </w:rPr>
        <w:t>(</w:t>
      </w:r>
      <w:r>
        <w:rPr>
          <w:rFonts w:hint="eastAsia" w:ascii="楷体_GB2312" w:eastAsia="楷体_GB2312"/>
          <w:b w:val="0"/>
          <w:bCs/>
          <w:color w:val="auto"/>
          <w:sz w:val="32"/>
          <w:szCs w:val="32"/>
          <w:highlight w:val="none"/>
          <w:lang w:eastAsia="zh-CN"/>
        </w:rPr>
        <w:t>三</w:t>
      </w:r>
      <w:r>
        <w:rPr>
          <w:rFonts w:ascii="楷体_GB2312" w:hAnsi="Times New Roman" w:eastAsia="楷体_GB2312"/>
          <w:b w:val="0"/>
          <w:bCs/>
          <w:color w:val="auto"/>
          <w:sz w:val="32"/>
          <w:szCs w:val="32"/>
          <w:highlight w:val="none"/>
        </w:rPr>
        <w:t>)</w:t>
      </w:r>
      <w:r>
        <w:rPr>
          <w:rFonts w:hint="eastAsia" w:ascii="楷体_GB2312" w:hAnsi="Times New Roman" w:eastAsia="楷体_GB2312"/>
          <w:b w:val="0"/>
          <w:bCs/>
          <w:color w:val="auto"/>
          <w:sz w:val="32"/>
          <w:szCs w:val="32"/>
          <w:highlight w:val="none"/>
        </w:rPr>
        <w:t>学校变化</w:t>
      </w:r>
    </w:p>
    <w:p w14:paraId="72E31007">
      <w:pPr>
        <w:spacing w:line="576" w:lineRule="exact"/>
        <w:ind w:firstLine="640" w:firstLineChars="200"/>
        <w:rPr>
          <w:rFonts w:ascii="Times New Roman" w:hAnsi="Times New Roman" w:eastAsia="仿宋_GB2312"/>
          <w:b w:val="0"/>
          <w:bCs/>
          <w:color w:val="auto"/>
          <w:sz w:val="32"/>
          <w:szCs w:val="32"/>
          <w:highlight w:val="none"/>
        </w:rPr>
      </w:pPr>
      <w:r>
        <w:rPr>
          <w:rFonts w:ascii="Times New Roman" w:hAnsi="Times New Roman" w:eastAsia="仿宋_GB2312"/>
          <w:b w:val="0"/>
          <w:bCs/>
          <w:color w:val="auto"/>
          <w:sz w:val="32"/>
          <w:szCs w:val="32"/>
          <w:highlight w:val="none"/>
        </w:rPr>
        <w:t>1</w:t>
      </w:r>
      <w:r>
        <w:rPr>
          <w:rFonts w:hint="eastAsia" w:eastAsia="仿宋_GB2312"/>
          <w:b w:val="0"/>
          <w:bCs/>
          <w:color w:val="auto"/>
          <w:sz w:val="32"/>
          <w:szCs w:val="32"/>
          <w:highlight w:val="none"/>
          <w:lang w:eastAsia="zh-CN"/>
        </w:rPr>
        <w:t>、</w:t>
      </w:r>
      <w:r>
        <w:rPr>
          <w:rFonts w:hint="eastAsia" w:ascii="Times New Roman" w:hAnsi="Times New Roman" w:eastAsia="仿宋_GB2312"/>
          <w:b w:val="0"/>
          <w:bCs/>
          <w:color w:val="auto"/>
          <w:sz w:val="32"/>
          <w:szCs w:val="32"/>
          <w:highlight w:val="none"/>
        </w:rPr>
        <w:t>方向更明。四川省绿色校园成功创建。成绩提升是永恒主题，千方百计，多措并举，万涓归流，重塑</w:t>
      </w:r>
      <w:r>
        <w:rPr>
          <w:rFonts w:hint="eastAsia" w:eastAsia="仿宋_GB2312"/>
          <w:b w:val="0"/>
          <w:bCs/>
          <w:color w:val="auto"/>
          <w:sz w:val="32"/>
          <w:szCs w:val="32"/>
          <w:highlight w:val="none"/>
          <w:lang w:eastAsia="zh-CN"/>
        </w:rPr>
        <w:t>射箭镇明觉</w:t>
      </w:r>
      <w:r>
        <w:rPr>
          <w:rFonts w:hint="eastAsia" w:ascii="Times New Roman" w:hAnsi="Times New Roman" w:eastAsia="仿宋_GB2312"/>
          <w:b w:val="0"/>
          <w:bCs/>
          <w:color w:val="auto"/>
          <w:sz w:val="32"/>
          <w:szCs w:val="32"/>
          <w:highlight w:val="none"/>
        </w:rPr>
        <w:t>小学教学辉煌。</w:t>
      </w:r>
    </w:p>
    <w:p w14:paraId="5B17C786">
      <w:pPr>
        <w:spacing w:line="576" w:lineRule="exact"/>
        <w:ind w:firstLine="640" w:firstLineChars="200"/>
        <w:rPr>
          <w:rFonts w:ascii="Times New Roman" w:hAnsi="Times New Roman" w:eastAsia="仿宋_GB2312"/>
          <w:b w:val="0"/>
          <w:bCs/>
          <w:color w:val="auto"/>
          <w:sz w:val="32"/>
          <w:szCs w:val="32"/>
          <w:highlight w:val="none"/>
        </w:rPr>
      </w:pPr>
      <w:r>
        <w:rPr>
          <w:rFonts w:ascii="Times New Roman" w:hAnsi="Times New Roman" w:eastAsia="仿宋_GB2312"/>
          <w:b w:val="0"/>
          <w:bCs/>
          <w:color w:val="auto"/>
          <w:sz w:val="32"/>
          <w:szCs w:val="32"/>
          <w:highlight w:val="none"/>
        </w:rPr>
        <w:t>2</w:t>
      </w:r>
      <w:r>
        <w:rPr>
          <w:rFonts w:hint="eastAsia" w:eastAsia="仿宋_GB2312"/>
          <w:b w:val="0"/>
          <w:bCs/>
          <w:color w:val="auto"/>
          <w:sz w:val="32"/>
          <w:szCs w:val="32"/>
          <w:highlight w:val="none"/>
          <w:lang w:eastAsia="zh-CN"/>
        </w:rPr>
        <w:t>、</w:t>
      </w:r>
      <w:r>
        <w:rPr>
          <w:rFonts w:hint="eastAsia" w:ascii="Times New Roman" w:hAnsi="Times New Roman" w:eastAsia="仿宋_GB2312"/>
          <w:b w:val="0"/>
          <w:bCs/>
          <w:color w:val="auto"/>
          <w:sz w:val="32"/>
          <w:szCs w:val="32"/>
          <w:highlight w:val="none"/>
        </w:rPr>
        <w:t>校园更美。以昭化区教育局</w:t>
      </w:r>
      <w:r>
        <w:rPr>
          <w:rFonts w:ascii="Times New Roman" w:hAnsi="Times New Roman" w:eastAsia="仿宋_GB2312"/>
          <w:b w:val="0"/>
          <w:bCs/>
          <w:color w:val="auto"/>
          <w:sz w:val="32"/>
          <w:szCs w:val="32"/>
          <w:highlight w:val="none"/>
        </w:rPr>
        <w:t>“</w:t>
      </w:r>
      <w:r>
        <w:rPr>
          <w:rFonts w:hint="eastAsia" w:ascii="Times New Roman" w:hAnsi="Times New Roman" w:eastAsia="仿宋_GB2312"/>
          <w:b w:val="0"/>
          <w:bCs/>
          <w:color w:val="auto"/>
          <w:sz w:val="32"/>
          <w:szCs w:val="32"/>
          <w:highlight w:val="none"/>
        </w:rPr>
        <w:t>四大校园</w:t>
      </w:r>
      <w:r>
        <w:rPr>
          <w:rFonts w:ascii="Times New Roman" w:hAnsi="Times New Roman" w:eastAsia="仿宋_GB2312"/>
          <w:b w:val="0"/>
          <w:bCs/>
          <w:color w:val="auto"/>
          <w:sz w:val="32"/>
          <w:szCs w:val="32"/>
          <w:highlight w:val="none"/>
        </w:rPr>
        <w:t>”</w:t>
      </w:r>
      <w:r>
        <w:rPr>
          <w:rFonts w:hint="eastAsia" w:ascii="Times New Roman" w:hAnsi="Times New Roman" w:eastAsia="仿宋_GB2312"/>
          <w:b w:val="0"/>
          <w:bCs/>
          <w:color w:val="auto"/>
          <w:sz w:val="32"/>
          <w:szCs w:val="32"/>
          <w:highlight w:val="none"/>
        </w:rPr>
        <w:t>实施意见为指导，严格落实，长期坚持，适当创新，以义教均衡创建和标准中心校建设为契机，学校设施更完善、功能更齐备、环境更优雅。活动育人、立德树人，书香校园日趋形成。</w:t>
      </w:r>
    </w:p>
    <w:p w14:paraId="0CF9F2CD">
      <w:pPr>
        <w:spacing w:line="576" w:lineRule="exact"/>
        <w:ind w:firstLine="640" w:firstLineChars="200"/>
        <w:rPr>
          <w:rFonts w:hint="eastAsia" w:ascii="Times New Roman" w:hAnsi="Times New Roman" w:eastAsia="仿宋_GB2312"/>
          <w:b w:val="0"/>
          <w:bCs/>
          <w:color w:val="auto"/>
          <w:sz w:val="32"/>
          <w:szCs w:val="32"/>
          <w:highlight w:val="none"/>
        </w:rPr>
      </w:pPr>
      <w:r>
        <w:rPr>
          <w:rFonts w:hint="eastAsia" w:ascii="Times New Roman" w:hAnsi="Times New Roman" w:eastAsia="仿宋_GB2312"/>
          <w:b w:val="0"/>
          <w:bCs/>
          <w:color w:val="auto"/>
          <w:sz w:val="32"/>
          <w:szCs w:val="32"/>
          <w:highlight w:val="none"/>
        </w:rPr>
        <w:t>一年来，学校获得奖项及荣誉：省级1项，市级</w:t>
      </w:r>
      <w:r>
        <w:rPr>
          <w:rFonts w:hint="eastAsia" w:eastAsia="仿宋_GB2312"/>
          <w:b w:val="0"/>
          <w:bCs/>
          <w:color w:val="auto"/>
          <w:sz w:val="32"/>
          <w:szCs w:val="32"/>
          <w:highlight w:val="none"/>
          <w:lang w:val="en-US" w:eastAsia="zh-CN"/>
        </w:rPr>
        <w:t>0</w:t>
      </w:r>
      <w:r>
        <w:rPr>
          <w:rFonts w:hint="eastAsia" w:ascii="Times New Roman" w:hAnsi="Times New Roman" w:eastAsia="仿宋_GB2312"/>
          <w:b w:val="0"/>
          <w:bCs/>
          <w:color w:val="auto"/>
          <w:sz w:val="32"/>
          <w:szCs w:val="32"/>
          <w:highlight w:val="none"/>
        </w:rPr>
        <w:t>项、区级</w:t>
      </w:r>
      <w:r>
        <w:rPr>
          <w:rFonts w:hint="eastAsia" w:eastAsia="仿宋_GB2312"/>
          <w:b w:val="0"/>
          <w:bCs/>
          <w:color w:val="auto"/>
          <w:sz w:val="32"/>
          <w:szCs w:val="32"/>
          <w:highlight w:val="none"/>
          <w:lang w:val="en-US" w:eastAsia="zh-CN"/>
        </w:rPr>
        <w:t>4</w:t>
      </w:r>
      <w:r>
        <w:rPr>
          <w:rFonts w:hint="eastAsia" w:ascii="Times New Roman" w:hAnsi="Times New Roman" w:eastAsia="仿宋_GB2312"/>
          <w:b w:val="0"/>
          <w:bCs/>
          <w:color w:val="auto"/>
          <w:sz w:val="32"/>
          <w:szCs w:val="32"/>
          <w:highlight w:val="none"/>
        </w:rPr>
        <w:t>项。</w:t>
      </w:r>
    </w:p>
    <w:p w14:paraId="6EDB5423">
      <w:pPr>
        <w:widowControl/>
        <w:jc w:val="left"/>
        <w:rPr>
          <w:rFonts w:ascii="仿宋" w:hAnsi="仿宋" w:eastAsia="仿宋"/>
          <w:color w:val="auto"/>
          <w:kern w:val="0"/>
          <w:sz w:val="32"/>
          <w:szCs w:val="32"/>
          <w:highlight w:val="none"/>
        </w:rPr>
      </w:pPr>
    </w:p>
    <w:p w14:paraId="6228E24F">
      <w:pPr>
        <w:pStyle w:val="16"/>
        <w:rPr>
          <w:color w:val="auto"/>
          <w:highlight w:val="none"/>
        </w:rPr>
      </w:pPr>
    </w:p>
    <w:p w14:paraId="402A6863">
      <w:pPr>
        <w:rPr>
          <w:rFonts w:hint="eastAsia" w:ascii="黑体" w:hAnsi="黑体" w:eastAsia="黑体"/>
          <w:b w:val="0"/>
          <w:color w:val="auto"/>
          <w:highlight w:val="none"/>
        </w:rPr>
      </w:pPr>
      <w:bookmarkStart w:id="16" w:name="_Toc15377204"/>
      <w:bookmarkStart w:id="17" w:name="_Toc15396602"/>
      <w:r>
        <w:rPr>
          <w:rFonts w:hint="eastAsia" w:ascii="黑体" w:hAnsi="黑体" w:eastAsia="黑体"/>
          <w:b w:val="0"/>
          <w:color w:val="auto"/>
          <w:highlight w:val="none"/>
        </w:rPr>
        <w:br w:type="page"/>
      </w:r>
    </w:p>
    <w:p w14:paraId="72DE40C1">
      <w:pPr>
        <w:pStyle w:val="3"/>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14:paraId="4AD7E47A">
      <w:pPr>
        <w:rPr>
          <w:color w:val="auto"/>
          <w:highlight w:val="none"/>
        </w:rPr>
      </w:pPr>
    </w:p>
    <w:p w14:paraId="55175B25">
      <w:pPr>
        <w:pStyle w:val="28"/>
        <w:numPr>
          <w:ilvl w:val="0"/>
          <w:numId w:val="2"/>
        </w:numPr>
        <w:spacing w:line="600" w:lineRule="exact"/>
        <w:ind w:firstLineChars="0"/>
        <w:outlineLvl w:val="1"/>
        <w:rPr>
          <w:rStyle w:val="30"/>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14:paraId="048D1722">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763.22</w:t>
      </w:r>
      <w:r>
        <w:rPr>
          <w:rFonts w:hint="eastAsia" w:ascii="仿宋" w:hAnsi="仿宋" w:eastAsia="仿宋"/>
          <w:color w:val="auto"/>
          <w:sz w:val="32"/>
          <w:szCs w:val="32"/>
          <w:highlight w:val="none"/>
        </w:rPr>
        <w:t>万元。与2020年相比，收、支总计各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88.98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减少10.44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基本</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减少</w:t>
      </w:r>
      <w:r>
        <w:rPr>
          <w:rFonts w:hint="eastAsia" w:ascii="仿宋" w:hAnsi="仿宋" w:eastAsia="仿宋"/>
          <w:color w:val="auto"/>
          <w:sz w:val="32"/>
          <w:szCs w:val="32"/>
          <w:highlight w:val="none"/>
        </w:rPr>
        <w:t>。</w:t>
      </w:r>
    </w:p>
    <w:p w14:paraId="5905CD1D">
      <w:pPr>
        <w:pStyle w:val="28"/>
        <w:numPr>
          <w:ilvl w:val="0"/>
          <w:numId w:val="2"/>
        </w:numPr>
        <w:spacing w:line="600" w:lineRule="exact"/>
        <w:ind w:firstLineChars="0"/>
        <w:outlineLvl w:val="1"/>
        <w:rPr>
          <w:rStyle w:val="30"/>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14:paraId="6F53B873">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763.22</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761.72</w:t>
      </w:r>
      <w:r>
        <w:rPr>
          <w:rFonts w:hint="eastAsia" w:ascii="仿宋" w:hAnsi="仿宋" w:eastAsia="仿宋"/>
          <w:color w:val="auto"/>
          <w:sz w:val="32"/>
          <w:szCs w:val="32"/>
          <w:highlight w:val="none"/>
        </w:rPr>
        <w:t>万元，占99.</w:t>
      </w:r>
      <w:r>
        <w:rPr>
          <w:rFonts w:hint="eastAsia" w:ascii="仿宋" w:hAnsi="仿宋" w:eastAsia="仿宋"/>
          <w:color w:val="auto"/>
          <w:sz w:val="32"/>
          <w:szCs w:val="32"/>
          <w:highlight w:val="none"/>
          <w:lang w:val="en-US" w:eastAsia="zh-CN"/>
        </w:rPr>
        <w:t>80</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1.5</w:t>
      </w:r>
      <w:r>
        <w:rPr>
          <w:rFonts w:hint="eastAsia" w:ascii="仿宋" w:hAnsi="仿宋" w:eastAsia="仿宋"/>
          <w:color w:val="auto"/>
          <w:sz w:val="32"/>
          <w:szCs w:val="32"/>
          <w:highlight w:val="none"/>
        </w:rPr>
        <w:t>万元，占0.2</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113DE4F4">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06BC0DC0">
      <w:pPr>
        <w:pStyle w:val="16"/>
        <w:ind w:left="0" w:leftChars="0" w:firstLine="640" w:firstLineChars="200"/>
        <w:rPr>
          <w:rStyle w:val="30"/>
          <w:rFonts w:ascii="黑体" w:hAnsi="黑体" w:eastAsia="黑体"/>
          <w:b w:val="0"/>
          <w:color w:val="auto"/>
          <w:highlight w:val="none"/>
        </w:rPr>
      </w:pPr>
      <w:bookmarkStart w:id="22" w:name="_Toc15377207"/>
      <w:bookmarkStart w:id="23" w:name="_Toc1539660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14:paraId="5852D429">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763.22</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659.72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86.44</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103.50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13.56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57ADC69B">
      <w:pPr>
        <w:spacing w:line="600" w:lineRule="exact"/>
        <w:ind w:firstLine="640" w:firstLineChars="200"/>
        <w:outlineLvl w:val="1"/>
        <w:rPr>
          <w:rStyle w:val="30"/>
          <w:rFonts w:ascii="黑体" w:hAnsi="黑体" w:eastAsia="黑体"/>
          <w:b w:val="0"/>
          <w:color w:val="auto"/>
          <w:highlight w:val="none"/>
        </w:rPr>
      </w:pPr>
      <w:bookmarkStart w:id="24" w:name="_Toc15396606"/>
      <w:bookmarkStart w:id="25" w:name="_Toc15377208"/>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53340</wp:posOffset>
            </wp:positionH>
            <wp:positionV relativeFrom="paragraph">
              <wp:posOffset>127635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14:paraId="6C994A97">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763.22</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u w:val="dotted"/>
          <w:lang w:val="en-US" w:eastAsia="zh-CN"/>
        </w:rPr>
        <w:t>减少</w:t>
      </w:r>
      <w:r>
        <w:rPr>
          <w:rFonts w:hint="eastAsia" w:ascii="仿宋" w:hAnsi="仿宋" w:eastAsia="仿宋"/>
          <w:color w:val="auto"/>
          <w:sz w:val="32"/>
          <w:szCs w:val="32"/>
          <w:highlight w:val="none"/>
          <w:lang w:val="en-US" w:eastAsia="zh-CN"/>
        </w:rPr>
        <w:t>88.98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减少10.44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基本</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减少</w:t>
      </w:r>
      <w:r>
        <w:rPr>
          <w:rFonts w:hint="eastAsia" w:ascii="仿宋" w:hAnsi="仿宋" w:eastAsia="仿宋"/>
          <w:color w:val="auto"/>
          <w:sz w:val="32"/>
          <w:szCs w:val="32"/>
          <w:highlight w:val="none"/>
        </w:rPr>
        <w:t>。</w:t>
      </w:r>
    </w:p>
    <w:p w14:paraId="0A87C7F4">
      <w:pPr>
        <w:pStyle w:val="16"/>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7AB1CF4B">
      <w:pPr>
        <w:spacing w:line="600" w:lineRule="exact"/>
        <w:ind w:firstLine="640" w:firstLineChars="200"/>
        <w:outlineLvl w:val="1"/>
        <w:rPr>
          <w:rStyle w:val="30"/>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14:paraId="24862050">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14:paraId="2CED51A1">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761.72</w:t>
      </w:r>
      <w:r>
        <w:rPr>
          <w:rFonts w:hint="eastAsia" w:ascii="仿宋" w:hAnsi="仿宋" w:eastAsia="仿宋"/>
          <w:color w:val="auto"/>
          <w:sz w:val="32"/>
          <w:szCs w:val="32"/>
          <w:highlight w:val="none"/>
        </w:rPr>
        <w:t>万元，占本年支出合计的99.</w:t>
      </w:r>
      <w:r>
        <w:rPr>
          <w:rFonts w:hint="eastAsia" w:ascii="仿宋" w:hAnsi="仿宋" w:eastAsia="仿宋"/>
          <w:color w:val="auto"/>
          <w:sz w:val="32"/>
          <w:szCs w:val="32"/>
          <w:highlight w:val="none"/>
          <w:lang w:val="en-US" w:eastAsia="zh-CN"/>
        </w:rPr>
        <w:t>80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849.20</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val="en-US" w:eastAsia="zh-CN"/>
        </w:rPr>
        <w:t>减少87.48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u w:val="dotted"/>
          <w:lang w:val="en-US" w:eastAsia="zh-CN"/>
        </w:rPr>
        <w:t>减少</w:t>
      </w:r>
      <w:r>
        <w:rPr>
          <w:rFonts w:hint="eastAsia" w:ascii="仿宋" w:hAnsi="仿宋" w:eastAsia="仿宋"/>
          <w:color w:val="auto"/>
          <w:sz w:val="32"/>
          <w:szCs w:val="32"/>
          <w:highlight w:val="none"/>
          <w:lang w:val="en-US" w:eastAsia="zh-CN"/>
        </w:rPr>
        <w:t>10.30</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基本</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减少</w:t>
      </w:r>
      <w:r>
        <w:rPr>
          <w:rFonts w:hint="eastAsia" w:ascii="仿宋" w:hAnsi="仿宋" w:eastAsia="仿宋"/>
          <w:color w:val="auto"/>
          <w:sz w:val="32"/>
          <w:szCs w:val="32"/>
          <w:highlight w:val="none"/>
        </w:rPr>
        <w:t>。</w:t>
      </w:r>
    </w:p>
    <w:p w14:paraId="79B2B4A3">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color w:val="auto"/>
          <w:sz w:val="32"/>
          <w:szCs w:val="32"/>
          <w:highlight w:val="none"/>
        </w:rPr>
        <w:t>（二）一般公共预算财政拨款支出决算结构情况</w:t>
      </w:r>
      <w:bookmarkEnd w:id="29"/>
    </w:p>
    <w:p w14:paraId="0EE258F6">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761.72</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761.72</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5AB09F69">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14:paraId="311BB2F1">
      <w:pPr>
        <w:spacing w:line="600" w:lineRule="exact"/>
        <w:ind w:firstLine="643" w:firstLineChars="200"/>
        <w:outlineLvl w:val="2"/>
        <w:rPr>
          <w:rFonts w:ascii="仿宋" w:hAnsi="仿宋" w:eastAsia="仿宋"/>
          <w:color w:val="auto"/>
          <w:sz w:val="32"/>
          <w:szCs w:val="32"/>
          <w:highlight w:val="none"/>
        </w:rPr>
      </w:pPr>
      <w:bookmarkStart w:id="31" w:name="_Toc15377213"/>
      <w:bookmarkStart w:id="32" w:name="_Toc15377444"/>
      <w:bookmarkStart w:id="33" w:name="_Toc15378460"/>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761.72万元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14:paraId="045AD73E">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659</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val="en-US" w:eastAsia="zh-CN"/>
        </w:rPr>
        <w:t>72</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359B3D73">
      <w:p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w:t>
      </w:r>
      <w:r>
        <w:rPr>
          <w:rStyle w:val="19"/>
          <w:rFonts w:hint="eastAsia" w:ascii="仿宋" w:hAnsi="仿宋" w:eastAsia="仿宋"/>
          <w:bCs/>
          <w:color w:val="auto"/>
          <w:sz w:val="32"/>
          <w:szCs w:val="32"/>
          <w:highlight w:val="none"/>
          <w:lang w:val="en-US" w:eastAsia="zh-CN"/>
        </w:rPr>
        <w:t>普通教育</w:t>
      </w:r>
      <w:r>
        <w:rPr>
          <w:rStyle w:val="19"/>
          <w:rFonts w:hint="eastAsia" w:ascii="仿宋" w:hAnsi="仿宋" w:eastAsia="仿宋"/>
          <w:bCs/>
          <w:color w:val="auto"/>
          <w:sz w:val="32"/>
          <w:szCs w:val="32"/>
          <w:highlight w:val="none"/>
        </w:rPr>
        <w:t>0</w:t>
      </w:r>
      <w:r>
        <w:rPr>
          <w:rStyle w:val="19"/>
          <w:rFonts w:hint="eastAsia" w:ascii="仿宋" w:hAnsi="仿宋" w:eastAsia="仿宋"/>
          <w:bCs/>
          <w:color w:val="auto"/>
          <w:sz w:val="32"/>
          <w:szCs w:val="32"/>
          <w:highlight w:val="none"/>
          <w:lang w:val="en-US" w:eastAsia="zh-CN"/>
        </w:rPr>
        <w:t>2</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其他</w:t>
      </w:r>
      <w:r>
        <w:rPr>
          <w:rStyle w:val="19"/>
          <w:rFonts w:hint="eastAsia" w:ascii="仿宋" w:hAnsi="仿宋" w:eastAsia="仿宋"/>
          <w:bCs/>
          <w:color w:val="auto"/>
          <w:sz w:val="32"/>
          <w:szCs w:val="32"/>
          <w:highlight w:val="none"/>
          <w:lang w:val="en-US" w:eastAsia="zh-CN"/>
        </w:rPr>
        <w:t>普通</w:t>
      </w:r>
      <w:r>
        <w:rPr>
          <w:rStyle w:val="19"/>
          <w:rFonts w:hint="eastAsia" w:ascii="仿宋" w:hAnsi="仿宋" w:eastAsia="仿宋"/>
          <w:bCs/>
          <w:color w:val="auto"/>
          <w:sz w:val="32"/>
          <w:szCs w:val="32"/>
          <w:highlight w:val="none"/>
        </w:rPr>
        <w:t>教育</w:t>
      </w:r>
      <w:r>
        <w:rPr>
          <w:rStyle w:val="19"/>
          <w:rFonts w:hint="eastAsia" w:ascii="仿宋" w:hAnsi="仿宋" w:eastAsia="仿宋"/>
          <w:bCs/>
          <w:color w:val="auto"/>
          <w:sz w:val="32"/>
          <w:szCs w:val="32"/>
          <w:highlight w:val="none"/>
          <w:lang w:val="en-US" w:eastAsia="zh-CN"/>
        </w:rPr>
        <w:t>支出99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102.00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677615EA">
      <w:pPr>
        <w:pStyle w:val="16"/>
        <w:rPr>
          <w:color w:val="auto"/>
          <w:highlight w:val="none"/>
        </w:rPr>
      </w:pPr>
    </w:p>
    <w:p w14:paraId="5EA5C4FE">
      <w:pPr>
        <w:tabs>
          <w:tab w:val="right" w:pos="8306"/>
        </w:tabs>
        <w:spacing w:line="600" w:lineRule="exact"/>
        <w:ind w:firstLine="640"/>
        <w:outlineLvl w:val="1"/>
        <w:rPr>
          <w:rStyle w:val="30"/>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14:paraId="2BA04AEB">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659.72</w:t>
      </w:r>
      <w:r>
        <w:rPr>
          <w:rFonts w:hint="eastAsia" w:ascii="仿宋" w:hAnsi="仿宋" w:eastAsia="仿宋"/>
          <w:color w:val="auto"/>
          <w:sz w:val="32"/>
          <w:szCs w:val="32"/>
          <w:highlight w:val="none"/>
        </w:rPr>
        <w:t>万元，其中：</w:t>
      </w:r>
    </w:p>
    <w:p w14:paraId="3E811E9F">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587.13</w:t>
      </w:r>
      <w:r>
        <w:rPr>
          <w:rFonts w:hint="eastAsia" w:ascii="仿宋" w:hAnsi="仿宋" w:eastAsia="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val="en-US" w:eastAsia="zh-CN"/>
        </w:rPr>
        <w:t>住房公积金、其他工资福利支出、生活补助、助学金、奖励金</w:t>
      </w:r>
      <w:r>
        <w:rPr>
          <w:rFonts w:hint="eastAsia" w:ascii="仿宋" w:hAnsi="仿宋" w:eastAsia="仿宋"/>
          <w:color w:val="auto"/>
          <w:sz w:val="32"/>
          <w:szCs w:val="32"/>
          <w:highlight w:val="none"/>
        </w:rPr>
        <w:t>等。</w:t>
      </w:r>
    </w:p>
    <w:p w14:paraId="4F36595D">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72.59</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14:paraId="4E473D22">
      <w:pPr>
        <w:spacing w:line="600" w:lineRule="exact"/>
        <w:ind w:firstLine="640"/>
        <w:outlineLvl w:val="1"/>
        <w:rPr>
          <w:rStyle w:val="30"/>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14:paraId="01FB1F0D">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14:paraId="59D56E0C">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21年“三公”经费财政拨款支出决算为1.</w:t>
      </w:r>
      <w:r>
        <w:rPr>
          <w:rFonts w:hint="eastAsia" w:ascii="仿宋" w:hAnsi="仿宋" w:eastAsia="仿宋"/>
          <w:color w:val="auto"/>
          <w:sz w:val="32"/>
          <w:szCs w:val="32"/>
          <w:highlight w:val="none"/>
          <w:lang w:val="en-US" w:eastAsia="zh-CN"/>
        </w:rPr>
        <w:t>93</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rPr>
        <w:t>.5</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14:paraId="75A8C774">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14:paraId="09FDA07B">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公务接待费支出决算1.</w:t>
      </w:r>
      <w:r>
        <w:rPr>
          <w:rFonts w:hint="eastAsia" w:ascii="仿宋" w:hAnsi="仿宋" w:eastAsia="仿宋"/>
          <w:color w:val="auto"/>
          <w:sz w:val="32"/>
          <w:szCs w:val="32"/>
          <w:highlight w:val="none"/>
          <w:lang w:val="en-US" w:eastAsia="zh-CN"/>
        </w:rPr>
        <w:t>93</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49391308">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56FCAA81">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0739D371">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14:paraId="59B4528C">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14:paraId="58B3C285">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14:paraId="06F24182">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val="en-US" w:eastAsia="zh-CN"/>
        </w:rPr>
        <w:t>93</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rPr>
        <w:t>.5</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0.05</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2.53</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14:paraId="63B24635">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ascii="Times New Roman" w:hAnsi="Times New Roman" w:eastAsia="仿宋" w:cs="Times New Roman"/>
          <w:color w:val="auto"/>
          <w:sz w:val="32"/>
          <w:szCs w:val="32"/>
          <w:highlight w:val="none"/>
          <w:lang w:val="en-US" w:eastAsia="zh-CN"/>
        </w:rPr>
        <w:t>1.</w:t>
      </w:r>
      <w:r>
        <w:rPr>
          <w:rFonts w:hint="eastAsia" w:eastAsia="仿宋" w:cs="Times New Roman"/>
          <w:color w:val="auto"/>
          <w:sz w:val="32"/>
          <w:szCs w:val="32"/>
          <w:highlight w:val="none"/>
          <w:lang w:val="en-US" w:eastAsia="zh-CN"/>
        </w:rPr>
        <w:t>93</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79</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432</w:t>
      </w:r>
      <w:r>
        <w:rPr>
          <w:rFonts w:hint="default" w:ascii="Times New Roman" w:hAnsi="Times New Roman" w:eastAsia="仿宋" w:cs="Times New Roman"/>
          <w:color w:val="auto"/>
          <w:sz w:val="32"/>
          <w:szCs w:val="32"/>
          <w:highlight w:val="none"/>
        </w:rPr>
        <w:t>人次（不包括陪同人员），共计支出</w:t>
      </w:r>
      <w:r>
        <w:rPr>
          <w:rFonts w:hint="eastAsia" w:ascii="Times New Roman" w:hAnsi="Times New Roman" w:eastAsia="仿宋" w:cs="Times New Roman"/>
          <w:color w:val="auto"/>
          <w:sz w:val="32"/>
          <w:szCs w:val="32"/>
          <w:highlight w:val="none"/>
          <w:lang w:val="en-US" w:eastAsia="zh-CN"/>
        </w:rPr>
        <w:t>1.</w:t>
      </w:r>
      <w:r>
        <w:rPr>
          <w:rFonts w:hint="eastAsia" w:eastAsia="仿宋" w:cs="Times New Roman"/>
          <w:color w:val="auto"/>
          <w:sz w:val="32"/>
          <w:szCs w:val="32"/>
          <w:highlight w:val="none"/>
          <w:lang w:val="en-US" w:eastAsia="zh-CN"/>
        </w:rPr>
        <w:t>93</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交流0.1万元、</w:t>
      </w:r>
      <w:r>
        <w:rPr>
          <w:rFonts w:hint="eastAsia" w:ascii="仿宋_GB2312" w:eastAsia="仿宋_GB2312"/>
          <w:color w:val="auto"/>
          <w:sz w:val="32"/>
          <w:szCs w:val="32"/>
          <w:highlight w:val="none"/>
          <w:lang w:val="en-US" w:eastAsia="zh-CN"/>
        </w:rPr>
        <w:t>学生活动费及运动会学生用餐、交通费、体检费等1.63万元。</w:t>
      </w:r>
    </w:p>
    <w:p w14:paraId="677E3D06">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14:paraId="4F84DC6B">
      <w:pPr>
        <w:spacing w:line="600" w:lineRule="exact"/>
        <w:outlineLvl w:val="1"/>
        <w:rPr>
          <w:rFonts w:ascii="黑体" w:eastAsia="黑体"/>
          <w:color w:val="auto"/>
          <w:sz w:val="32"/>
          <w:szCs w:val="32"/>
          <w:highlight w:val="none"/>
        </w:rPr>
      </w:pPr>
      <w:bookmarkStart w:id="40" w:name="_Toc15396610"/>
      <w:bookmarkStart w:id="41" w:name="_Toc15377218"/>
    </w:p>
    <w:p w14:paraId="6DCB3C3E">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14:paraId="4D544A68">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14:paraId="759409F5">
      <w:pPr>
        <w:pStyle w:val="16"/>
        <w:rPr>
          <w:color w:val="auto"/>
          <w:highlight w:val="none"/>
        </w:rPr>
      </w:pPr>
    </w:p>
    <w:p w14:paraId="5B941B2F">
      <w:pPr>
        <w:numPr>
          <w:ilvl w:val="0"/>
          <w:numId w:val="3"/>
        </w:numPr>
        <w:spacing w:line="600" w:lineRule="exact"/>
        <w:ind w:firstLine="640"/>
        <w:outlineLvl w:val="1"/>
        <w:rPr>
          <w:rStyle w:val="30"/>
          <w:rFonts w:ascii="黑体" w:hAnsi="黑体" w:eastAsia="黑体"/>
          <w:b w:val="0"/>
          <w:color w:val="auto"/>
          <w:highlight w:val="none"/>
        </w:rPr>
      </w:pPr>
      <w:bookmarkStart w:id="42" w:name="_Toc15377219"/>
      <w:bookmarkStart w:id="43" w:name="_Toc15396611"/>
      <w:r>
        <w:rPr>
          <w:rStyle w:val="30"/>
          <w:rFonts w:hint="eastAsia" w:ascii="黑体" w:hAnsi="黑体" w:eastAsia="黑体"/>
          <w:b w:val="0"/>
          <w:color w:val="auto"/>
          <w:highlight w:val="none"/>
        </w:rPr>
        <w:t>国有资本经营预算支出决算情况说明</w:t>
      </w:r>
      <w:bookmarkEnd w:id="42"/>
      <w:bookmarkEnd w:id="43"/>
    </w:p>
    <w:p w14:paraId="18213932">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14:paraId="565580FF">
      <w:pPr>
        <w:spacing w:line="580" w:lineRule="exact"/>
        <w:rPr>
          <w:rFonts w:ascii="方正小标宋简体" w:hAnsi="方正小标宋简体" w:eastAsia="方正小标宋简体" w:cs="方正小标宋简体"/>
          <w:color w:val="auto"/>
          <w:sz w:val="44"/>
          <w:szCs w:val="44"/>
          <w:highlight w:val="none"/>
        </w:rPr>
      </w:pPr>
    </w:p>
    <w:p w14:paraId="00A9959E">
      <w:pPr>
        <w:numPr>
          <w:ilvl w:val="0"/>
          <w:numId w:val="3"/>
        </w:numPr>
        <w:spacing w:line="600" w:lineRule="exact"/>
        <w:ind w:firstLine="640"/>
        <w:outlineLvl w:val="1"/>
        <w:rPr>
          <w:rStyle w:val="30"/>
          <w:rFonts w:ascii="黑体" w:hAnsi="黑体" w:eastAsia="黑体"/>
          <w:b w:val="0"/>
          <w:color w:val="auto"/>
          <w:highlight w:val="none"/>
        </w:rPr>
      </w:pPr>
      <w:bookmarkStart w:id="44" w:name="_Toc15396612"/>
      <w:bookmarkStart w:id="45" w:name="_Toc15377221"/>
      <w:r>
        <w:rPr>
          <w:rStyle w:val="30"/>
          <w:rFonts w:hint="eastAsia" w:ascii="黑体" w:hAnsi="黑体" w:eastAsia="黑体"/>
          <w:b w:val="0"/>
          <w:color w:val="auto"/>
          <w:highlight w:val="none"/>
        </w:rPr>
        <w:t>预算绩效管理情况</w:t>
      </w:r>
    </w:p>
    <w:p w14:paraId="3FEDBDB9">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对追加预算乡村少年宫运行经费项目和校舍维修项目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14:paraId="201ACC27">
      <w:pPr>
        <w:pStyle w:val="2"/>
        <w:spacing w:before="93"/>
        <w:rPr>
          <w:color w:val="auto"/>
          <w:highlight w:val="none"/>
        </w:rPr>
      </w:pPr>
    </w:p>
    <w:p w14:paraId="672DFF01">
      <w:pPr>
        <w:numPr>
          <w:ilvl w:val="0"/>
          <w:numId w:val="3"/>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14:paraId="2E279F7A">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14:paraId="068F98A2">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14:paraId="1598D92E">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14:paraId="20535CB4">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14:paraId="7896D48C">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14:paraId="17848B30">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740D5968">
      <w:pPr>
        <w:numPr>
          <w:ilvl w:val="0"/>
          <w:numId w:val="4"/>
        </w:numPr>
        <w:spacing w:line="600" w:lineRule="exact"/>
        <w:ind w:firstLine="660" w:firstLineChars="150"/>
        <w:jc w:val="center"/>
        <w:outlineLvl w:val="0"/>
        <w:rPr>
          <w:rStyle w:val="29"/>
          <w:rFonts w:ascii="黑体" w:hAnsi="黑体" w:eastAsia="黑体"/>
          <w:b w:val="0"/>
          <w:color w:val="auto"/>
          <w:highlight w:val="none"/>
        </w:rPr>
      </w:pPr>
      <w:bookmarkStart w:id="49" w:name="_Toc15377225"/>
      <w:bookmarkStart w:id="50" w:name="_Toc15396613"/>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14:paraId="5CCFFABF">
      <w:pPr>
        <w:spacing w:line="600" w:lineRule="exact"/>
        <w:jc w:val="left"/>
        <w:rPr>
          <w:rFonts w:ascii="宋体"/>
          <w:b/>
          <w:color w:val="auto"/>
          <w:sz w:val="44"/>
          <w:szCs w:val="44"/>
          <w:highlight w:val="none"/>
        </w:rPr>
      </w:pPr>
    </w:p>
    <w:p w14:paraId="4A6F5F7E">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14:paraId="19DD0685">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14:paraId="33567DF4">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436E78B2">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14:paraId="5E332E3F">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3CB890AD">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14:paraId="78D45A2E">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w:t>
      </w:r>
      <w:r>
        <w:rPr>
          <w:rFonts w:hint="eastAsia" w:ascii="仿宋_GB2312" w:eastAsia="仿宋_GB2312"/>
          <w:color w:val="auto"/>
          <w:sz w:val="32"/>
          <w:szCs w:val="32"/>
          <w:highlight w:val="none"/>
          <w:lang w:val="en-US" w:eastAsia="zh-CN"/>
        </w:rPr>
        <w:t>普通教育</w:t>
      </w:r>
      <w:r>
        <w:rPr>
          <w:rFonts w:hint="eastAsia" w:ascii="仿宋_GB2312" w:eastAsia="仿宋_GB2312"/>
          <w:color w:val="auto"/>
          <w:sz w:val="32"/>
          <w:szCs w:val="32"/>
          <w:highlight w:val="none"/>
        </w:rPr>
        <w:t>（款）其他教育</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（项）：其他教育费附加安排。</w:t>
      </w:r>
    </w:p>
    <w:p w14:paraId="6246ED9A">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w:t>
      </w:r>
      <w:r>
        <w:rPr>
          <w:rFonts w:hint="eastAsia" w:ascii="仿宋_GB2312" w:hAnsi="Calibri" w:eastAsia="仿宋_GB2312" w:cs="仿宋"/>
          <w:color w:val="auto"/>
          <w:kern w:val="0"/>
          <w:sz w:val="32"/>
          <w:szCs w:val="32"/>
          <w:highlight w:val="none"/>
          <w:lang w:val="en-US" w:eastAsia="zh-CN" w:bidi="ar-SA"/>
        </w:rPr>
        <w:t>其他支出（类）彩票公益金安排的支出（款）用于体育事业的彩票公益金支出（项）：指</w:t>
      </w:r>
      <w:r>
        <w:rPr>
          <w:rFonts w:hint="eastAsia" w:ascii="仿宋_GB2312" w:hAnsi="Calibri" w:eastAsia="仿宋_GB2312" w:cs="仿宋"/>
          <w:color w:val="auto"/>
          <w:kern w:val="0"/>
          <w:sz w:val="32"/>
          <w:szCs w:val="32"/>
          <w:highlight w:val="none"/>
          <w:lang w:val="en-US" w:eastAsia="zh-CN"/>
        </w:rPr>
        <w:t>用于体育事业的彩票公益金支出。</w:t>
      </w:r>
    </w:p>
    <w:p w14:paraId="217F3FE0">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14:paraId="28C07D97">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14:paraId="359BF274">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595A1F4D">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14:paraId="664F40F0">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78B9EC9A">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3B0F8A31">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14:paraId="189BCBBD">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14:paraId="0FFC5998">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7"/>
        <w:tblpPr w:leftFromText="180" w:rightFromText="180" w:vertAnchor="text" w:horzAnchor="page" w:tblpX="1251" w:tblpY="37"/>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4DA71ECB">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4C88AE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53"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14:paraId="0FB181F0">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14:paraId="46263C7B">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B58768">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8E1C6">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360334</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EE36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0AC1">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w:t>
            </w:r>
            <w:r>
              <w:rPr>
                <w:rFonts w:hint="eastAsia" w:ascii="宋体" w:hAnsi="宋体" w:cs="宋体"/>
                <w:color w:val="auto"/>
                <w:sz w:val="24"/>
                <w:highlight w:val="none"/>
                <w:lang w:val="en-US" w:eastAsia="zh-CN"/>
              </w:rPr>
              <w:t>射箭</w:t>
            </w:r>
            <w:r>
              <w:rPr>
                <w:rFonts w:hint="eastAsia" w:ascii="宋体" w:hAnsi="宋体" w:cs="宋体"/>
                <w:color w:val="auto"/>
                <w:sz w:val="24"/>
                <w:highlight w:val="none"/>
                <w:lang w:eastAsia="zh-CN"/>
              </w:rPr>
              <w:t>镇</w:t>
            </w:r>
            <w:r>
              <w:rPr>
                <w:rFonts w:hint="eastAsia" w:ascii="宋体" w:hAnsi="宋体" w:cs="宋体"/>
                <w:color w:val="auto"/>
                <w:sz w:val="24"/>
                <w:highlight w:val="none"/>
                <w:lang w:val="en-US" w:eastAsia="zh-CN"/>
              </w:rPr>
              <w:t>明觉</w:t>
            </w:r>
            <w:r>
              <w:rPr>
                <w:rFonts w:hint="eastAsia" w:ascii="宋体" w:hAnsi="宋体" w:cs="宋体"/>
                <w:color w:val="auto"/>
                <w:sz w:val="24"/>
                <w:highlight w:val="none"/>
                <w:lang w:eastAsia="zh-CN"/>
              </w:rPr>
              <w:t>小学</w:t>
            </w:r>
          </w:p>
        </w:tc>
      </w:tr>
      <w:tr w14:paraId="23325EDC">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AE956">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14:paraId="484F7BE1">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14:paraId="443D209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051BE">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39AF9">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0DE85">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7FD5">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r>
      <w:tr w14:paraId="0561354E">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E10D6">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84F95">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51937473">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3C85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D419">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29F37498">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7D31">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1.5</w:t>
            </w:r>
          </w:p>
        </w:tc>
      </w:tr>
      <w:tr w14:paraId="7A727BBA">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95D86">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DDE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2B088">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FD72A">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A3AB">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14:paraId="030B6F54">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529E2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14:paraId="6964F04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0F225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504EF7">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14:paraId="74B08ADA">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6A529">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43340F93">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2BEEAE54">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14:paraId="35F8F185">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345D4FCB">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21313D58">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14:paraId="70AECC98">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43FC">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14:paraId="6E0300E2">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B41F2">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14:paraId="7414D7E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2FAAE">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B82B">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14:paraId="0777CEE1">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0D3E38F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16765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14:paraId="76E9C6F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467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37B0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D3A76">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24D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14:paraId="30A87CC4">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22BDCBD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C287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1B0C515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D691B">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14:paraId="6FAA9CA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AD5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ADD8">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14:paraId="6B4A6F66">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14:paraId="382CAC37">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7CA6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45414305">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B598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234A4">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412A5">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14:paraId="6B70CB11">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06A95A72">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3EEF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5A85C1E7">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88B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BE1D">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02B82">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14:paraId="258AF6CB">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412EF50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9B7F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9987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8F0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A3E9E">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3BB15">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14:paraId="0FBC62A6">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14:paraId="4C2AFE4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43F0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1E8C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13B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FAC4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121B">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1.5万元</w:t>
            </w:r>
          </w:p>
        </w:tc>
      </w:tr>
      <w:tr w14:paraId="4D369CD9">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741E57E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004DB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14:paraId="610E8AF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3F4B57D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CF91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4586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6513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31898172">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187A871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8396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4E02F2D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14F4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6A5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AAD1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0CC73565">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305AB9F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692AD97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14:paraId="7DE16D1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501AD6C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14:paraId="65AA36F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C400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EBB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C431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14:paraId="4023043F">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367B380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7EBA4F79">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303D1C96">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AC9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61E1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23A74">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14:paraId="5E90EC4D">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68D03A48">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035A985F">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066609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（学生宿舍维修）</w:t>
            </w:r>
          </w:p>
        </w:tc>
        <w:tc>
          <w:tcPr>
            <w:tcW w:w="236" w:type="dxa"/>
            <w:tcBorders>
              <w:top w:val="nil"/>
              <w:left w:val="nil"/>
              <w:bottom w:val="nil"/>
              <w:right w:val="nil"/>
            </w:tcBorders>
            <w:shd w:val="clear" w:color="auto" w:fill="auto"/>
            <w:vAlign w:val="center"/>
          </w:tcPr>
          <w:p w14:paraId="7B53F219">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14:paraId="0E2BC1E1">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ECFA7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21205">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360334</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6B8A">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378F9">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广元市昭化区虎跳镇小学</w:t>
            </w:r>
          </w:p>
        </w:tc>
      </w:tr>
      <w:tr w14:paraId="608234D7">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017020">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14:paraId="1B429355">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14:paraId="0BED71C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C380">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31BA">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9599">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9386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102</w:t>
            </w:r>
          </w:p>
        </w:tc>
      </w:tr>
      <w:tr w14:paraId="09AA320C">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5208F">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D865B">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1AF1C80E">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0EF1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102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44F22">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66952AD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8A53">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102</w:t>
            </w:r>
          </w:p>
        </w:tc>
      </w:tr>
      <w:tr w14:paraId="0A240EDF">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975F8">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7918">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BB43">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32C43">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2CB60">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14:paraId="5A8B7A9E">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E99994">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14:paraId="5226EF7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D785A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F73F0">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14:paraId="57BA489A">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55F91">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33CFE0CD">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校舍</w:t>
            </w:r>
            <w:r>
              <w:rPr>
                <w:rFonts w:hint="eastAsia" w:ascii="宋体" w:hAnsi="宋体" w:cs="宋体"/>
                <w:color w:val="auto"/>
                <w:sz w:val="22"/>
                <w:szCs w:val="22"/>
                <w:highlight w:val="none"/>
                <w:lang w:eastAsia="zh-CN"/>
              </w:rPr>
              <w:t>维修面积</w:t>
            </w:r>
            <w:r>
              <w:rPr>
                <w:rFonts w:hint="eastAsia" w:ascii="宋体" w:hAnsi="宋体" w:cs="宋体"/>
                <w:color w:val="auto"/>
                <w:sz w:val="22"/>
                <w:szCs w:val="22"/>
                <w:highlight w:val="none"/>
                <w:lang w:val="en-US" w:eastAsia="zh-CN"/>
              </w:rPr>
              <w:t>1320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25A179C5">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完成</w:t>
            </w:r>
            <w:r>
              <w:rPr>
                <w:rFonts w:hint="eastAsia" w:ascii="宋体" w:hAnsi="宋体" w:cs="宋体"/>
                <w:color w:val="auto"/>
                <w:sz w:val="22"/>
                <w:szCs w:val="22"/>
                <w:highlight w:val="none"/>
                <w:lang w:val="en-US" w:eastAsia="zh-CN"/>
              </w:rPr>
              <w:t>1320</w:t>
            </w:r>
            <w:r>
              <w:rPr>
                <w:rFonts w:hint="default" w:ascii="宋体" w:hAnsi="宋体" w:cs="宋体"/>
                <w:color w:val="auto"/>
                <w:sz w:val="22"/>
                <w:szCs w:val="22"/>
                <w:highlight w:val="none"/>
              </w:rPr>
              <w:t>平方米</w:t>
            </w:r>
            <w:r>
              <w:rPr>
                <w:rFonts w:hint="eastAsia" w:ascii="宋体" w:hAnsi="宋体" w:cs="宋体"/>
                <w:color w:val="auto"/>
                <w:sz w:val="22"/>
                <w:szCs w:val="22"/>
                <w:highlight w:val="none"/>
                <w:lang w:eastAsia="zh-CN"/>
              </w:rPr>
              <w:t>的校舍维修，</w:t>
            </w:r>
            <w:r>
              <w:rPr>
                <w:rFonts w:hint="default" w:ascii="宋体" w:hAnsi="宋体" w:cs="宋体"/>
                <w:color w:val="auto"/>
                <w:sz w:val="22"/>
                <w:szCs w:val="22"/>
                <w:highlight w:val="none"/>
              </w:rPr>
              <w:t>改善</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学校办学条件和基础设施配套，提供</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高质量硬件设施设备，营造</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良好的学习氛围</w:t>
            </w:r>
            <w:r>
              <w:rPr>
                <w:rFonts w:hint="eastAsia" w:ascii="宋体" w:hAnsi="宋体" w:cs="宋体"/>
                <w:color w:val="auto"/>
                <w:sz w:val="22"/>
                <w:szCs w:val="22"/>
                <w:highlight w:val="none"/>
                <w:lang w:eastAsia="zh-CN"/>
              </w:rPr>
              <w:t>。</w:t>
            </w:r>
          </w:p>
        </w:tc>
      </w:tr>
      <w:tr w14:paraId="3AC06BA3">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34A790EF">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6B72EF3F">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14:paraId="7161C457">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CF87">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14:paraId="688204EC">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607C">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14:paraId="21066C0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07A4B">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97FDA">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14:paraId="2B76513C">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6E86DCB7">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A7FAC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14:paraId="0A26B5E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072F7B7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3399">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B982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1320m²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4EBD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1320m²</w:t>
            </w:r>
          </w:p>
        </w:tc>
      </w:tr>
      <w:tr w14:paraId="7BBA5B6C">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6EB9FFE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14:paraId="275C5599">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531AB90A">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6D5AC">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F308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159</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F27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159</w:t>
            </w:r>
          </w:p>
        </w:tc>
      </w:tr>
      <w:tr w14:paraId="4EF7EE95">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14:paraId="1767974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F3A3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225ADE3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7AB40">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w:t>
            </w:r>
            <w:r>
              <w:rPr>
                <w:rFonts w:hint="default" w:ascii="仿宋_GB2312" w:hAnsi="仿宋_GB2312" w:eastAsia="仿宋_GB2312" w:cs="仿宋_GB2312"/>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4AE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C115">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14:paraId="42A14EBF">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4EC75F0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56D6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4177498D">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78BB">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E97D2">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13A5">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14:paraId="79F63AFB">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0BD2FEF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4C7C7">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2E2936AC">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C048">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02A9">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D7E3">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14:paraId="093E1F61">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0EF2268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7E1D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23C42A3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E15C4">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AB32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133EB">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14:paraId="64678E31">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14:paraId="557858C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31F6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4B5C271C">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11A6B">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DB75C">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16157">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7个月</w:t>
            </w:r>
          </w:p>
        </w:tc>
      </w:tr>
      <w:tr w14:paraId="587A7BCC">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14:paraId="2215E27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5A58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3FA0696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F694">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F57E7">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CAD8">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773元</w:t>
            </w:r>
          </w:p>
        </w:tc>
      </w:tr>
      <w:tr w14:paraId="1C666CD4">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1204A7D7">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313802A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14:paraId="74D2A57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3F4EB54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235A2726">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5B8E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33F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11B4C8E9">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6E3BD50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14:paraId="4349097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42E8481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14:paraId="3324FDB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02906C05">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639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7704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54EFB245">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4E7D6B57">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45DEFB2C">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7A14F20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415E738D">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E736">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1399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14:paraId="2FD76797">
        <w:tblPrEx>
          <w:tblCellMar>
            <w:top w:w="0" w:type="dxa"/>
            <w:left w:w="108" w:type="dxa"/>
            <w:bottom w:w="0" w:type="dxa"/>
            <w:right w:w="108" w:type="dxa"/>
          </w:tblCellMar>
        </w:tblPrEx>
        <w:trPr>
          <w:gridAfter w:val="1"/>
          <w:wAfter w:w="236" w:type="dxa"/>
          <w:trHeight w:val="588" w:hRule="atLeast"/>
        </w:trPr>
        <w:tc>
          <w:tcPr>
            <w:tcW w:w="1113" w:type="dxa"/>
            <w:vMerge w:val="continue"/>
            <w:tcBorders>
              <w:left w:val="single" w:color="000000" w:sz="4" w:space="0"/>
              <w:right w:val="single" w:color="000000" w:sz="4" w:space="0"/>
            </w:tcBorders>
            <w:shd w:val="clear" w:color="auto" w:fill="auto"/>
            <w:vAlign w:val="center"/>
          </w:tcPr>
          <w:p w14:paraId="25BCA4B7">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1A12135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14:paraId="7B203CE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6F8E04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14:paraId="0C70BD1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D641">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AA7A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FE1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r w14:paraId="63A6A80D">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63927F5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02A1DB1B">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F0D86BF">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2A20">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04F2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3A54">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14:paraId="2639A89E">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14:paraId="34CBA7BD">
      <w:pPr>
        <w:pStyle w:val="4"/>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14:paraId="08BC33EB">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14:paraId="6592C27F">
      <w:pPr>
        <w:pStyle w:val="4"/>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14:paraId="4FC429CB">
      <w:pPr>
        <w:pStyle w:val="4"/>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14:paraId="265F33AF">
      <w:pPr>
        <w:pStyle w:val="4"/>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14:paraId="708DC615">
      <w:pPr>
        <w:pStyle w:val="4"/>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14:paraId="40FD74DB">
      <w:pPr>
        <w:pStyle w:val="4"/>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14:paraId="106567CD">
      <w:pPr>
        <w:pStyle w:val="4"/>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14:paraId="1DCE3157">
      <w:pPr>
        <w:pStyle w:val="4"/>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14:paraId="15CD2E2E">
      <w:pPr>
        <w:pStyle w:val="4"/>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14:paraId="2685A83F">
      <w:pPr>
        <w:pStyle w:val="4"/>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14:paraId="3FE4A342">
      <w:pPr>
        <w:pStyle w:val="4"/>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14:paraId="22482154">
      <w:pPr>
        <w:pStyle w:val="4"/>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14:paraId="2D195F0D">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8A0FA6-0CA1-451D-BB75-E1C16D8FF9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4F182AB-3146-4D57-B53F-066E80CECB61}"/>
  </w:font>
  <w:font w:name="Cambria">
    <w:panose1 w:val="02040503050406030204"/>
    <w:charset w:val="00"/>
    <w:family w:val="roman"/>
    <w:pitch w:val="default"/>
    <w:sig w:usb0="E00006FF" w:usb1="420024FF" w:usb2="02000000" w:usb3="00000000" w:csb0="2000019F" w:csb1="00000000"/>
    <w:embedRegular r:id="rId3" w:fontKey="{5CD6BA94-9640-4D57-A9A1-79033E3EC97A}"/>
  </w:font>
  <w:font w:name="仿宋_GB2312">
    <w:altName w:val="仿宋"/>
    <w:panose1 w:val="00000000000000000000"/>
    <w:charset w:val="86"/>
    <w:family w:val="modern"/>
    <w:pitch w:val="default"/>
    <w:sig w:usb0="00000000" w:usb1="00000000" w:usb2="00000000" w:usb3="00000000" w:csb0="00040000" w:csb1="00000000"/>
    <w:embedRegular r:id="rId4" w:fontKey="{FD4EFD54-1546-451E-B037-8269D8BD1239}"/>
  </w:font>
  <w:font w:name="仿宋">
    <w:panose1 w:val="02010609060101010101"/>
    <w:charset w:val="86"/>
    <w:family w:val="auto"/>
    <w:pitch w:val="default"/>
    <w:sig w:usb0="800002BF" w:usb1="38CF7CFA" w:usb2="00000016" w:usb3="00000000" w:csb0="00040001" w:csb1="00000000"/>
    <w:embedRegular r:id="rId5" w:fontKey="{3F72D6B0-10A2-4C75-9488-BD4602FC4D43}"/>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6" w:fontKey="{B65879DC-2191-49FE-A69D-879D8A43C2C1}"/>
  </w:font>
  <w:font w:name="方正小标宋_GBK">
    <w:panose1 w:val="02000000000000000000"/>
    <w:charset w:val="86"/>
    <w:family w:val="auto"/>
    <w:pitch w:val="default"/>
    <w:sig w:usb0="A00002BF" w:usb1="38CF7CFA" w:usb2="00082016" w:usb3="00000000" w:csb0="00040001" w:csb1="00000000"/>
    <w:embedRegular r:id="rId7" w:fontKey="{C223F5CA-3115-4D2E-81E9-9B3C59BF9A6A}"/>
  </w:font>
  <w:font w:name="楷体_GB2312">
    <w:panose1 w:val="02010609030101010101"/>
    <w:charset w:val="86"/>
    <w:family w:val="modern"/>
    <w:pitch w:val="default"/>
    <w:sig w:usb0="00000001" w:usb1="080E0000" w:usb2="00000000" w:usb3="00000000" w:csb0="00040000" w:csb1="00000000"/>
    <w:embedRegular r:id="rId8" w:fontKey="{50EA3388-A66E-4CBD-952E-4A7C74A6A3A4}"/>
  </w:font>
  <w:font w:name="华文楷体">
    <w:panose1 w:val="02010600040101010101"/>
    <w:charset w:val="86"/>
    <w:family w:val="auto"/>
    <w:pitch w:val="default"/>
    <w:sig w:usb0="00000287" w:usb1="080F0000" w:usb2="00000000" w:usb3="00000000" w:csb0="0004009F" w:csb1="DFD70000"/>
    <w:embedRegular r:id="rId9" w:fontKey="{56FD9A7C-33F1-490C-93B7-14993BE5AAAD}"/>
  </w:font>
  <w:font w:name="华文仿宋">
    <w:panose1 w:val="02010600040101010101"/>
    <w:charset w:val="86"/>
    <w:family w:val="auto"/>
    <w:pitch w:val="default"/>
    <w:sig w:usb0="00000287" w:usb1="080F0000" w:usb2="00000000" w:usb3="00000000" w:csb0="0004009F" w:csb1="DFD70000"/>
    <w:embedRegular r:id="rId10" w:fontKey="{F8862414-20AC-4AFA-BA38-5640767CD6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2C736848">
        <w:pPr>
          <w:pStyle w:val="11"/>
          <w:jc w:val="center"/>
        </w:pPr>
        <w:r>
          <w:fldChar w:fldCharType="begin"/>
        </w:r>
        <w:r>
          <w:instrText xml:space="preserve">PAGE   \* MERGEFORMAT</w:instrText>
        </w:r>
        <w:r>
          <w:fldChar w:fldCharType="separate"/>
        </w:r>
        <w:r>
          <w:rPr>
            <w:lang w:val="zh-CN"/>
          </w:rPr>
          <w:t>12</w:t>
        </w:r>
        <w:r>
          <w:fldChar w:fldCharType="end"/>
        </w:r>
      </w:p>
    </w:sdtContent>
  </w:sdt>
  <w:p w14:paraId="1AFC6D6B">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83E8C">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E23ED1"/>
    <w:rsid w:val="0A2032A3"/>
    <w:rsid w:val="0B8A37D8"/>
    <w:rsid w:val="0EC71F0D"/>
    <w:rsid w:val="10C055FF"/>
    <w:rsid w:val="112C7A85"/>
    <w:rsid w:val="118107EC"/>
    <w:rsid w:val="11DD6519"/>
    <w:rsid w:val="12910332"/>
    <w:rsid w:val="157E27B0"/>
    <w:rsid w:val="16BB723D"/>
    <w:rsid w:val="177D300F"/>
    <w:rsid w:val="18015F3F"/>
    <w:rsid w:val="18D4165E"/>
    <w:rsid w:val="1BE8440E"/>
    <w:rsid w:val="1D155CEE"/>
    <w:rsid w:val="20F57F95"/>
    <w:rsid w:val="23066A21"/>
    <w:rsid w:val="240371BF"/>
    <w:rsid w:val="24D54B4E"/>
    <w:rsid w:val="25C741E6"/>
    <w:rsid w:val="27842671"/>
    <w:rsid w:val="27EF395C"/>
    <w:rsid w:val="29FD04D3"/>
    <w:rsid w:val="2ABE7A3E"/>
    <w:rsid w:val="2BAE4DE0"/>
    <w:rsid w:val="2C0D4D5A"/>
    <w:rsid w:val="2D023507"/>
    <w:rsid w:val="2EFA178C"/>
    <w:rsid w:val="30B46D73"/>
    <w:rsid w:val="319F7F4E"/>
    <w:rsid w:val="32E05DEF"/>
    <w:rsid w:val="339E1C69"/>
    <w:rsid w:val="353C0D20"/>
    <w:rsid w:val="357B577C"/>
    <w:rsid w:val="388E7300"/>
    <w:rsid w:val="39AE70AB"/>
    <w:rsid w:val="3C0C0783"/>
    <w:rsid w:val="3F795B0E"/>
    <w:rsid w:val="3F9F3A96"/>
    <w:rsid w:val="44B42174"/>
    <w:rsid w:val="493C27E9"/>
    <w:rsid w:val="496F39ED"/>
    <w:rsid w:val="49FF41D3"/>
    <w:rsid w:val="4A185DC8"/>
    <w:rsid w:val="4BD31AA7"/>
    <w:rsid w:val="4BE068DB"/>
    <w:rsid w:val="4BF6002B"/>
    <w:rsid w:val="4ECE2238"/>
    <w:rsid w:val="4FD61684"/>
    <w:rsid w:val="503645ED"/>
    <w:rsid w:val="508F3649"/>
    <w:rsid w:val="51DB4B86"/>
    <w:rsid w:val="52FB5859"/>
    <w:rsid w:val="55333C3E"/>
    <w:rsid w:val="58737E60"/>
    <w:rsid w:val="5C397F93"/>
    <w:rsid w:val="5EEF25B2"/>
    <w:rsid w:val="609C0C07"/>
    <w:rsid w:val="63620143"/>
    <w:rsid w:val="64A80084"/>
    <w:rsid w:val="64CA39A1"/>
    <w:rsid w:val="65B126BB"/>
    <w:rsid w:val="69F03F9E"/>
    <w:rsid w:val="6C4A05C8"/>
    <w:rsid w:val="6C6E6699"/>
    <w:rsid w:val="6EDA0CDC"/>
    <w:rsid w:val="72734D90"/>
    <w:rsid w:val="727D7081"/>
    <w:rsid w:val="72E456B5"/>
    <w:rsid w:val="74E366CA"/>
    <w:rsid w:val="79E7B28D"/>
    <w:rsid w:val="7AC82E51"/>
    <w:rsid w:val="7BFA24EA"/>
    <w:rsid w:val="7CAB154F"/>
    <w:rsid w:val="7F9F20EE"/>
    <w:rsid w:val="7FD8700A"/>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852.2</c:v>
                </c:pt>
                <c:pt idx="1">
                  <c:v>763.22</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852.2</c:v>
                </c:pt>
                <c:pt idx="1">
                  <c:v>763.22</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f5b5f07c-25f5-43a6-b16e-12535f9f008b}"/>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0.998</c:v>
                </c:pt>
                <c:pt idx="1">
                  <c:v>0.002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54b8d1f-ae57-4ec5-9cb0-9e83c8c8cb3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86.44</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13.56</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659.72</c:v>
                </c:pt>
                <c:pt idx="1">
                  <c:v>103.5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afac2a4a-566b-4703-af28-63b6540c0b9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852.2</c:v>
                </c:pt>
                <c:pt idx="1">
                  <c:v>763.22</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852.2</c:v>
                </c:pt>
                <c:pt idx="1">
                  <c:v>763.22</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af1f0879-7740-40b4-af23-86af985906ac}"/>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849.2</c:v>
                </c:pt>
                <c:pt idx="1">
                  <c:v>761.72</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39b2a20-b2ef-4d56-98b1-aad2ed7b6583}"/>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6c4a2a4-2d0b-4939-8d43-f51b7295c55e}"/>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5f89db79-fabb-4845-ad00-cc5de1d60510}"/>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19</Pages>
  <Words>6329</Words>
  <Characters>6785</Characters>
  <Lines>47</Lines>
  <Paragraphs>13</Paragraphs>
  <TotalTime>2</TotalTime>
  <ScaleCrop>false</ScaleCrop>
  <LinksUpToDate>false</LinksUpToDate>
  <CharactersWithSpaces>6849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2025-01-08T09:28:06Z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90E9467CCEFE4D188C1A3EBDCF3991AB</vt:lpwstr>
  </property>
  <property fmtid="{D5CDD505-2E9C-101B-9397-08002B2CF9AE}" pid="4" name="KSOTemplateDocerSaveRecord">
    <vt:lpwstr>eyJoZGlkIjoiMGVhYTg4NGNkZWJkODFjNzcyZDRjM2M4Y2UzNjI5ZmUiLCJ1c2VySWQiOiI2MTE2MzEwMDYifQ==</vt:lpwstr>
  </property>
</Properties>
</file>