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8441"/>
      <w:bookmarkStart w:id="2" w:name="_Toc15396475"/>
      <w:bookmarkStart w:id="3" w:name="_Toc15377193"/>
      <w:bookmarkStart w:id="4" w:name="_Toc15377425"/>
      <w:bookmarkStart w:id="5" w:name="_Toc15396597"/>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96598"/>
      <w:bookmarkStart w:id="7" w:name="_Toc15377426"/>
      <w:bookmarkStart w:id="8" w:name="_Toc15396476"/>
      <w:bookmarkStart w:id="9" w:name="_Toc15377194"/>
      <w:bookmarkStart w:id="10" w:name="_Toc15378442"/>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lang w:eastAsia="zh-CN"/>
        </w:rPr>
        <w:t>昭化镇朝阳小学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sectPr>
          <w:footerReference r:id="rId4" w:type="first"/>
          <w:headerReference r:id="rId3" w:type="default"/>
          <w:pgSz w:w="11906" w:h="16838"/>
          <w:pgMar w:top="1440" w:right="1800" w:bottom="1440" w:left="1800" w:header="851" w:footer="992" w:gutter="0"/>
          <w:pgNumType w:fmt="numberInDash" w:start="1"/>
          <w:cols w:space="425" w:num="1"/>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pStyle w:val="14"/>
        <w:jc w:val="both"/>
        <w:rPr>
          <w:color w:val="auto"/>
          <w:highlight w:val="none"/>
        </w:rPr>
      </w:pPr>
    </w:p>
    <w:p>
      <w:pPr>
        <w:rPr>
          <w:color w:val="auto"/>
          <w:highlight w:val="none"/>
        </w:rPr>
      </w:pP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5"/>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5"/>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4"/>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5"/>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17</w:t>
      </w:r>
    </w:p>
    <w:p>
      <w:pPr>
        <w:pStyle w:val="15"/>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17</w:t>
      </w:r>
    </w:p>
    <w:p>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18</w:t>
      </w:r>
    </w:p>
    <w:p>
      <w:pPr>
        <w:pStyle w:val="15"/>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18</w:t>
      </w:r>
    </w:p>
    <w:p>
      <w:pPr>
        <w:pStyle w:val="14"/>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19</w:t>
      </w:r>
    </w:p>
    <w:p>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21</w:t>
      </w:r>
    </w:p>
    <w:p>
      <w:pPr>
        <w:pStyle w:val="14"/>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22</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2</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default"/>
          <w:color w:val="auto"/>
          <w:sz w:val="24"/>
          <w:highlight w:val="none"/>
          <w:lang w:val="en-US"/>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22</w:t>
      </w:r>
    </w:p>
    <w:p>
      <w:pPr>
        <w:pStyle w:val="15"/>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22</w:t>
      </w:r>
      <w:r>
        <w:rPr>
          <w:rFonts w:ascii="仿宋" w:hAnsi="仿宋" w:eastAsia="仿宋"/>
          <w:b/>
          <w:color w:val="auto"/>
          <w:sz w:val="24"/>
          <w:highlight w:val="none"/>
        </w:rPr>
        <w:br w:type="page"/>
      </w:r>
    </w:p>
    <w:p>
      <w:pPr>
        <w:pStyle w:val="3"/>
        <w:jc w:val="center"/>
        <w:rPr>
          <w:rStyle w:val="30"/>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30"/>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1"/>
          <w:rFonts w:ascii="黑体" w:hAnsi="黑体" w:eastAsia="黑体"/>
          <w:b w:val="0"/>
          <w:bCs w:val="0"/>
          <w:color w:val="auto"/>
          <w:highlight w:val="none"/>
        </w:rPr>
      </w:pPr>
      <w:bookmarkStart w:id="14" w:name="_Toc15396600"/>
      <w:bookmarkStart w:id="15" w:name="_Toc15377197"/>
      <w:r>
        <w:rPr>
          <w:rStyle w:val="31"/>
          <w:rFonts w:hint="eastAsia" w:ascii="黑体" w:hAnsi="黑体" w:eastAsia="黑体"/>
          <w:b w:val="0"/>
          <w:bCs w:val="0"/>
          <w:color w:val="auto"/>
          <w:highlight w:val="none"/>
        </w:rPr>
        <w:t>职能简介</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6.负责学籍管理并对学生实施奖励或处分。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7.负责依法制定本校教师及其他职工聘任办法并对教师及其他员工实施包括奖励、处分在内的具体管理活动。</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8.负责科学管理、合理使用学校的设施和经费，并积极筹措资金，改善办学条件。</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6"/>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华文楷体" w:hAnsi="华文楷体" w:eastAsia="华文楷体" w:cs="华文楷体"/>
          <w:b w:val="0"/>
          <w:bCs w:val="0"/>
          <w:color w:val="auto"/>
          <w:sz w:val="32"/>
          <w:szCs w:val="32"/>
          <w:highlight w:val="none"/>
          <w:lang w:eastAsia="zh-CN"/>
        </w:rPr>
      </w:pPr>
      <w:bookmarkStart w:id="16" w:name="_Toc15377204"/>
      <w:bookmarkStart w:id="17" w:name="_Toc15396602"/>
      <w:r>
        <w:rPr>
          <w:rFonts w:hint="eastAsia" w:ascii="华文楷体" w:hAnsi="华文楷体" w:eastAsia="华文楷体" w:cs="华文楷体"/>
          <w:b w:val="0"/>
          <w:bCs w:val="0"/>
          <w:color w:val="auto"/>
          <w:sz w:val="32"/>
          <w:szCs w:val="32"/>
          <w:highlight w:val="none"/>
          <w:lang w:eastAsia="zh-CN"/>
        </w:rPr>
        <w:t>工作重点：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一是大力推进学校党支部标准化规范化建设，充分发挥党建引领作用。学校始终坚持把强化党组织领导下的校长负责制作为学校各项工作实施的重要抓手，将学校党支部标准化、规范化建设作为学校的首要工作，一年来学校支部、支部书记良好履行了主体责任；选优、配强、管住、用好了支部班子，在党员教育管理、制度落实上不打折扣；抓学习、抓业务、抓履职、抓作风、抓业绩；对</w:t>
      </w:r>
      <w:r>
        <w:rPr>
          <w:rFonts w:hint="eastAsia" w:ascii="仿宋" w:hAnsi="仿宋" w:eastAsia="仿宋" w:cs="仿宋"/>
          <w:b w:val="0"/>
          <w:bCs w:val="0"/>
          <w:color w:val="auto"/>
          <w:sz w:val="32"/>
          <w:szCs w:val="32"/>
          <w:highlight w:val="none"/>
        </w:rPr>
        <w:t>工会、少队</w:t>
      </w:r>
      <w:r>
        <w:rPr>
          <w:rFonts w:hint="eastAsia" w:ascii="仿宋" w:hAnsi="仿宋" w:eastAsia="仿宋" w:cs="仿宋"/>
          <w:b w:val="0"/>
          <w:bCs w:val="0"/>
          <w:color w:val="auto"/>
          <w:sz w:val="32"/>
          <w:szCs w:val="32"/>
          <w:highlight w:val="none"/>
          <w:lang w:eastAsia="zh-CN"/>
        </w:rPr>
        <w:t>工作</w:t>
      </w:r>
      <w:r>
        <w:rPr>
          <w:rFonts w:hint="eastAsia" w:ascii="仿宋" w:hAnsi="仿宋" w:eastAsia="仿宋" w:cs="仿宋"/>
          <w:b w:val="0"/>
          <w:bCs w:val="0"/>
          <w:color w:val="auto"/>
          <w:sz w:val="32"/>
          <w:szCs w:val="32"/>
          <w:highlight w:val="none"/>
        </w:rPr>
        <w:t>的指导</w:t>
      </w:r>
      <w:r>
        <w:rPr>
          <w:rFonts w:hint="eastAsia" w:ascii="仿宋" w:hAnsi="仿宋" w:eastAsia="仿宋" w:cs="仿宋"/>
          <w:b w:val="0"/>
          <w:bCs w:val="0"/>
          <w:color w:val="auto"/>
          <w:sz w:val="32"/>
          <w:szCs w:val="32"/>
          <w:highlight w:val="none"/>
          <w:lang w:eastAsia="zh-CN"/>
        </w:rPr>
        <w:t>科学有效，教师队伍凝聚力强、工作积极性高，学生精神面貌良好、行为习惯规范。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sz w:val="32"/>
          <w:szCs w:val="32"/>
          <w:highlight w:val="none"/>
          <w:lang w:eastAsia="zh-CN"/>
        </w:rPr>
        <w:t>二是</w:t>
      </w:r>
      <w:r>
        <w:rPr>
          <w:rFonts w:hint="eastAsia" w:ascii="仿宋" w:hAnsi="仿宋" w:eastAsia="仿宋" w:cs="仿宋"/>
          <w:b w:val="0"/>
          <w:bCs w:val="0"/>
          <w:color w:val="auto"/>
          <w:sz w:val="32"/>
          <w:szCs w:val="32"/>
          <w:highlight w:val="none"/>
          <w:lang w:val="en-US" w:eastAsia="zh-CN"/>
        </w:rPr>
        <w:t>高效融合依法治校和法律进校园工作，规范学校办学行为。</w:t>
      </w:r>
      <w:r>
        <w:rPr>
          <w:rFonts w:hint="eastAsia" w:ascii="仿宋" w:hAnsi="仿宋" w:eastAsia="仿宋" w:cs="仿宋"/>
          <w:b w:val="0"/>
          <w:bCs w:val="0"/>
          <w:color w:val="auto"/>
          <w:kern w:val="2"/>
          <w:sz w:val="32"/>
          <w:szCs w:val="32"/>
          <w:highlight w:val="none"/>
          <w:lang w:val="en-US" w:eastAsia="zh-CN" w:bidi="ar-SA"/>
        </w:rPr>
        <w:t>学校以法治宣传教育作为全面依法治校的长期基础性工作，在学生中开展日常法治教育加“12·4”（宪法宣传日）重大纪念日教育主题宣传教育，</w:t>
      </w:r>
      <w:r>
        <w:rPr>
          <w:rFonts w:hint="eastAsia" w:ascii="仿宋" w:hAnsi="仿宋" w:eastAsia="仿宋" w:cs="仿宋"/>
          <w:b w:val="0"/>
          <w:bCs w:val="0"/>
          <w:color w:val="auto"/>
          <w:sz w:val="32"/>
          <w:szCs w:val="32"/>
          <w:highlight w:val="none"/>
          <w:lang w:val="en-US" w:eastAsia="zh-CN"/>
        </w:rPr>
        <w:t>组织开展“网上学宪法”和“学宪法讲宪法竞赛”活动</w:t>
      </w:r>
      <w:r>
        <w:rPr>
          <w:rFonts w:hint="eastAsia" w:ascii="仿宋" w:hAnsi="仿宋" w:eastAsia="仿宋" w:cs="仿宋"/>
          <w:b w:val="0"/>
          <w:bCs w:val="0"/>
          <w:color w:val="auto"/>
          <w:kern w:val="2"/>
          <w:sz w:val="32"/>
          <w:szCs w:val="32"/>
          <w:highlight w:val="none"/>
          <w:lang w:val="en-US" w:eastAsia="zh-CN" w:bidi="ar-SA"/>
        </w:rPr>
        <w:t>；在教师中以纪侓作风整顿暨付健案“以案促改”工作为契机，开展“以案说法”法治宣传教育，充分运用发生在身边的典型案例进行法治解读，</w:t>
      </w:r>
      <w:r>
        <w:rPr>
          <w:rFonts w:hint="eastAsia" w:ascii="仿宋" w:hAnsi="仿宋" w:eastAsia="仿宋" w:cs="仿宋"/>
          <w:b w:val="0"/>
          <w:bCs w:val="0"/>
          <w:color w:val="auto"/>
          <w:sz w:val="32"/>
          <w:szCs w:val="32"/>
          <w:highlight w:val="none"/>
          <w:lang w:val="en-US" w:eastAsia="zh-CN"/>
        </w:rPr>
        <w:t>常态化</w:t>
      </w:r>
      <w:r>
        <w:rPr>
          <w:rFonts w:hint="eastAsia" w:ascii="仿宋" w:hAnsi="仿宋" w:eastAsia="仿宋" w:cs="仿宋"/>
          <w:b w:val="0"/>
          <w:bCs w:val="0"/>
          <w:color w:val="auto"/>
          <w:kern w:val="2"/>
          <w:sz w:val="32"/>
          <w:szCs w:val="32"/>
          <w:highlight w:val="none"/>
          <w:lang w:val="en-US" w:eastAsia="zh-CN" w:bidi="ar-SA"/>
        </w:rPr>
        <w:t>学习新修订《教育法》《一号检察建议》《强制报告制度》《义务教育法》等内容（全年近20次），建立依法治教工作制度，建立健全依法治教考核制度，着力提高全体教师的法治意识和法律素养。</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sz w:val="32"/>
          <w:szCs w:val="32"/>
          <w:highlight w:val="none"/>
          <w:lang w:val="en-US" w:eastAsia="zh-CN"/>
        </w:rPr>
        <w:t>三是高度注重队伍建设与人才培养，为教育教学质量攀升提供师资保障。</w:t>
      </w:r>
      <w:r>
        <w:rPr>
          <w:rFonts w:hint="eastAsia" w:ascii="仿宋" w:hAnsi="仿宋" w:eastAsia="仿宋" w:cs="仿宋"/>
          <w:b w:val="0"/>
          <w:bCs w:val="0"/>
          <w:color w:val="auto"/>
          <w:kern w:val="2"/>
          <w:sz w:val="32"/>
          <w:szCs w:val="32"/>
          <w:highlight w:val="none"/>
          <w:lang w:val="en-US" w:eastAsia="zh-CN" w:bidi="ar-SA"/>
        </w:rPr>
        <w:t>学校坚持集中领导、民主决策，党政同责、一岗双责，分工明确、团结协作，干群关系融洽，团队发展和谐。在教师常规管理、评职晋级、绩效考核等管理制度方面，学校每年修订一次并严格执行；每期一次的师德师风宣誓承诺活动，每周一次的学习例会，是班子成员、全体教师开展思想政治教育、业务知识学习的集中时段；厚德精业在日常教育教学中得以锤炼，经受住了监督检验，近几年全体教师整体思想水平和业务水平得到明显提升，无师德师风失范事件发生。学校积极组织全体教师参加各级各类学习培训，高度重视青年教师培养，常态化开展“传、帮、带、联、培”工作，从成长规划、学习交流、业务笔记、备课上课、磨课评课、教育教学经验文章撰写、教学研究等各方面，强效能、促发展。本年度共有13位教师的13篇文章在国家级刊物上公开发表，并分别获得一、二等奖；学校区级课题《农村小学课堂有效练习设计实践研究》也是十月顺利结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val="en-US" w:eastAsia="zh-CN"/>
        </w:rPr>
        <w:t>四是夯实教育教学常规管理，促进学生五育并举、全面发展。</w:t>
      </w:r>
      <w:r>
        <w:rPr>
          <w:rFonts w:hint="eastAsia" w:ascii="仿宋" w:hAnsi="仿宋" w:eastAsia="仿宋" w:cs="仿宋"/>
          <w:b w:val="0"/>
          <w:bCs w:val="0"/>
          <w:color w:val="auto"/>
          <w:kern w:val="2"/>
          <w:sz w:val="32"/>
          <w:szCs w:val="32"/>
          <w:highlight w:val="none"/>
          <w:lang w:val="en-US" w:eastAsia="zh-CN" w:bidi="ar-SA"/>
        </w:rPr>
        <w:t>学校</w:t>
      </w:r>
      <w:r>
        <w:rPr>
          <w:rFonts w:hint="eastAsia" w:ascii="仿宋" w:hAnsi="仿宋" w:eastAsia="仿宋" w:cs="仿宋"/>
          <w:b w:val="0"/>
          <w:bCs w:val="0"/>
          <w:color w:val="auto"/>
          <w:sz w:val="32"/>
          <w:szCs w:val="32"/>
          <w:highlight w:val="none"/>
        </w:rPr>
        <w:t>坚持德育首位、五育并举，</w:t>
      </w:r>
      <w:r>
        <w:rPr>
          <w:rFonts w:hint="eastAsia" w:ascii="仿宋" w:hAnsi="仿宋" w:eastAsia="仿宋" w:cs="仿宋"/>
          <w:b w:val="0"/>
          <w:bCs w:val="0"/>
          <w:color w:val="auto"/>
          <w:sz w:val="32"/>
          <w:szCs w:val="32"/>
          <w:highlight w:val="none"/>
          <w:lang w:eastAsia="zh-CN"/>
        </w:rPr>
        <w:t>认真开展落实“扣好人生第一粒扣子”系列活动，充分利用集会集合、班会队会强化防邪反毒、扫黑除恶、校园欺凌教育；扎实开展心理健康教育活动，除心理健康教育上课表并严格落实外，本年度内共开展“阳光心育课堂”专题教育</w:t>
      </w:r>
      <w:r>
        <w:rPr>
          <w:rFonts w:hint="eastAsia" w:ascii="仿宋" w:hAnsi="仿宋" w:eastAsia="仿宋" w:cs="仿宋"/>
          <w:b w:val="0"/>
          <w:bCs w:val="0"/>
          <w:color w:val="auto"/>
          <w:sz w:val="32"/>
          <w:szCs w:val="32"/>
          <w:highlight w:val="none"/>
          <w:lang w:val="en-US" w:eastAsia="zh-CN"/>
        </w:rPr>
        <w:t>20次。</w:t>
      </w:r>
      <w:r>
        <w:rPr>
          <w:rFonts w:hint="eastAsia" w:ascii="仿宋" w:hAnsi="仿宋" w:eastAsia="仿宋" w:cs="仿宋"/>
          <w:b w:val="0"/>
          <w:bCs w:val="0"/>
          <w:color w:val="auto"/>
          <w:sz w:val="32"/>
          <w:szCs w:val="32"/>
          <w:highlight w:val="none"/>
          <w:lang w:eastAsia="zh-CN"/>
        </w:rPr>
        <w:t>一年来</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特别是</w:t>
      </w:r>
      <w:r>
        <w:rPr>
          <w:rFonts w:hint="eastAsia" w:ascii="仿宋" w:hAnsi="仿宋" w:eastAsia="仿宋" w:cs="仿宋"/>
          <w:b w:val="0"/>
          <w:bCs w:val="0"/>
          <w:color w:val="auto"/>
          <w:sz w:val="32"/>
          <w:szCs w:val="32"/>
          <w:highlight w:val="none"/>
          <w:lang w:val="en-US" w:eastAsia="zh-CN"/>
        </w:rPr>
        <w:t>在中国共产党成立100周年之际，</w:t>
      </w:r>
      <w:r>
        <w:rPr>
          <w:rFonts w:hint="eastAsia" w:ascii="仿宋" w:hAnsi="仿宋" w:eastAsia="仿宋" w:cs="仿宋"/>
          <w:b w:val="0"/>
          <w:bCs w:val="0"/>
          <w:color w:val="auto"/>
          <w:sz w:val="32"/>
          <w:szCs w:val="32"/>
          <w:highlight w:val="none"/>
        </w:rPr>
        <w:t>线上线下相结合，以主题班会队课、专题讲座、趣味游艺、歌舞汇演、实践操作、演讲诵读、征文绘画、</w:t>
      </w:r>
      <w:r>
        <w:rPr>
          <w:rFonts w:hint="eastAsia" w:ascii="仿宋" w:hAnsi="仿宋" w:eastAsia="仿宋" w:cs="仿宋"/>
          <w:b w:val="0"/>
          <w:bCs w:val="0"/>
          <w:color w:val="auto"/>
          <w:sz w:val="32"/>
          <w:szCs w:val="32"/>
          <w:highlight w:val="none"/>
          <w:lang w:eastAsia="zh-CN"/>
        </w:rPr>
        <w:t>研学实践、劳动种植</w:t>
      </w:r>
      <w:r>
        <w:rPr>
          <w:rFonts w:hint="eastAsia" w:ascii="仿宋" w:hAnsi="仿宋" w:eastAsia="仿宋" w:cs="仿宋"/>
          <w:b w:val="0"/>
          <w:bCs w:val="0"/>
          <w:color w:val="auto"/>
          <w:sz w:val="32"/>
          <w:szCs w:val="32"/>
          <w:highlight w:val="none"/>
        </w:rPr>
        <w:t>等形式开展学生</w:t>
      </w:r>
      <w:r>
        <w:rPr>
          <w:rFonts w:hint="eastAsia" w:ascii="仿宋" w:hAnsi="仿宋" w:eastAsia="仿宋" w:cs="仿宋"/>
          <w:b w:val="0"/>
          <w:bCs w:val="0"/>
          <w:color w:val="auto"/>
          <w:sz w:val="32"/>
          <w:szCs w:val="32"/>
          <w:highlight w:val="none"/>
          <w:lang w:eastAsia="zh-CN"/>
        </w:rPr>
        <w:t>德育系列</w:t>
      </w:r>
      <w:r>
        <w:rPr>
          <w:rFonts w:hint="eastAsia" w:ascii="仿宋" w:hAnsi="仿宋" w:eastAsia="仿宋" w:cs="仿宋"/>
          <w:b w:val="0"/>
          <w:bCs w:val="0"/>
          <w:color w:val="auto"/>
          <w:sz w:val="32"/>
          <w:szCs w:val="32"/>
          <w:highlight w:val="none"/>
        </w:rPr>
        <w:t>活动60余</w:t>
      </w:r>
      <w:r>
        <w:rPr>
          <w:rFonts w:hint="eastAsia" w:ascii="仿宋" w:hAnsi="仿宋" w:eastAsia="仿宋" w:cs="仿宋"/>
          <w:b w:val="0"/>
          <w:bCs w:val="0"/>
          <w:color w:val="auto"/>
          <w:sz w:val="32"/>
          <w:szCs w:val="32"/>
          <w:highlight w:val="none"/>
          <w:lang w:eastAsia="zh-CN"/>
        </w:rPr>
        <w:t>次</w:t>
      </w:r>
      <w:r>
        <w:rPr>
          <w:rFonts w:hint="eastAsia" w:ascii="仿宋" w:hAnsi="仿宋" w:eastAsia="仿宋" w:cs="仿宋"/>
          <w:b w:val="0"/>
          <w:bCs w:val="0"/>
          <w:color w:val="auto"/>
          <w:sz w:val="32"/>
          <w:szCs w:val="32"/>
          <w:highlight w:val="none"/>
        </w:rPr>
        <w:t>，召开集体家长会</w:t>
      </w:r>
      <w:r>
        <w:rPr>
          <w:rFonts w:hint="eastAsia" w:ascii="仿宋" w:hAnsi="仿宋" w:eastAsia="仿宋" w:cs="仿宋"/>
          <w:b w:val="0"/>
          <w:bCs w:val="0"/>
          <w:color w:val="auto"/>
          <w:sz w:val="32"/>
          <w:szCs w:val="32"/>
          <w:highlight w:val="none"/>
          <w:lang w:val="en-US" w:eastAsia="zh-CN"/>
        </w:rPr>
        <w:t>2</w:t>
      </w:r>
      <w:r>
        <w:rPr>
          <w:rFonts w:hint="eastAsia" w:ascii="仿宋" w:hAnsi="仿宋" w:eastAsia="仿宋" w:cs="仿宋"/>
          <w:b w:val="0"/>
          <w:bCs w:val="0"/>
          <w:color w:val="auto"/>
          <w:sz w:val="32"/>
          <w:szCs w:val="32"/>
          <w:highlight w:val="none"/>
        </w:rPr>
        <w:t>次、分班线上家长会5次，集中开展“千名教师访万家”活动</w:t>
      </w:r>
      <w:r>
        <w:rPr>
          <w:rFonts w:hint="eastAsia" w:ascii="仿宋" w:hAnsi="仿宋" w:eastAsia="仿宋" w:cs="仿宋"/>
          <w:b w:val="0"/>
          <w:bCs w:val="0"/>
          <w:color w:val="auto"/>
          <w:sz w:val="32"/>
          <w:szCs w:val="32"/>
          <w:highlight w:val="none"/>
          <w:lang w:val="en-US" w:eastAsia="zh-CN"/>
        </w:rPr>
        <w:t>6</w:t>
      </w:r>
      <w:r>
        <w:rPr>
          <w:rFonts w:hint="eastAsia" w:ascii="仿宋" w:hAnsi="仿宋" w:eastAsia="仿宋" w:cs="仿宋"/>
          <w:b w:val="0"/>
          <w:bCs w:val="0"/>
          <w:color w:val="auto"/>
          <w:sz w:val="32"/>
          <w:szCs w:val="32"/>
          <w:highlight w:val="none"/>
        </w:rPr>
        <w:t>次，开展留守儿童结对帮扶与非贫困户政策宣讲近10次。</w:t>
      </w:r>
      <w:r>
        <w:rPr>
          <w:rFonts w:hint="eastAsia" w:ascii="仿宋" w:hAnsi="仿宋" w:eastAsia="仿宋" w:cs="仿宋"/>
          <w:b w:val="0"/>
          <w:bCs w:val="0"/>
          <w:color w:val="auto"/>
          <w:sz w:val="32"/>
          <w:szCs w:val="32"/>
          <w:highlight w:val="none"/>
          <w:lang w:eastAsia="zh-CN"/>
        </w:rPr>
        <w:t>自“五项管理”“双减”实施以来，朝阳小学积极落实“双减”政策，深化推进</w:t>
      </w:r>
      <w:r>
        <w:rPr>
          <w:rFonts w:hint="eastAsia" w:ascii="仿宋" w:hAnsi="仿宋" w:eastAsia="仿宋" w:cs="仿宋"/>
          <w:b w:val="0"/>
          <w:bCs w:val="0"/>
          <w:color w:val="auto"/>
          <w:sz w:val="32"/>
          <w:szCs w:val="32"/>
          <w:highlight w:val="none"/>
        </w:rPr>
        <w:t>作业、睡眠、手机、读物、体质</w:t>
      </w:r>
      <w:r>
        <w:rPr>
          <w:rFonts w:hint="eastAsia" w:ascii="仿宋" w:hAnsi="仿宋" w:eastAsia="仿宋" w:cs="仿宋"/>
          <w:b w:val="0"/>
          <w:bCs w:val="0"/>
          <w:color w:val="auto"/>
          <w:sz w:val="32"/>
          <w:szCs w:val="32"/>
          <w:highlight w:val="none"/>
          <w:lang w:eastAsia="zh-CN"/>
        </w:rPr>
        <w:t>健康、课后服务全过程、全方位、全覆盖实施，结合学生学段、兴趣爱好，制定了相应实施方案，抓实了过程管理，同时还将劳动教育、心理健康教育融入其中，促进学生素质全面发展，确保学校课堂教育教学质量，</w:t>
      </w:r>
      <w:r>
        <w:rPr>
          <w:rFonts w:hint="eastAsia" w:ascii="仿宋" w:hAnsi="仿宋" w:eastAsia="仿宋" w:cs="仿宋"/>
          <w:b w:val="0"/>
          <w:bCs w:val="0"/>
          <w:color w:val="auto"/>
          <w:sz w:val="32"/>
          <w:szCs w:val="32"/>
          <w:highlight w:val="none"/>
          <w:lang w:val="en-US" w:eastAsia="zh-CN"/>
        </w:rPr>
        <w:t>2021年春季质量检位列全区第十，二类小学第7位。</w:t>
      </w:r>
      <w:r>
        <w:rPr>
          <w:rFonts w:hint="eastAsia" w:ascii="仿宋" w:hAnsi="仿宋" w:eastAsia="仿宋" w:cs="仿宋"/>
          <w:b w:val="0"/>
          <w:bCs w:val="0"/>
          <w:color w:val="auto"/>
          <w:sz w:val="32"/>
          <w:szCs w:val="32"/>
          <w:highlight w:val="none"/>
          <w:lang w:eastAsia="zh-CN"/>
        </w:rPr>
        <w:t>除了学校内的运动会、艺术节外，学生在体育、艺术、科技上获得区级</w:t>
      </w:r>
      <w:r>
        <w:rPr>
          <w:rFonts w:hint="eastAsia" w:ascii="仿宋" w:hAnsi="仿宋" w:eastAsia="仿宋" w:cs="仿宋"/>
          <w:b w:val="0"/>
          <w:bCs w:val="0"/>
          <w:color w:val="auto"/>
          <w:sz w:val="32"/>
          <w:szCs w:val="32"/>
          <w:highlight w:val="none"/>
          <w:lang w:val="en-US" w:eastAsia="zh-CN"/>
        </w:rPr>
        <w:t>6项集体奖项，师生个人获奖区级及以上73人次。</w:t>
      </w:r>
      <w:r>
        <w:rPr>
          <w:rFonts w:hint="eastAsia" w:ascii="仿宋" w:hAnsi="仿宋" w:eastAsia="仿宋" w:cs="仿宋"/>
          <w:b w:val="0"/>
          <w:bCs w:val="0"/>
          <w:color w:val="auto"/>
          <w:sz w:val="32"/>
          <w:szCs w:val="32"/>
          <w:highlight w:val="none"/>
          <w:lang w:eastAsia="zh-CN"/>
        </w:rPr>
        <w:t>“五项管理”“双减”有效发挥了校内减负增效的作用，初显教育成效。</w:t>
      </w:r>
      <w:r>
        <w:rPr>
          <w:rFonts w:hint="eastAsia" w:ascii="仿宋" w:hAnsi="仿宋" w:eastAsia="仿宋" w:cs="仿宋"/>
          <w:b w:val="0"/>
          <w:bCs w:val="0"/>
          <w:color w:val="auto"/>
          <w:sz w:val="32"/>
          <w:szCs w:val="32"/>
          <w:highlight w:val="none"/>
        </w:rPr>
        <w:t>学年内，家校协作顺畅，校园整洁有序，未出现违纪违规现象。</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kern w:val="2"/>
          <w:sz w:val="32"/>
          <w:szCs w:val="32"/>
          <w:highlight w:val="none"/>
          <w:lang w:val="en-US" w:eastAsia="zh-CN" w:bidi="ar-SA"/>
        </w:rPr>
        <w:t>五是强力抓好安全管理和后勤保障，为提高办学质量打造发展软环境。</w:t>
      </w:r>
      <w:r>
        <w:rPr>
          <w:rFonts w:hint="eastAsia" w:ascii="仿宋" w:hAnsi="仿宋" w:eastAsia="仿宋" w:cs="仿宋"/>
          <w:b w:val="0"/>
          <w:bCs w:val="0"/>
          <w:color w:val="auto"/>
          <w:sz w:val="32"/>
          <w:szCs w:val="32"/>
          <w:highlight w:val="none"/>
          <w:lang w:eastAsia="zh-CN"/>
        </w:rPr>
        <w:t>一方面</w:t>
      </w:r>
      <w:r>
        <w:rPr>
          <w:rFonts w:hint="eastAsia" w:ascii="仿宋" w:hAnsi="仿宋" w:eastAsia="仿宋" w:cs="仿宋"/>
          <w:b w:val="0"/>
          <w:bCs w:val="0"/>
          <w:color w:val="auto"/>
          <w:sz w:val="32"/>
          <w:szCs w:val="32"/>
          <w:highlight w:val="none"/>
          <w:lang w:val="en-US"/>
        </w:rPr>
        <w:t>坚持安全第一，逗硬执行“一岗双责”，强抓双预警机制建设。严格落实安全管理清单制，全面落实校园网格化管理，有效落实管控安全风险。及时发现、整改安全隐患</w:t>
      </w:r>
      <w:r>
        <w:rPr>
          <w:rFonts w:hint="eastAsia" w:ascii="仿宋" w:hAnsi="仿宋" w:eastAsia="仿宋" w:cs="仿宋"/>
          <w:b w:val="0"/>
          <w:bCs w:val="0"/>
          <w:color w:val="auto"/>
          <w:sz w:val="32"/>
          <w:szCs w:val="32"/>
          <w:highlight w:val="none"/>
          <w:lang w:val="en-US" w:eastAsia="zh-CN"/>
        </w:rPr>
        <w:t>，</w:t>
      </w:r>
      <w:r>
        <w:rPr>
          <w:rFonts w:hint="eastAsia" w:ascii="仿宋" w:hAnsi="仿宋" w:eastAsia="仿宋" w:cs="仿宋"/>
          <w:b w:val="0"/>
          <w:bCs w:val="0"/>
          <w:color w:val="auto"/>
          <w:sz w:val="32"/>
          <w:szCs w:val="32"/>
          <w:highlight w:val="none"/>
          <w:lang w:val="en-US"/>
        </w:rPr>
        <w:t>本年度指导开展各种形式的安全主题教育活动10余次，提高了师生的安全意识和自救互救能力。特别是新冠疫情发生以来，学校严格按照上级要求和学校实际制定“两案九制”和各类安全预案，逗硬落实新冠肺炎及相关流行病防控要求，抓实做细应急演练和日常值班值守，严格按要求开展“错时错峰上下学、就餐活动、课间活动”，全体教师都能讲政治、讲纪律，思想上高度重视、行动上快速落实，让组织保障、制度保障、技术保障、物资保障，成为师生的生命保障。</w:t>
      </w:r>
      <w:r>
        <w:rPr>
          <w:rFonts w:hint="eastAsia" w:ascii="仿宋" w:hAnsi="仿宋" w:eastAsia="仿宋" w:cs="仿宋"/>
          <w:b w:val="0"/>
          <w:bCs w:val="0"/>
          <w:color w:val="auto"/>
          <w:sz w:val="32"/>
          <w:szCs w:val="32"/>
          <w:highlight w:val="none"/>
          <w:lang w:val="en-US" w:eastAsia="zh-CN"/>
        </w:rPr>
        <w:t>学校</w:t>
      </w:r>
      <w:r>
        <w:rPr>
          <w:rFonts w:hint="eastAsia" w:ascii="仿宋" w:hAnsi="仿宋" w:eastAsia="仿宋" w:cs="仿宋"/>
          <w:b w:val="0"/>
          <w:bCs w:val="0"/>
          <w:color w:val="auto"/>
          <w:sz w:val="32"/>
          <w:szCs w:val="32"/>
          <w:highlight w:val="none"/>
          <w:lang w:val="en-US"/>
        </w:rPr>
        <w:t>全年内无一例安全事故发生。</w:t>
      </w:r>
      <w:r>
        <w:rPr>
          <w:rFonts w:hint="eastAsia" w:ascii="仿宋" w:hAnsi="仿宋" w:eastAsia="仿宋" w:cs="仿宋"/>
          <w:b w:val="0"/>
          <w:bCs w:val="0"/>
          <w:color w:val="auto"/>
          <w:sz w:val="32"/>
          <w:szCs w:val="32"/>
          <w:highlight w:val="none"/>
          <w:lang w:val="en-US" w:eastAsia="zh-CN"/>
        </w:rPr>
        <w:t>另一方面，学校对公用经费的使用严格坚持“三重一大”审批原则，外联内调，</w:t>
      </w:r>
      <w:r>
        <w:rPr>
          <w:rFonts w:hint="eastAsia" w:ascii="仿宋" w:hAnsi="仿宋" w:eastAsia="仿宋" w:cs="仿宋"/>
          <w:b w:val="0"/>
          <w:bCs w:val="0"/>
          <w:color w:val="auto"/>
          <w:sz w:val="32"/>
          <w:szCs w:val="32"/>
          <w:highlight w:val="none"/>
          <w:lang w:eastAsia="zh-CN"/>
        </w:rPr>
        <w:t>打紧使用</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逐步改善办学条件。全年内</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学校</w:t>
      </w:r>
      <w:r>
        <w:rPr>
          <w:rFonts w:hint="eastAsia" w:ascii="仿宋" w:hAnsi="仿宋" w:eastAsia="仿宋" w:cs="仿宋"/>
          <w:b w:val="0"/>
          <w:bCs w:val="0"/>
          <w:color w:val="auto"/>
          <w:sz w:val="32"/>
          <w:szCs w:val="32"/>
          <w:highlight w:val="none"/>
        </w:rPr>
        <w:t>水电供应到位、破损维修及时、消杀专人专责，防疫物资</w:t>
      </w:r>
      <w:r>
        <w:rPr>
          <w:rFonts w:hint="eastAsia" w:ascii="仿宋" w:hAnsi="仿宋" w:eastAsia="仿宋" w:cs="仿宋"/>
          <w:b w:val="0"/>
          <w:bCs w:val="0"/>
          <w:color w:val="auto"/>
          <w:sz w:val="32"/>
          <w:szCs w:val="32"/>
          <w:highlight w:val="none"/>
          <w:lang w:eastAsia="zh-CN"/>
        </w:rPr>
        <w:t>管理规范、</w:t>
      </w:r>
      <w:r>
        <w:rPr>
          <w:rFonts w:hint="eastAsia" w:ascii="仿宋" w:hAnsi="仿宋" w:eastAsia="仿宋" w:cs="仿宋"/>
          <w:b w:val="0"/>
          <w:bCs w:val="0"/>
          <w:color w:val="auto"/>
          <w:sz w:val="32"/>
          <w:szCs w:val="32"/>
          <w:highlight w:val="none"/>
        </w:rPr>
        <w:t>发放到位，教室、寝室、功能室更换纱窗，</w:t>
      </w:r>
      <w:r>
        <w:rPr>
          <w:rFonts w:hint="eastAsia" w:ascii="仿宋" w:hAnsi="仿宋" w:eastAsia="仿宋" w:cs="仿宋"/>
          <w:b w:val="0"/>
          <w:bCs w:val="0"/>
          <w:color w:val="auto"/>
          <w:sz w:val="32"/>
          <w:szCs w:val="32"/>
          <w:highlight w:val="none"/>
          <w:lang w:eastAsia="zh-CN"/>
        </w:rPr>
        <w:t>完成综合楼维修，增设一间幼儿游乐活动教室，</w:t>
      </w:r>
      <w:r>
        <w:rPr>
          <w:rFonts w:hint="eastAsia" w:ascii="仿宋" w:hAnsi="仿宋" w:eastAsia="仿宋" w:cs="仿宋"/>
          <w:b w:val="0"/>
          <w:bCs w:val="0"/>
          <w:color w:val="auto"/>
          <w:sz w:val="32"/>
          <w:szCs w:val="32"/>
          <w:highlight w:val="none"/>
        </w:rPr>
        <w:t>教学楼楼梯转角书柜</w:t>
      </w:r>
      <w:r>
        <w:rPr>
          <w:rFonts w:hint="eastAsia" w:ascii="仿宋" w:hAnsi="仿宋" w:eastAsia="仿宋" w:cs="仿宋"/>
          <w:b w:val="0"/>
          <w:bCs w:val="0"/>
          <w:color w:val="auto"/>
          <w:sz w:val="32"/>
          <w:szCs w:val="32"/>
          <w:highlight w:val="none"/>
          <w:lang w:eastAsia="zh-CN"/>
        </w:rPr>
        <w:t>不断填充图书，“</w:t>
      </w:r>
      <w:r>
        <w:rPr>
          <w:rFonts w:hint="eastAsia" w:ascii="仿宋" w:hAnsi="仿宋" w:eastAsia="仿宋" w:cs="仿宋"/>
          <w:b w:val="0"/>
          <w:bCs w:val="0"/>
          <w:color w:val="auto"/>
          <w:sz w:val="32"/>
          <w:szCs w:val="32"/>
          <w:highlight w:val="none"/>
          <w:lang w:val="en-US" w:eastAsia="zh-CN"/>
        </w:rPr>
        <w:t>2019</w:t>
      </w:r>
      <w:r>
        <w:rPr>
          <w:rFonts w:hint="eastAsia" w:ascii="仿宋" w:hAnsi="仿宋" w:eastAsia="仿宋" w:cs="仿宋"/>
          <w:b w:val="0"/>
          <w:bCs w:val="0"/>
          <w:color w:val="auto"/>
          <w:sz w:val="32"/>
          <w:szCs w:val="32"/>
          <w:highlight w:val="none"/>
          <w:lang w:eastAsia="zh-CN"/>
        </w:rPr>
        <w:t>改薄提升”项目全面完工</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综合楼</w:t>
      </w:r>
      <w:r>
        <w:rPr>
          <w:rFonts w:hint="eastAsia" w:ascii="仿宋" w:hAnsi="仿宋" w:eastAsia="仿宋" w:cs="仿宋"/>
          <w:b w:val="0"/>
          <w:bCs w:val="0"/>
          <w:color w:val="auto"/>
          <w:sz w:val="32"/>
          <w:szCs w:val="32"/>
          <w:highlight w:val="none"/>
        </w:rPr>
        <w:t>统一领导、集中管理、全员参与、全面监督、定时公示，</w:t>
      </w:r>
      <w:r>
        <w:rPr>
          <w:rFonts w:hint="eastAsia" w:ascii="仿宋" w:hAnsi="仿宋" w:eastAsia="仿宋" w:cs="仿宋"/>
          <w:b w:val="0"/>
          <w:bCs w:val="0"/>
          <w:color w:val="auto"/>
          <w:sz w:val="32"/>
          <w:szCs w:val="32"/>
          <w:highlight w:val="none"/>
          <w:lang w:eastAsia="zh-CN"/>
        </w:rPr>
        <w:t>学生肉食计划、营养餐按标准实施，</w:t>
      </w:r>
      <w:r>
        <w:rPr>
          <w:rFonts w:hint="eastAsia" w:ascii="仿宋" w:hAnsi="仿宋" w:eastAsia="仿宋" w:cs="仿宋"/>
          <w:b w:val="0"/>
          <w:bCs w:val="0"/>
          <w:color w:val="auto"/>
          <w:sz w:val="32"/>
          <w:szCs w:val="32"/>
          <w:highlight w:val="none"/>
        </w:rPr>
        <w:t>伙食费的收取坚持“先服务后据实结算”原则</w:t>
      </w:r>
      <w:r>
        <w:rPr>
          <w:rFonts w:hint="eastAsia" w:ascii="仿宋" w:hAnsi="仿宋" w:eastAsia="仿宋" w:cs="仿宋"/>
          <w:b w:val="0"/>
          <w:bCs w:val="0"/>
          <w:color w:val="auto"/>
          <w:sz w:val="32"/>
          <w:szCs w:val="32"/>
          <w:highlight w:val="none"/>
          <w:lang w:eastAsia="zh-CN"/>
        </w:rPr>
        <w:t>，亮证收费行为规范。师生工作学习生活基本条件得以保障，全年内无一例家长学生举报、投诉。</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六是持续开展好对留守儿童、退休教师的关爱活动，以人文关怀为导向促进学校、家庭、社会的多元共育。</w:t>
      </w:r>
      <w:r>
        <w:rPr>
          <w:rFonts w:hint="eastAsia" w:ascii="仿宋" w:hAnsi="仿宋" w:eastAsia="仿宋" w:cs="仿宋"/>
          <w:b w:val="0"/>
          <w:bCs w:val="0"/>
          <w:color w:val="auto"/>
          <w:sz w:val="32"/>
          <w:szCs w:val="32"/>
          <w:highlight w:val="none"/>
          <w:lang w:val="en-US"/>
        </w:rPr>
        <w:t>学校有效结合</w:t>
      </w:r>
      <w:r>
        <w:rPr>
          <w:rFonts w:hint="eastAsia" w:ascii="仿宋" w:hAnsi="仿宋" w:eastAsia="仿宋" w:cs="仿宋"/>
          <w:b w:val="0"/>
          <w:bCs w:val="0"/>
          <w:color w:val="auto"/>
          <w:sz w:val="32"/>
          <w:szCs w:val="32"/>
          <w:highlight w:val="none"/>
          <w:lang w:val="en-US" w:eastAsia="zh-CN"/>
        </w:rPr>
        <w:t>乡村振兴、</w:t>
      </w:r>
      <w:r>
        <w:rPr>
          <w:rFonts w:hint="eastAsia" w:ascii="仿宋" w:hAnsi="仿宋" w:eastAsia="仿宋" w:cs="仿宋"/>
          <w:b w:val="0"/>
          <w:bCs w:val="0"/>
          <w:color w:val="auto"/>
          <w:sz w:val="32"/>
          <w:szCs w:val="32"/>
          <w:highlight w:val="none"/>
          <w:lang w:val="en-US"/>
        </w:rPr>
        <w:t>教育扶贫</w:t>
      </w:r>
      <w:r>
        <w:rPr>
          <w:rFonts w:hint="eastAsia" w:ascii="仿宋" w:hAnsi="仿宋" w:eastAsia="仿宋" w:cs="仿宋"/>
          <w:b w:val="0"/>
          <w:bCs w:val="0"/>
          <w:color w:val="auto"/>
          <w:sz w:val="32"/>
          <w:szCs w:val="32"/>
          <w:highlight w:val="none"/>
          <w:lang w:val="en-US" w:eastAsia="zh-CN"/>
        </w:rPr>
        <w:t>回头看</w:t>
      </w:r>
      <w:r>
        <w:rPr>
          <w:rFonts w:hint="eastAsia" w:ascii="仿宋" w:hAnsi="仿宋" w:eastAsia="仿宋" w:cs="仿宋"/>
          <w:b w:val="0"/>
          <w:bCs w:val="0"/>
          <w:color w:val="auto"/>
          <w:sz w:val="32"/>
          <w:szCs w:val="32"/>
          <w:highlight w:val="none"/>
          <w:lang w:val="en-US"/>
        </w:rPr>
        <w:t>和“千名教师访万家”工作，要求全体教师对贫困建卡户在读子女、留守儿童、学困生</w:t>
      </w:r>
      <w:r>
        <w:rPr>
          <w:rFonts w:hint="eastAsia" w:ascii="仿宋" w:hAnsi="仿宋" w:eastAsia="仿宋" w:cs="仿宋"/>
          <w:b w:val="0"/>
          <w:bCs w:val="0"/>
          <w:color w:val="auto"/>
          <w:sz w:val="32"/>
          <w:szCs w:val="32"/>
          <w:highlight w:val="none"/>
          <w:lang w:val="en-US" w:eastAsia="zh-CN"/>
        </w:rPr>
        <w:t>做到</w:t>
      </w:r>
      <w:r>
        <w:rPr>
          <w:rFonts w:hint="eastAsia" w:ascii="仿宋" w:hAnsi="仿宋" w:eastAsia="仿宋" w:cs="仿宋"/>
          <w:b w:val="0"/>
          <w:bCs w:val="0"/>
          <w:color w:val="auto"/>
          <w:sz w:val="32"/>
          <w:szCs w:val="32"/>
          <w:highlight w:val="none"/>
          <w:lang w:val="en-US"/>
        </w:rPr>
        <w:t>辅导有计划、帮扶有记载，家访有记录，学校有检查。全年组织全体教师10余次组织入户核查、政策宣讲、开展结对帮扶。同时做好了全乡0-1</w:t>
      </w:r>
      <w:r>
        <w:rPr>
          <w:rFonts w:hint="eastAsia" w:ascii="仿宋" w:hAnsi="仿宋" w:eastAsia="仿宋" w:cs="仿宋"/>
          <w:b w:val="0"/>
          <w:bCs w:val="0"/>
          <w:color w:val="auto"/>
          <w:sz w:val="32"/>
          <w:szCs w:val="32"/>
          <w:highlight w:val="none"/>
          <w:lang w:val="en-US" w:eastAsia="zh-CN"/>
        </w:rPr>
        <w:t>7周</w:t>
      </w:r>
      <w:r>
        <w:rPr>
          <w:rFonts w:hint="eastAsia" w:ascii="仿宋" w:hAnsi="仿宋" w:eastAsia="仿宋" w:cs="仿宋"/>
          <w:b w:val="0"/>
          <w:bCs w:val="0"/>
          <w:color w:val="auto"/>
          <w:sz w:val="32"/>
          <w:szCs w:val="32"/>
          <w:highlight w:val="none"/>
          <w:lang w:val="en-US"/>
        </w:rPr>
        <w:t>岁适龄儿童就学情况</w:t>
      </w:r>
      <w:r>
        <w:rPr>
          <w:rFonts w:hint="eastAsia" w:ascii="仿宋" w:hAnsi="仿宋" w:eastAsia="仿宋" w:cs="仿宋"/>
          <w:b w:val="0"/>
          <w:bCs w:val="0"/>
          <w:color w:val="auto"/>
          <w:sz w:val="32"/>
          <w:szCs w:val="32"/>
          <w:highlight w:val="none"/>
          <w:lang w:val="en-US" w:eastAsia="zh-CN"/>
        </w:rPr>
        <w:t>、资助救助</w:t>
      </w:r>
      <w:r>
        <w:rPr>
          <w:rFonts w:hint="eastAsia" w:ascii="仿宋" w:hAnsi="仿宋" w:eastAsia="仿宋" w:cs="仿宋"/>
          <w:b w:val="0"/>
          <w:bCs w:val="0"/>
          <w:color w:val="auto"/>
          <w:sz w:val="32"/>
          <w:szCs w:val="32"/>
          <w:highlight w:val="none"/>
          <w:lang w:val="en-US"/>
        </w:rPr>
        <w:t>摸排工作，辖区内所有</w:t>
      </w:r>
      <w:r>
        <w:rPr>
          <w:rFonts w:hint="eastAsia" w:ascii="仿宋" w:hAnsi="仿宋" w:eastAsia="仿宋" w:cs="仿宋"/>
          <w:b w:val="0"/>
          <w:bCs w:val="0"/>
          <w:color w:val="auto"/>
          <w:sz w:val="32"/>
          <w:szCs w:val="32"/>
          <w:highlight w:val="none"/>
          <w:lang w:val="en-US" w:eastAsia="zh-CN"/>
        </w:rPr>
        <w:t>适龄儿童均在校就读，</w:t>
      </w:r>
      <w:r>
        <w:rPr>
          <w:rFonts w:hint="eastAsia" w:ascii="仿宋" w:hAnsi="仿宋" w:eastAsia="仿宋" w:cs="仿宋"/>
          <w:b w:val="0"/>
          <w:bCs w:val="0"/>
          <w:color w:val="auto"/>
          <w:sz w:val="32"/>
          <w:szCs w:val="32"/>
          <w:highlight w:val="none"/>
          <w:lang w:val="en-US"/>
        </w:rPr>
        <w:t>资助全部足额按时发放，无一错漏。</w:t>
      </w:r>
      <w:r>
        <w:rPr>
          <w:rFonts w:hint="eastAsia" w:ascii="仿宋" w:hAnsi="仿宋" w:eastAsia="仿宋" w:cs="仿宋"/>
          <w:b w:val="0"/>
          <w:bCs w:val="0"/>
          <w:color w:val="auto"/>
          <w:sz w:val="32"/>
          <w:szCs w:val="32"/>
          <w:highlight w:val="none"/>
          <w:lang w:val="en-US" w:eastAsia="zh-CN"/>
        </w:rPr>
        <w:t>本年内，学校积极寻求社会资助，获得浙江拱墅区泰兰尼斯、瑞帆、敏骏3家爱心企业的3次捐助，受助留守儿童232人次，捐赠内容包括书包、文具盒、运动鞋、棉服、棉裤，总价值约13万元；后期，瑞帆公司还有意向留守儿童再捐赠一批棉服。在对退休教师的关爱方面，学校党支部、工会在教师节和重要传统节日之际，均会走访慰问送上节日礼物，向老教师虚心求取教育良策，群策群力繁荣昭化教育。</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华文楷体" w:hAnsi="华文楷体" w:eastAsia="华文楷体" w:cs="华文楷体"/>
          <w:b w:val="0"/>
          <w:bCs w:val="0"/>
          <w:color w:val="auto"/>
          <w:sz w:val="32"/>
          <w:szCs w:val="32"/>
          <w:highlight w:val="none"/>
          <w:lang w:eastAsia="zh-CN"/>
        </w:rPr>
      </w:pPr>
      <w:r>
        <w:rPr>
          <w:rFonts w:hint="eastAsia" w:ascii="华文楷体" w:hAnsi="华文楷体" w:eastAsia="华文楷体" w:cs="华文楷体"/>
          <w:b w:val="0"/>
          <w:bCs w:val="0"/>
          <w:color w:val="auto"/>
          <w:sz w:val="32"/>
          <w:szCs w:val="32"/>
          <w:highlight w:val="none"/>
          <w:lang w:eastAsia="zh-CN"/>
        </w:rPr>
        <w:t>工作亮点：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eastAsia="zh-CN"/>
        </w:rPr>
        <w:t>（一）</w:t>
      </w:r>
      <w:r>
        <w:rPr>
          <w:rFonts w:hint="eastAsia" w:ascii="仿宋" w:hAnsi="仿宋" w:eastAsia="仿宋" w:cs="仿宋"/>
          <w:b w:val="0"/>
          <w:bCs w:val="0"/>
          <w:color w:val="auto"/>
          <w:sz w:val="32"/>
          <w:szCs w:val="32"/>
          <w:highlight w:val="none"/>
        </w:rPr>
        <w:t>党建</w:t>
      </w:r>
      <w:r>
        <w:rPr>
          <w:rFonts w:hint="eastAsia" w:ascii="仿宋" w:hAnsi="仿宋" w:eastAsia="仿宋" w:cs="仿宋"/>
          <w:b w:val="0"/>
          <w:bCs w:val="0"/>
          <w:color w:val="auto"/>
          <w:sz w:val="32"/>
          <w:szCs w:val="32"/>
          <w:highlight w:val="none"/>
          <w:lang w:eastAsia="zh-CN"/>
        </w:rPr>
        <w:t>引领学校</w:t>
      </w:r>
      <w:r>
        <w:rPr>
          <w:rFonts w:hint="eastAsia" w:ascii="仿宋" w:hAnsi="仿宋" w:eastAsia="仿宋" w:cs="仿宋"/>
          <w:b w:val="0"/>
          <w:bCs w:val="0"/>
          <w:color w:val="auto"/>
          <w:sz w:val="32"/>
          <w:szCs w:val="32"/>
          <w:highlight w:val="none"/>
          <w:lang w:val="en-US" w:eastAsia="zh-CN"/>
        </w:rPr>
        <w:t>发展</w:t>
      </w:r>
      <w:r>
        <w:rPr>
          <w:rFonts w:hint="eastAsia" w:ascii="仿宋" w:hAnsi="仿宋" w:eastAsia="仿宋" w:cs="仿宋"/>
          <w:b w:val="0"/>
          <w:bCs w:val="0"/>
          <w:color w:val="auto"/>
          <w:sz w:val="32"/>
          <w:szCs w:val="32"/>
          <w:highlight w:val="none"/>
          <w:lang w:eastAsia="zh-CN"/>
        </w:rPr>
        <w:t>全过程</w:t>
      </w:r>
      <w:r>
        <w:rPr>
          <w:rFonts w:hint="eastAsia" w:ascii="仿宋" w:hAnsi="仿宋" w:eastAsia="仿宋" w:cs="仿宋"/>
          <w:b w:val="0"/>
          <w:bCs w:val="0"/>
          <w:color w:val="auto"/>
          <w:sz w:val="32"/>
          <w:szCs w:val="32"/>
          <w:highlight w:val="none"/>
        </w:rPr>
        <w:t>。</w:t>
      </w:r>
      <w:r>
        <w:rPr>
          <w:rFonts w:hint="eastAsia" w:ascii="仿宋" w:hAnsi="仿宋" w:eastAsia="仿宋" w:cs="仿宋"/>
          <w:b/>
          <w:bCs/>
          <w:color w:val="auto"/>
          <w:sz w:val="32"/>
          <w:szCs w:val="32"/>
          <w:highlight w:val="none"/>
        </w:rPr>
        <w:t>一是</w:t>
      </w:r>
      <w:r>
        <w:rPr>
          <w:rFonts w:hint="eastAsia" w:ascii="仿宋" w:hAnsi="仿宋" w:eastAsia="仿宋" w:cs="仿宋"/>
          <w:b w:val="0"/>
          <w:bCs w:val="0"/>
          <w:color w:val="auto"/>
          <w:sz w:val="32"/>
          <w:szCs w:val="32"/>
          <w:highlight w:val="none"/>
          <w:lang w:val="en-US"/>
        </w:rPr>
        <w:t>夯实党支部的标准化规范化建设，</w:t>
      </w:r>
      <w:r>
        <w:rPr>
          <w:rFonts w:hint="eastAsia" w:ascii="仿宋" w:hAnsi="仿宋" w:eastAsia="仿宋" w:cs="仿宋"/>
          <w:b w:val="0"/>
          <w:bCs w:val="0"/>
          <w:color w:val="auto"/>
          <w:sz w:val="32"/>
          <w:szCs w:val="32"/>
          <w:highlight w:val="none"/>
          <w:lang w:eastAsia="zh-CN"/>
        </w:rPr>
        <w:t>全面落实党组织领导下的校长负责制，</w:t>
      </w:r>
      <w:r>
        <w:rPr>
          <w:rFonts w:hint="eastAsia" w:ascii="仿宋" w:hAnsi="仿宋" w:eastAsia="仿宋" w:cs="仿宋"/>
          <w:b w:val="0"/>
          <w:bCs w:val="0"/>
          <w:color w:val="auto"/>
          <w:sz w:val="32"/>
          <w:szCs w:val="32"/>
          <w:highlight w:val="none"/>
          <w:lang w:val="en-US" w:eastAsia="zh-CN"/>
        </w:rPr>
        <w:t>始终</w:t>
      </w:r>
      <w:r>
        <w:rPr>
          <w:rFonts w:hint="eastAsia" w:ascii="仿宋" w:hAnsi="仿宋" w:eastAsia="仿宋" w:cs="仿宋"/>
          <w:b w:val="0"/>
          <w:bCs w:val="0"/>
          <w:color w:val="auto"/>
          <w:sz w:val="32"/>
          <w:szCs w:val="32"/>
          <w:highlight w:val="none"/>
        </w:rPr>
        <w:t>坚持把党组织研究讨论作为重大事项决策前置程序，确保党</w:t>
      </w:r>
      <w:r>
        <w:rPr>
          <w:rFonts w:hint="eastAsia" w:ascii="仿宋" w:hAnsi="仿宋" w:eastAsia="仿宋" w:cs="仿宋"/>
          <w:b w:val="0"/>
          <w:bCs w:val="0"/>
          <w:color w:val="auto"/>
          <w:sz w:val="32"/>
          <w:szCs w:val="32"/>
          <w:highlight w:val="none"/>
          <w:lang w:val="en-US" w:eastAsia="zh-CN"/>
        </w:rPr>
        <w:t>委</w:t>
      </w:r>
      <w:r>
        <w:rPr>
          <w:rFonts w:hint="eastAsia" w:ascii="仿宋" w:hAnsi="仿宋" w:eastAsia="仿宋" w:cs="仿宋"/>
          <w:b w:val="0"/>
          <w:bCs w:val="0"/>
          <w:color w:val="auto"/>
          <w:sz w:val="32"/>
          <w:szCs w:val="32"/>
          <w:highlight w:val="none"/>
        </w:rPr>
        <w:t>发挥把方向、管大局、保落实的作用。</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rPr>
        <w:t>是</w:t>
      </w:r>
      <w:r>
        <w:rPr>
          <w:rFonts w:hint="eastAsia" w:ascii="仿宋" w:hAnsi="仿宋" w:eastAsia="仿宋" w:cs="仿宋"/>
          <w:b w:val="0"/>
          <w:bCs w:val="0"/>
          <w:color w:val="auto"/>
          <w:sz w:val="32"/>
          <w:szCs w:val="32"/>
          <w:highlight w:val="none"/>
          <w:lang w:eastAsia="zh-CN"/>
        </w:rPr>
        <w:t>坚持</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三重一大</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决策程序，</w:t>
      </w:r>
      <w:r>
        <w:rPr>
          <w:rFonts w:hint="eastAsia" w:ascii="仿宋" w:hAnsi="仿宋" w:eastAsia="仿宋" w:cs="仿宋"/>
          <w:b w:val="0"/>
          <w:bCs w:val="0"/>
          <w:color w:val="auto"/>
          <w:sz w:val="32"/>
          <w:szCs w:val="32"/>
          <w:highlight w:val="none"/>
          <w:lang w:val="en-US" w:eastAsia="zh-CN"/>
        </w:rPr>
        <w:t>全年召开支委会37次，凡学校</w:t>
      </w:r>
      <w:r>
        <w:rPr>
          <w:rFonts w:hint="eastAsia" w:ascii="仿宋" w:hAnsi="仿宋" w:eastAsia="仿宋" w:cs="仿宋"/>
          <w:b w:val="0"/>
          <w:bCs w:val="0"/>
          <w:color w:val="auto"/>
          <w:sz w:val="32"/>
          <w:szCs w:val="32"/>
          <w:highlight w:val="none"/>
        </w:rPr>
        <w:t>重大决策事项</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重要人事任免</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重大项目安排</w:t>
      </w:r>
      <w:r>
        <w:rPr>
          <w:rFonts w:hint="eastAsia" w:ascii="仿宋" w:hAnsi="仿宋" w:eastAsia="仿宋" w:cs="仿宋"/>
          <w:b w:val="0"/>
          <w:bCs w:val="0"/>
          <w:color w:val="auto"/>
          <w:sz w:val="32"/>
          <w:szCs w:val="32"/>
          <w:highlight w:val="none"/>
          <w:lang w:eastAsia="zh-CN"/>
        </w:rPr>
        <w:t>及</w:t>
      </w:r>
      <w:r>
        <w:rPr>
          <w:rFonts w:hint="eastAsia" w:ascii="仿宋" w:hAnsi="仿宋" w:eastAsia="仿宋" w:cs="仿宋"/>
          <w:b w:val="0"/>
          <w:bCs w:val="0"/>
          <w:color w:val="auto"/>
          <w:sz w:val="32"/>
          <w:szCs w:val="32"/>
          <w:highlight w:val="none"/>
        </w:rPr>
        <w:t>大额度资金</w:t>
      </w:r>
      <w:r>
        <w:rPr>
          <w:rFonts w:hint="eastAsia" w:ascii="仿宋" w:hAnsi="仿宋" w:eastAsia="仿宋" w:cs="仿宋"/>
          <w:b w:val="0"/>
          <w:bCs w:val="0"/>
          <w:color w:val="auto"/>
          <w:sz w:val="32"/>
          <w:szCs w:val="32"/>
          <w:highlight w:val="none"/>
          <w:lang w:eastAsia="zh-CN"/>
        </w:rPr>
        <w:t>使用，均</w:t>
      </w:r>
      <w:r>
        <w:rPr>
          <w:rFonts w:hint="eastAsia" w:ascii="仿宋" w:hAnsi="仿宋" w:eastAsia="仿宋" w:cs="仿宋"/>
          <w:b w:val="0"/>
          <w:bCs w:val="0"/>
          <w:color w:val="auto"/>
          <w:sz w:val="32"/>
          <w:szCs w:val="32"/>
          <w:highlight w:val="none"/>
        </w:rPr>
        <w:t>以会议形式作出集体决策。</w:t>
      </w:r>
      <w:r>
        <w:rPr>
          <w:rFonts w:hint="eastAsia" w:ascii="仿宋" w:hAnsi="仿宋" w:eastAsia="仿宋" w:cs="仿宋"/>
          <w:b/>
          <w:bCs/>
          <w:color w:val="auto"/>
          <w:sz w:val="32"/>
          <w:szCs w:val="32"/>
          <w:highlight w:val="none"/>
          <w:lang w:val="en-US" w:eastAsia="zh-CN"/>
        </w:rPr>
        <w:t>三是</w:t>
      </w:r>
      <w:r>
        <w:rPr>
          <w:rFonts w:hint="eastAsia" w:ascii="仿宋" w:hAnsi="仿宋" w:eastAsia="仿宋" w:cs="仿宋"/>
          <w:b w:val="0"/>
          <w:bCs w:val="0"/>
          <w:color w:val="auto"/>
          <w:sz w:val="32"/>
          <w:szCs w:val="32"/>
          <w:highlight w:val="none"/>
          <w:lang w:val="en-US" w:eastAsia="zh-CN"/>
        </w:rPr>
        <w:t>建立党史学习教育常态化制度，支部行政例会、教职工例会前首先学习习总书记系列重要讲话精神及党史、新中国史、改革开放史、社会主义发展史，引导全体教师深入学习“四史”，牢记初心使命。</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rPr>
        <w:t>是</w:t>
      </w:r>
      <w:r>
        <w:rPr>
          <w:rFonts w:hint="eastAsia" w:ascii="仿宋" w:hAnsi="仿宋" w:eastAsia="仿宋" w:cs="仿宋"/>
          <w:b w:val="0"/>
          <w:bCs w:val="0"/>
          <w:color w:val="auto"/>
          <w:sz w:val="32"/>
          <w:szCs w:val="32"/>
          <w:highlight w:val="none"/>
          <w:lang w:eastAsia="zh-CN"/>
        </w:rPr>
        <w:t>意识形态工作开展良好。</w:t>
      </w:r>
      <w:r>
        <w:rPr>
          <w:rFonts w:hint="eastAsia" w:ascii="仿宋" w:hAnsi="仿宋" w:eastAsia="仿宋" w:cs="仿宋"/>
          <w:b w:val="0"/>
          <w:bCs w:val="0"/>
          <w:color w:val="auto"/>
          <w:sz w:val="32"/>
          <w:szCs w:val="32"/>
          <w:highlight w:val="none"/>
          <w:lang w:val="en-US" w:eastAsia="zh-CN"/>
        </w:rPr>
        <w:t>充分</w:t>
      </w:r>
      <w:r>
        <w:rPr>
          <w:rFonts w:hint="eastAsia" w:ascii="仿宋" w:hAnsi="仿宋" w:eastAsia="仿宋" w:cs="仿宋"/>
          <w:b w:val="0"/>
          <w:bCs w:val="0"/>
          <w:color w:val="auto"/>
          <w:sz w:val="32"/>
          <w:szCs w:val="32"/>
          <w:highlight w:val="none"/>
        </w:rPr>
        <w:t>发挥</w:t>
      </w:r>
      <w:r>
        <w:rPr>
          <w:rFonts w:hint="eastAsia" w:ascii="仿宋" w:hAnsi="仿宋" w:eastAsia="仿宋" w:cs="仿宋"/>
          <w:b w:val="0"/>
          <w:bCs w:val="0"/>
          <w:color w:val="auto"/>
          <w:sz w:val="32"/>
          <w:szCs w:val="32"/>
          <w:highlight w:val="none"/>
          <w:lang w:val="en-US" w:eastAsia="zh-CN"/>
        </w:rPr>
        <w:t>党员</w:t>
      </w:r>
      <w:r>
        <w:rPr>
          <w:rFonts w:hint="eastAsia" w:ascii="仿宋" w:hAnsi="仿宋" w:eastAsia="仿宋" w:cs="仿宋"/>
          <w:b w:val="0"/>
          <w:bCs w:val="0"/>
          <w:color w:val="auto"/>
          <w:sz w:val="32"/>
          <w:szCs w:val="32"/>
          <w:highlight w:val="none"/>
        </w:rPr>
        <w:t>先锋模范</w:t>
      </w:r>
      <w:r>
        <w:rPr>
          <w:rFonts w:hint="eastAsia" w:ascii="仿宋" w:hAnsi="仿宋" w:eastAsia="仿宋" w:cs="仿宋"/>
          <w:b w:val="0"/>
          <w:bCs w:val="0"/>
          <w:color w:val="auto"/>
          <w:sz w:val="32"/>
          <w:szCs w:val="32"/>
          <w:highlight w:val="none"/>
          <w:lang w:val="en-US" w:eastAsia="zh-CN"/>
        </w:rPr>
        <w:t>和</w:t>
      </w:r>
      <w:r>
        <w:rPr>
          <w:rFonts w:hint="eastAsia" w:ascii="仿宋" w:hAnsi="仿宋" w:eastAsia="仿宋" w:cs="仿宋"/>
          <w:b w:val="0"/>
          <w:bCs w:val="0"/>
          <w:color w:val="auto"/>
          <w:sz w:val="32"/>
          <w:szCs w:val="32"/>
          <w:highlight w:val="none"/>
        </w:rPr>
        <w:t>示范带头作用</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rPr>
        <w:t>19</w:t>
      </w:r>
      <w:r>
        <w:rPr>
          <w:rFonts w:hint="eastAsia" w:ascii="仿宋" w:hAnsi="仿宋" w:eastAsia="仿宋" w:cs="仿宋"/>
          <w:b w:val="0"/>
          <w:bCs w:val="0"/>
          <w:color w:val="auto"/>
          <w:sz w:val="32"/>
          <w:szCs w:val="32"/>
          <w:highlight w:val="none"/>
          <w:lang w:val="en-US" w:eastAsia="zh-CN"/>
        </w:rPr>
        <w:t>名教师中有党员教师11名，党员教师主动承担班主任、各功能室等管理工作，积极作为成为教学骨干，引导全体教师以教育教学为中心、以发展为第一要务，呈现出管好方向、管好舆论、管好阵地、管好队伍的良好意识形态。</w:t>
      </w:r>
      <w:r>
        <w:rPr>
          <w:rFonts w:hint="eastAsia" w:ascii="仿宋" w:hAnsi="仿宋" w:eastAsia="仿宋" w:cs="仿宋"/>
          <w:b/>
          <w:bCs/>
          <w:color w:val="auto"/>
          <w:sz w:val="32"/>
          <w:szCs w:val="32"/>
          <w:highlight w:val="none"/>
          <w:lang w:val="en-US" w:eastAsia="zh-CN"/>
        </w:rPr>
        <w:t>五是</w:t>
      </w:r>
      <w:r>
        <w:rPr>
          <w:rFonts w:hint="eastAsia" w:ascii="仿宋" w:hAnsi="仿宋" w:eastAsia="仿宋" w:cs="仿宋"/>
          <w:b w:val="0"/>
          <w:bCs w:val="0"/>
          <w:color w:val="auto"/>
          <w:sz w:val="32"/>
          <w:szCs w:val="32"/>
          <w:highlight w:val="none"/>
          <w:lang w:val="en-US" w:eastAsia="zh-CN"/>
        </w:rPr>
        <w:t>干部纪律作风建设暨付健案“以案促改”工作</w:t>
      </w:r>
      <w:r>
        <w:rPr>
          <w:rFonts w:hint="eastAsia" w:ascii="仿宋" w:hAnsi="仿宋" w:eastAsia="仿宋" w:cs="仿宋"/>
          <w:b w:val="0"/>
          <w:bCs w:val="0"/>
          <w:color w:val="auto"/>
          <w:sz w:val="32"/>
          <w:szCs w:val="32"/>
          <w:highlight w:val="none"/>
        </w:rPr>
        <w:t>扎实有效。</w:t>
      </w:r>
      <w:r>
        <w:rPr>
          <w:rFonts w:hint="eastAsia" w:ascii="仿宋" w:hAnsi="仿宋" w:eastAsia="仿宋" w:cs="仿宋"/>
          <w:b w:val="0"/>
          <w:bCs w:val="0"/>
          <w:color w:val="auto"/>
          <w:sz w:val="32"/>
          <w:szCs w:val="32"/>
          <w:highlight w:val="none"/>
          <w:lang w:eastAsia="zh-CN"/>
        </w:rPr>
        <w:t>深刻自我剖析、梳理问题清单、逐项对标销号，</w:t>
      </w:r>
      <w:r>
        <w:rPr>
          <w:rFonts w:hint="eastAsia" w:ascii="仿宋" w:hAnsi="仿宋" w:eastAsia="仿宋" w:cs="仿宋"/>
          <w:b w:val="0"/>
          <w:bCs w:val="0"/>
          <w:color w:val="auto"/>
          <w:sz w:val="32"/>
          <w:szCs w:val="32"/>
          <w:highlight w:val="none"/>
        </w:rPr>
        <w:t>党支部适应新常态、把握新要求、实施新作为，不折不扣地完成了上级党组织的规定动作，务求实效地开展了全体教职工的思想政治教育、生活与工作作风教育、业务能力提升教育。</w:t>
      </w:r>
      <w:r>
        <w:rPr>
          <w:rFonts w:hint="eastAsia" w:ascii="仿宋" w:hAnsi="仿宋" w:eastAsia="仿宋" w:cs="仿宋"/>
          <w:b/>
          <w:bCs/>
          <w:color w:val="auto"/>
          <w:sz w:val="32"/>
          <w:szCs w:val="32"/>
          <w:highlight w:val="none"/>
          <w:lang w:eastAsia="zh-CN"/>
        </w:rPr>
        <w:t>六</w:t>
      </w:r>
      <w:r>
        <w:rPr>
          <w:rFonts w:hint="eastAsia" w:ascii="仿宋" w:hAnsi="仿宋" w:eastAsia="仿宋" w:cs="仿宋"/>
          <w:b/>
          <w:bCs/>
          <w:color w:val="auto"/>
          <w:sz w:val="32"/>
          <w:szCs w:val="32"/>
          <w:highlight w:val="none"/>
        </w:rPr>
        <w:t>是</w:t>
      </w:r>
      <w:r>
        <w:rPr>
          <w:rFonts w:hint="eastAsia" w:ascii="仿宋" w:hAnsi="仿宋" w:eastAsia="仿宋" w:cs="仿宋"/>
          <w:b w:val="0"/>
          <w:bCs w:val="0"/>
          <w:color w:val="auto"/>
          <w:sz w:val="32"/>
          <w:szCs w:val="32"/>
          <w:highlight w:val="none"/>
        </w:rPr>
        <w:t>党建活动开展情况良好。</w:t>
      </w:r>
      <w:r>
        <w:rPr>
          <w:rFonts w:hint="eastAsia" w:ascii="仿宋" w:hAnsi="仿宋" w:eastAsia="仿宋" w:cs="仿宋"/>
          <w:b w:val="0"/>
          <w:bCs w:val="0"/>
          <w:color w:val="auto"/>
          <w:sz w:val="32"/>
          <w:szCs w:val="32"/>
          <w:highlight w:val="none"/>
          <w:lang w:eastAsia="zh-CN"/>
        </w:rPr>
        <w:t>深入学习贯彻习近平新时代中国特色社会主义思想，持续巩固党史学习</w:t>
      </w:r>
      <w:r>
        <w:rPr>
          <w:rFonts w:hint="eastAsia" w:ascii="仿宋" w:hAnsi="仿宋" w:eastAsia="仿宋" w:cs="仿宋"/>
          <w:b w:val="0"/>
          <w:bCs w:val="0"/>
          <w:color w:val="auto"/>
          <w:sz w:val="32"/>
          <w:szCs w:val="32"/>
          <w:highlight w:val="none"/>
        </w:rPr>
        <w:t>教育</w:t>
      </w:r>
      <w:r>
        <w:rPr>
          <w:rFonts w:hint="eastAsia" w:ascii="仿宋" w:hAnsi="仿宋" w:eastAsia="仿宋" w:cs="仿宋"/>
          <w:b w:val="0"/>
          <w:bCs w:val="0"/>
          <w:color w:val="auto"/>
          <w:sz w:val="32"/>
          <w:szCs w:val="32"/>
          <w:highlight w:val="none"/>
          <w:lang w:eastAsia="zh-CN"/>
        </w:rPr>
        <w:t>并注意充分</w:t>
      </w:r>
      <w:r>
        <w:rPr>
          <w:rFonts w:hint="eastAsia" w:ascii="仿宋" w:hAnsi="仿宋" w:eastAsia="仿宋" w:cs="仿宋"/>
          <w:b w:val="0"/>
          <w:bCs w:val="0"/>
          <w:color w:val="auto"/>
          <w:sz w:val="32"/>
          <w:szCs w:val="32"/>
          <w:highlight w:val="none"/>
        </w:rPr>
        <w:t>融入</w:t>
      </w:r>
      <w:r>
        <w:rPr>
          <w:rFonts w:hint="eastAsia" w:ascii="仿宋" w:hAnsi="仿宋" w:eastAsia="仿宋" w:cs="仿宋"/>
          <w:b w:val="0"/>
          <w:bCs w:val="0"/>
          <w:color w:val="auto"/>
          <w:sz w:val="32"/>
          <w:szCs w:val="32"/>
          <w:highlight w:val="none"/>
          <w:lang w:eastAsia="zh-CN"/>
        </w:rPr>
        <w:t>学校教育教学</w:t>
      </w:r>
      <w:r>
        <w:rPr>
          <w:rFonts w:hint="eastAsia" w:ascii="仿宋" w:hAnsi="仿宋" w:eastAsia="仿宋" w:cs="仿宋"/>
          <w:b w:val="0"/>
          <w:bCs w:val="0"/>
          <w:color w:val="auto"/>
          <w:sz w:val="32"/>
          <w:szCs w:val="32"/>
          <w:highlight w:val="none"/>
        </w:rPr>
        <w:t>工作</w:t>
      </w:r>
      <w:r>
        <w:rPr>
          <w:rFonts w:hint="eastAsia" w:ascii="仿宋" w:hAnsi="仿宋" w:eastAsia="仿宋" w:cs="仿宋"/>
          <w:b w:val="0"/>
          <w:bCs w:val="0"/>
          <w:color w:val="auto"/>
          <w:sz w:val="32"/>
          <w:szCs w:val="32"/>
          <w:highlight w:val="none"/>
          <w:lang w:eastAsia="zh-CN"/>
        </w:rPr>
        <w:t>中，</w:t>
      </w:r>
      <w:r>
        <w:rPr>
          <w:rFonts w:hint="eastAsia" w:ascii="仿宋" w:hAnsi="仿宋" w:eastAsia="仿宋" w:cs="仿宋"/>
          <w:b w:val="0"/>
          <w:bCs w:val="0"/>
          <w:color w:val="auto"/>
          <w:sz w:val="32"/>
          <w:szCs w:val="32"/>
          <w:highlight w:val="none"/>
        </w:rPr>
        <w:t>以专题讲座、谈心谈话、讨论座谈、走访慰问等形式，</w:t>
      </w:r>
      <w:r>
        <w:rPr>
          <w:rFonts w:hint="eastAsia" w:ascii="仿宋" w:hAnsi="仿宋" w:eastAsia="仿宋" w:cs="仿宋"/>
          <w:b w:val="0"/>
          <w:bCs w:val="0"/>
          <w:color w:val="auto"/>
          <w:sz w:val="32"/>
          <w:szCs w:val="32"/>
          <w:highlight w:val="none"/>
          <w:lang w:eastAsia="zh-CN"/>
        </w:rPr>
        <w:t>推进支部规范化建设，</w:t>
      </w:r>
      <w:r>
        <w:rPr>
          <w:rFonts w:hint="eastAsia" w:ascii="仿宋" w:hAnsi="仿宋" w:eastAsia="仿宋" w:cs="仿宋"/>
          <w:b w:val="0"/>
          <w:bCs w:val="0"/>
          <w:color w:val="auto"/>
          <w:sz w:val="32"/>
          <w:szCs w:val="32"/>
          <w:highlight w:val="none"/>
        </w:rPr>
        <w:t>按要求按计划开展了“</w:t>
      </w:r>
      <w:r>
        <w:rPr>
          <w:rFonts w:hint="eastAsia" w:ascii="仿宋" w:hAnsi="仿宋" w:eastAsia="仿宋" w:cs="仿宋"/>
          <w:b w:val="0"/>
          <w:bCs w:val="0"/>
          <w:color w:val="auto"/>
          <w:sz w:val="32"/>
          <w:szCs w:val="32"/>
          <w:highlight w:val="none"/>
          <w:lang w:eastAsia="zh-CN"/>
        </w:rPr>
        <w:t>红色星期五</w:t>
      </w:r>
      <w:r>
        <w:rPr>
          <w:rFonts w:hint="eastAsia" w:ascii="仿宋" w:hAnsi="仿宋" w:eastAsia="仿宋" w:cs="仿宋"/>
          <w:b w:val="0"/>
          <w:bCs w:val="0"/>
          <w:color w:val="auto"/>
          <w:sz w:val="32"/>
          <w:szCs w:val="32"/>
          <w:highlight w:val="none"/>
        </w:rPr>
        <w:t>”主题党日、“学习强国”</w:t>
      </w:r>
      <w:r>
        <w:rPr>
          <w:rFonts w:hint="eastAsia" w:ascii="仿宋" w:hAnsi="仿宋" w:eastAsia="仿宋" w:cs="仿宋"/>
          <w:b w:val="0"/>
          <w:bCs w:val="0"/>
          <w:color w:val="auto"/>
          <w:sz w:val="32"/>
          <w:szCs w:val="32"/>
          <w:highlight w:val="none"/>
          <w:lang w:eastAsia="zh-CN"/>
        </w:rPr>
        <w:t>（大部分党员教师学习总积分都在</w:t>
      </w:r>
      <w:r>
        <w:rPr>
          <w:rFonts w:hint="eastAsia" w:ascii="仿宋" w:hAnsi="仿宋" w:eastAsia="仿宋" w:cs="仿宋"/>
          <w:b w:val="0"/>
          <w:bCs w:val="0"/>
          <w:color w:val="auto"/>
          <w:sz w:val="32"/>
          <w:szCs w:val="32"/>
          <w:highlight w:val="none"/>
          <w:lang w:val="en-US" w:eastAsia="zh-CN"/>
        </w:rPr>
        <w:t>4万分左右</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“青年大学习”</w:t>
      </w:r>
      <w:r>
        <w:rPr>
          <w:rFonts w:hint="eastAsia" w:ascii="仿宋" w:hAnsi="仿宋" w:eastAsia="仿宋" w:cs="仿宋"/>
          <w:b w:val="0"/>
          <w:bCs w:val="0"/>
          <w:color w:val="auto"/>
          <w:sz w:val="32"/>
          <w:szCs w:val="32"/>
          <w:highlight w:val="none"/>
        </w:rPr>
        <w:t>、“三会一课”、党员志愿者、看望慰问困难教师退休教师等活动，</w:t>
      </w:r>
      <w:r>
        <w:rPr>
          <w:rFonts w:hint="eastAsia" w:ascii="仿宋" w:hAnsi="仿宋" w:eastAsia="仿宋" w:cs="仿宋"/>
          <w:b w:val="0"/>
          <w:bCs w:val="0"/>
          <w:color w:val="auto"/>
          <w:sz w:val="32"/>
          <w:szCs w:val="32"/>
          <w:highlight w:val="none"/>
          <w:lang w:eastAsia="zh-CN"/>
        </w:rPr>
        <w:t>抓实党员教师“三个一”活动，</w:t>
      </w:r>
      <w:r>
        <w:rPr>
          <w:rFonts w:hint="eastAsia" w:ascii="仿宋" w:hAnsi="仿宋" w:eastAsia="仿宋" w:cs="仿宋"/>
          <w:b w:val="0"/>
          <w:bCs w:val="0"/>
          <w:color w:val="auto"/>
          <w:sz w:val="32"/>
          <w:szCs w:val="32"/>
          <w:highlight w:val="none"/>
        </w:rPr>
        <w:t>加强思政教育，凝聚干群力量，彰显组织关怀。</w:t>
      </w:r>
      <w:r>
        <w:rPr>
          <w:rFonts w:hint="eastAsia" w:ascii="仿宋" w:hAnsi="仿宋" w:eastAsia="仿宋" w:cs="仿宋"/>
          <w:b w:val="0"/>
          <w:bCs w:val="0"/>
          <w:color w:val="auto"/>
          <w:sz w:val="32"/>
          <w:szCs w:val="32"/>
          <w:highlight w:val="none"/>
          <w:lang w:eastAsia="zh-CN"/>
        </w:rPr>
        <w:t>充分利用学校支部、工会、德育处建立健全“转作风、促效益、提质量”各项制度，全年开展专题学习近</w:t>
      </w:r>
      <w:r>
        <w:rPr>
          <w:rFonts w:hint="eastAsia" w:ascii="仿宋" w:hAnsi="仿宋" w:eastAsia="仿宋" w:cs="仿宋"/>
          <w:b w:val="0"/>
          <w:bCs w:val="0"/>
          <w:color w:val="auto"/>
          <w:sz w:val="32"/>
          <w:szCs w:val="32"/>
          <w:highlight w:val="none"/>
          <w:lang w:val="en-US" w:eastAsia="zh-CN"/>
        </w:rPr>
        <w:t>20次，开展警示教育2次、专项整治活动4次、支部书记谈心谈话活动12人次。充分利用例会学习、学校广播、QQ群、微信群强化舆论引导。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（二）新冠疫情防控到位。</w:t>
      </w:r>
      <w:r>
        <w:rPr>
          <w:rFonts w:hint="eastAsia" w:ascii="仿宋" w:hAnsi="仿宋" w:eastAsia="仿宋" w:cs="仿宋"/>
          <w:b w:val="0"/>
          <w:bCs w:val="0"/>
          <w:color w:val="auto"/>
          <w:sz w:val="32"/>
          <w:szCs w:val="32"/>
          <w:highlight w:val="none"/>
        </w:rPr>
        <w:t>成立疫情防控工作领导小组，制定“两案九制”，明确疫情报告人，按教育局要求及时组织排查、上报师生疫区人员接触史情况，组织师生开展教育系统新冠肺炎疫情防控技术培训、“疫情防控卫生员”培训和“广元健康通”注册填报；按要求落实疫情防控及季节性传染病“日报告”“零报告”制度，每日按时填报省教育厅教育疫情系统、向教育局报告师生在校健康状况及出返广情况；按错时错峰要求制定并落实接送学生返校离校、就餐就寝、课间监管等日常“网格化”管理制度；落实教育局下发的各级各部门疫情防控工作文件，按要求常态化做好线上线下师生疫情防控知识宣讲、“三检”、地面物面消毒和通风换气工作，学校未出现疫情安全事故。</w:t>
      </w:r>
    </w:p>
    <w:p>
      <w:pPr>
        <w:pStyle w:val="2"/>
        <w:ind w:firstLine="640" w:firstLineChars="20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eastAsia="zh-CN"/>
        </w:rPr>
        <w:t>（三）抓生源巩固和宣传工作卓有成效。通过教师家访、视频家长会、美篇等途径，宣传</w:t>
      </w:r>
      <w:r>
        <w:rPr>
          <w:rFonts w:hint="eastAsia" w:ascii="仿宋" w:hAnsi="仿宋" w:eastAsia="仿宋" w:cs="仿宋"/>
          <w:b w:val="0"/>
          <w:bCs w:val="0"/>
          <w:color w:val="auto"/>
          <w:sz w:val="32"/>
          <w:szCs w:val="32"/>
          <w:highlight w:val="none"/>
        </w:rPr>
        <w:t>学校的发展规划、办学思路、办学业绩和各级政府、教育主管部门对</w:t>
      </w:r>
      <w:r>
        <w:rPr>
          <w:rFonts w:hint="eastAsia" w:ascii="仿宋" w:hAnsi="仿宋" w:eastAsia="仿宋" w:cs="仿宋"/>
          <w:b w:val="0"/>
          <w:bCs w:val="0"/>
          <w:color w:val="auto"/>
          <w:sz w:val="32"/>
          <w:szCs w:val="32"/>
          <w:highlight w:val="none"/>
          <w:lang w:eastAsia="zh-CN"/>
        </w:rPr>
        <w:t>乡村</w:t>
      </w:r>
      <w:r>
        <w:rPr>
          <w:rFonts w:hint="eastAsia" w:ascii="仿宋" w:hAnsi="仿宋" w:eastAsia="仿宋" w:cs="仿宋"/>
          <w:b w:val="0"/>
          <w:bCs w:val="0"/>
          <w:color w:val="auto"/>
          <w:sz w:val="32"/>
          <w:szCs w:val="32"/>
          <w:highlight w:val="none"/>
        </w:rPr>
        <w:t>教育的支持</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营造良好的舆论环境和文化氛围</w:t>
      </w:r>
      <w:r>
        <w:rPr>
          <w:rFonts w:hint="eastAsia" w:ascii="仿宋" w:hAnsi="仿宋" w:eastAsia="仿宋" w:cs="仿宋"/>
          <w:b w:val="0"/>
          <w:bCs w:val="0"/>
          <w:color w:val="auto"/>
          <w:sz w:val="32"/>
          <w:szCs w:val="32"/>
          <w:highlight w:val="none"/>
          <w:lang w:eastAsia="zh-CN"/>
        </w:rPr>
        <w:t>。本年度学校动员外县区招生</w:t>
      </w:r>
      <w:r>
        <w:rPr>
          <w:rFonts w:hint="eastAsia" w:ascii="仿宋" w:hAnsi="仿宋" w:eastAsia="仿宋" w:cs="仿宋"/>
          <w:b w:val="0"/>
          <w:bCs w:val="0"/>
          <w:color w:val="auto"/>
          <w:sz w:val="32"/>
          <w:szCs w:val="32"/>
          <w:highlight w:val="none"/>
          <w:lang w:val="en-US" w:eastAsia="zh-CN"/>
        </w:rPr>
        <w:t>1人，学校招生范围内义务教育生源稳固，未有流失。信息报送有专人负责，全年在各级各类报刊及媒体平台刊发教育宣传信息107条，在昭化教育微信公众号上报道69条，在留守儿童报上报道7条，在党政理论网上报道31条，在学习强国上报道1条，全面完成信息宣传、教育报刊征订任务。</w:t>
      </w: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3"/>
        <w:ind w:right="440"/>
        <w:jc w:val="center"/>
        <w:rPr>
          <w:rStyle w:val="30"/>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30"/>
          <w:rFonts w:hint="eastAsia" w:ascii="黑体" w:hAnsi="黑体" w:eastAsia="黑体"/>
          <w:b w:val="0"/>
          <w:bCs/>
          <w:color w:val="auto"/>
          <w:highlight w:val="none"/>
        </w:rPr>
        <w:t>单位决算情况说明</w:t>
      </w:r>
      <w:bookmarkEnd w:id="16"/>
      <w:bookmarkEnd w:id="17"/>
    </w:p>
    <w:p>
      <w:pPr>
        <w:rPr>
          <w:color w:val="auto"/>
          <w:highlight w:val="none"/>
        </w:rPr>
      </w:pP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518.28</w:t>
      </w:r>
      <w:r>
        <w:rPr>
          <w:rFonts w:hint="eastAsia" w:ascii="仿宋" w:hAnsi="仿宋" w:eastAsia="仿宋"/>
          <w:color w:val="auto"/>
          <w:sz w:val="32"/>
          <w:szCs w:val="32"/>
          <w:highlight w:val="none"/>
        </w:rPr>
        <w:t>万元。与2020年相比，收、支总计各</w:t>
      </w:r>
      <w:r>
        <w:rPr>
          <w:rFonts w:hint="eastAsia" w:ascii="仿宋" w:hAnsi="仿宋" w:eastAsia="仿宋"/>
          <w:color w:val="auto"/>
          <w:sz w:val="32"/>
          <w:szCs w:val="32"/>
          <w:highlight w:val="none"/>
          <w:lang w:eastAsia="zh-CN"/>
        </w:rPr>
        <w:t>减少58.17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下降10.09%</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基本支出和项目支出减少</w:t>
      </w:r>
      <w:r>
        <w:rPr>
          <w:rFonts w:hint="eastAsia" w:ascii="仿宋" w:hAnsi="仿宋" w:eastAsia="仿宋"/>
          <w:color w:val="auto"/>
          <w:sz w:val="32"/>
          <w:szCs w:val="32"/>
          <w:highlight w:val="none"/>
        </w:rPr>
        <w:t>。</w:t>
      </w:r>
    </w:p>
    <w:p>
      <w:pPr>
        <w:pStyle w:val="29"/>
        <w:numPr>
          <w:ilvl w:val="0"/>
          <w:numId w:val="2"/>
        </w:numPr>
        <w:spacing w:line="600" w:lineRule="exact"/>
        <w:ind w:firstLineChars="0"/>
        <w:outlineLvl w:val="1"/>
        <w:rPr>
          <w:rStyle w:val="31"/>
          <w:rFonts w:ascii="黑体" w:hAnsi="黑体" w:eastAsia="黑体"/>
          <w:b w:val="0"/>
          <w:color w:val="auto"/>
          <w:highlight w:val="none"/>
        </w:rPr>
      </w:pPr>
      <w:bookmarkStart w:id="20" w:name="_Toc15396604"/>
      <w:bookmarkStart w:id="21" w:name="_Toc15377206"/>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1"/>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518.28</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518.28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w:t>
      </w:r>
    </w:p>
    <w:p>
      <w:pPr>
        <w:pStyle w:val="2"/>
        <w:rPr>
          <w:rFonts w:hint="eastAsia"/>
          <w:color w:val="auto"/>
          <w:highlight w:val="none"/>
        </w:rPr>
      </w:pPr>
    </w:p>
    <w:p>
      <w:pPr>
        <w:pStyle w:val="17"/>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7"/>
        <w:ind w:left="0" w:leftChars="0" w:firstLine="640" w:firstLineChars="200"/>
        <w:rPr>
          <w:rStyle w:val="31"/>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1"/>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518.28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328.28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63.34%</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190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36.66%</w:t>
      </w:r>
      <w:r>
        <w:rPr>
          <w:rFonts w:hint="eastAsia" w:ascii="仿宋" w:hAnsi="仿宋" w:eastAsia="仿宋"/>
          <w:color w:val="auto"/>
          <w:sz w:val="32"/>
          <w:szCs w:val="32"/>
          <w:highlight w:val="none"/>
        </w:rPr>
        <w:t>。</w:t>
      </w:r>
    </w:p>
    <w:p>
      <w:pPr>
        <w:spacing w:line="600" w:lineRule="exact"/>
        <w:ind w:firstLine="640" w:firstLineChars="200"/>
        <w:outlineLvl w:val="1"/>
        <w:rPr>
          <w:rStyle w:val="31"/>
          <w:rFonts w:ascii="黑体" w:hAnsi="黑体" w:eastAsia="黑体"/>
          <w:b w:val="0"/>
          <w:color w:val="auto"/>
          <w:highlight w:val="none"/>
        </w:rPr>
      </w:pPr>
      <w:bookmarkStart w:id="24" w:name="_Toc15377208"/>
      <w:bookmarkStart w:id="25" w:name="_Toc15396606"/>
      <w:r>
        <w:rPr>
          <w:rFonts w:hint="eastAsia" w:ascii="黑体" w:hAnsi="黑体" w:eastAsia="黑体"/>
          <w:color w:val="auto"/>
          <w:sz w:val="32"/>
          <w:szCs w:val="32"/>
          <w:highlight w:val="none"/>
        </w:rPr>
        <w:t>四、财</w:t>
      </w:r>
      <w:r>
        <w:rPr>
          <w:rStyle w:val="31"/>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518.28</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eastAsia="zh-CN"/>
        </w:rPr>
        <w:t>减少58.17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下降10.09%</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基本支出和项目支出减少</w:t>
      </w:r>
      <w:r>
        <w:rPr>
          <w:rFonts w:hint="eastAsia" w:ascii="仿宋" w:hAnsi="仿宋" w:eastAsia="仿宋"/>
          <w:color w:val="auto"/>
          <w:sz w:val="32"/>
          <w:szCs w:val="32"/>
          <w:highlight w:val="none"/>
        </w:rPr>
        <w:t>。</w:t>
      </w:r>
    </w:p>
    <w:p>
      <w:pPr>
        <w:pStyle w:val="17"/>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outlineLvl w:val="1"/>
        <w:rPr>
          <w:rStyle w:val="31"/>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default" w:ascii="仿宋" w:hAnsi="仿宋" w:eastAsia="仿宋"/>
          <w:b/>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518.28</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576.45</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eastAsia="zh-CN"/>
        </w:rPr>
        <w:t>减少58.17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下降10.09%</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基本支出和项目支出减少</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518.28</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518.28</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7444"/>
      <w:bookmarkStart w:id="32" w:name="_Toc15378460"/>
      <w:bookmarkStart w:id="33" w:name="_Toc15377213"/>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518.28万元</w:t>
      </w:r>
      <w:r>
        <w:rPr>
          <w:rFonts w:hint="eastAsia" w:ascii="仿宋" w:hAnsi="仿宋" w:eastAsia="仿宋"/>
          <w:color w:val="auto"/>
          <w:sz w:val="32"/>
          <w:szCs w:val="32"/>
          <w:highlight w:val="none"/>
        </w:rPr>
        <w:t>，</w:t>
      </w:r>
      <w:r>
        <w:rPr>
          <w:rStyle w:val="20"/>
          <w:rFonts w:hint="eastAsia" w:ascii="仿宋" w:hAnsi="仿宋" w:eastAsia="仿宋"/>
          <w:bCs/>
          <w:color w:val="auto"/>
          <w:sz w:val="32"/>
          <w:szCs w:val="32"/>
          <w:highlight w:val="none"/>
        </w:rPr>
        <w:t>完成预算100</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20"/>
          <w:rFonts w:hint="eastAsia" w:ascii="仿宋" w:hAnsi="仿宋" w:eastAsia="仿宋"/>
          <w:bCs/>
          <w:color w:val="auto"/>
          <w:sz w:val="32"/>
          <w:szCs w:val="32"/>
          <w:highlight w:val="none"/>
        </w:rPr>
        <w:t>1.教育205（类）普通教育02（款）小学教育02（项）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328.28</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spacing w:line="600" w:lineRule="exact"/>
        <w:ind w:firstLine="643" w:firstLineChars="200"/>
        <w:rPr>
          <w:rStyle w:val="20"/>
          <w:rFonts w:ascii="仿宋" w:hAnsi="仿宋" w:eastAsia="仿宋"/>
          <w:b w:val="0"/>
          <w:bCs/>
          <w:color w:val="auto"/>
          <w:sz w:val="32"/>
          <w:szCs w:val="32"/>
          <w:highlight w:val="none"/>
        </w:rPr>
      </w:pPr>
      <w:r>
        <w:rPr>
          <w:rStyle w:val="20"/>
          <w:rFonts w:hint="eastAsia" w:ascii="仿宋" w:hAnsi="仿宋" w:eastAsia="仿宋"/>
          <w:bCs/>
          <w:color w:val="auto"/>
          <w:sz w:val="32"/>
          <w:szCs w:val="32"/>
          <w:highlight w:val="none"/>
        </w:rPr>
        <w:t>2</w:t>
      </w:r>
      <w:r>
        <w:rPr>
          <w:rStyle w:val="20"/>
          <w:rFonts w:ascii="仿宋" w:hAnsi="仿宋" w:eastAsia="仿宋"/>
          <w:bCs/>
          <w:color w:val="auto"/>
          <w:sz w:val="32"/>
          <w:szCs w:val="32"/>
          <w:highlight w:val="none"/>
        </w:rPr>
        <w:t>.</w:t>
      </w:r>
      <w:r>
        <w:rPr>
          <w:rStyle w:val="20"/>
          <w:rFonts w:hint="eastAsia" w:ascii="仿宋" w:hAnsi="仿宋" w:eastAsia="仿宋"/>
          <w:bCs/>
          <w:color w:val="auto"/>
          <w:sz w:val="32"/>
          <w:szCs w:val="32"/>
          <w:highlight w:val="none"/>
        </w:rPr>
        <w:t>教育205（类）</w:t>
      </w:r>
      <w:r>
        <w:rPr>
          <w:rStyle w:val="20"/>
          <w:rFonts w:hint="eastAsia" w:ascii="仿宋" w:hAnsi="仿宋" w:eastAsia="仿宋"/>
          <w:bCs/>
          <w:color w:val="auto"/>
          <w:sz w:val="32"/>
          <w:szCs w:val="32"/>
          <w:highlight w:val="none"/>
          <w:lang w:eastAsia="zh-CN"/>
        </w:rPr>
        <w:t>普通教育</w:t>
      </w:r>
      <w:r>
        <w:rPr>
          <w:rStyle w:val="20"/>
          <w:rFonts w:hint="eastAsia" w:ascii="仿宋" w:hAnsi="仿宋" w:eastAsia="仿宋"/>
          <w:bCs/>
          <w:color w:val="auto"/>
          <w:sz w:val="32"/>
          <w:szCs w:val="32"/>
          <w:highlight w:val="none"/>
        </w:rPr>
        <w:t>0</w:t>
      </w:r>
      <w:r>
        <w:rPr>
          <w:rStyle w:val="20"/>
          <w:rFonts w:hint="eastAsia" w:ascii="仿宋" w:hAnsi="仿宋" w:eastAsia="仿宋"/>
          <w:bCs/>
          <w:color w:val="auto"/>
          <w:sz w:val="32"/>
          <w:szCs w:val="32"/>
          <w:highlight w:val="none"/>
          <w:lang w:val="en-US" w:eastAsia="zh-CN"/>
        </w:rPr>
        <w:t>2</w:t>
      </w:r>
      <w:r>
        <w:rPr>
          <w:rStyle w:val="20"/>
          <w:rFonts w:hint="eastAsia" w:ascii="仿宋" w:hAnsi="仿宋" w:eastAsia="仿宋"/>
          <w:bCs/>
          <w:color w:val="auto"/>
          <w:sz w:val="32"/>
          <w:szCs w:val="32"/>
          <w:highlight w:val="none"/>
        </w:rPr>
        <w:t>（款）</w:t>
      </w:r>
      <w:r>
        <w:rPr>
          <w:rStyle w:val="20"/>
          <w:rFonts w:hint="eastAsia" w:ascii="仿宋" w:hAnsi="仿宋" w:eastAsia="仿宋"/>
          <w:bCs/>
          <w:color w:val="auto"/>
          <w:sz w:val="32"/>
          <w:szCs w:val="32"/>
          <w:highlight w:val="none"/>
          <w:lang w:eastAsia="zh-CN"/>
        </w:rPr>
        <w:t>其他普通教育</w:t>
      </w:r>
      <w:r>
        <w:rPr>
          <w:rStyle w:val="20"/>
          <w:rFonts w:hint="eastAsia" w:ascii="仿宋" w:hAnsi="仿宋" w:eastAsia="仿宋"/>
          <w:bCs/>
          <w:color w:val="auto"/>
          <w:sz w:val="32"/>
          <w:szCs w:val="32"/>
          <w:highlight w:val="none"/>
          <w:lang w:val="en-US" w:eastAsia="zh-CN"/>
        </w:rPr>
        <w:t>99</w:t>
      </w:r>
      <w:r>
        <w:rPr>
          <w:rStyle w:val="20"/>
          <w:rFonts w:hint="eastAsia" w:ascii="仿宋" w:hAnsi="仿宋" w:eastAsia="仿宋"/>
          <w:bCs/>
          <w:color w:val="auto"/>
          <w:sz w:val="32"/>
          <w:szCs w:val="32"/>
          <w:highlight w:val="none"/>
        </w:rPr>
        <w:t>（项）</w:t>
      </w:r>
      <w:r>
        <w:rPr>
          <w:rStyle w:val="20"/>
          <w:rFonts w:ascii="仿宋" w:hAnsi="仿宋" w:eastAsia="仿宋"/>
          <w:bCs/>
          <w:color w:val="auto"/>
          <w:sz w:val="32"/>
          <w:szCs w:val="32"/>
          <w:highlight w:val="none"/>
        </w:rPr>
        <w:t>:</w:t>
      </w:r>
      <w:r>
        <w:rPr>
          <w:rStyle w:val="20"/>
          <w:rFonts w:ascii="仿宋" w:hAnsi="仿宋" w:eastAsia="仿宋"/>
          <w:b w:val="0"/>
          <w:bCs/>
          <w:color w:val="auto"/>
          <w:sz w:val="32"/>
          <w:szCs w:val="32"/>
          <w:highlight w:val="none"/>
        </w:rPr>
        <w:t xml:space="preserve"> </w:t>
      </w:r>
      <w:r>
        <w:rPr>
          <w:rStyle w:val="20"/>
          <w:rFonts w:hint="eastAsia" w:ascii="仿宋" w:hAnsi="仿宋" w:eastAsia="仿宋"/>
          <w:b w:val="0"/>
          <w:bCs/>
          <w:color w:val="auto"/>
          <w:sz w:val="32"/>
          <w:szCs w:val="32"/>
          <w:highlight w:val="none"/>
        </w:rPr>
        <w:t>支出决算为</w:t>
      </w:r>
      <w:r>
        <w:rPr>
          <w:rStyle w:val="20"/>
          <w:rFonts w:hint="eastAsia" w:ascii="仿宋" w:hAnsi="仿宋" w:eastAsia="仿宋"/>
          <w:b w:val="0"/>
          <w:bCs/>
          <w:color w:val="auto"/>
          <w:sz w:val="32"/>
          <w:szCs w:val="32"/>
          <w:highlight w:val="none"/>
          <w:lang w:val="en-US" w:eastAsia="zh-CN"/>
        </w:rPr>
        <w:t>190</w:t>
      </w:r>
      <w:r>
        <w:rPr>
          <w:rStyle w:val="20"/>
          <w:rFonts w:hint="eastAsia" w:ascii="仿宋" w:hAnsi="仿宋" w:eastAsia="仿宋"/>
          <w:b w:val="0"/>
          <w:bCs/>
          <w:color w:val="auto"/>
          <w:sz w:val="32"/>
          <w:szCs w:val="32"/>
          <w:highlight w:val="none"/>
        </w:rPr>
        <w:t>万元，完成预算100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lang w:eastAsia="zh-CN"/>
        </w:rPr>
        <w:t>，</w:t>
      </w:r>
      <w:r>
        <w:rPr>
          <w:rStyle w:val="20"/>
          <w:rFonts w:hint="eastAsia" w:ascii="仿宋" w:hAnsi="仿宋" w:eastAsia="仿宋"/>
          <w:b w:val="0"/>
          <w:bCs/>
          <w:color w:val="auto"/>
          <w:sz w:val="32"/>
          <w:szCs w:val="32"/>
          <w:highlight w:val="none"/>
        </w:rPr>
        <w:t>决算数等于预算数。</w:t>
      </w:r>
    </w:p>
    <w:p>
      <w:pPr>
        <w:pStyle w:val="17"/>
        <w:rPr>
          <w:color w:val="auto"/>
          <w:highlight w:val="none"/>
        </w:rPr>
      </w:pPr>
    </w:p>
    <w:p>
      <w:pPr>
        <w:tabs>
          <w:tab w:val="right" w:pos="8306"/>
        </w:tabs>
        <w:spacing w:line="600" w:lineRule="exact"/>
        <w:ind w:firstLine="640"/>
        <w:outlineLvl w:val="1"/>
        <w:rPr>
          <w:rStyle w:val="31"/>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1"/>
          <w:rFonts w:hint="eastAsia" w:ascii="黑体" w:hAnsi="黑体" w:eastAsia="黑体"/>
          <w:b w:val="0"/>
          <w:color w:val="auto"/>
          <w:highlight w:val="none"/>
        </w:rPr>
        <w:t>般公共预算财政拨款基本支出决算情况说明</w:t>
      </w:r>
      <w:bookmarkEnd w:id="34"/>
      <w:bookmarkEnd w:id="35"/>
      <w:r>
        <w:rPr>
          <w:rStyle w:val="3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328.28</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295.48</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其他社会保障缴费、住房公积金、其他工资福利支出、生活补助、</w:t>
      </w:r>
      <w:r>
        <w:rPr>
          <w:rFonts w:hint="eastAsia" w:ascii="仿宋" w:hAnsi="仿宋" w:eastAsia="仿宋"/>
          <w:color w:val="auto"/>
          <w:sz w:val="32"/>
          <w:szCs w:val="32"/>
          <w:highlight w:val="none"/>
          <w:lang w:eastAsia="zh-CN"/>
        </w:rPr>
        <w:t>助学金、</w:t>
      </w:r>
      <w:r>
        <w:rPr>
          <w:rFonts w:hint="eastAsia" w:ascii="仿宋" w:hAnsi="仿宋" w:eastAsia="仿宋"/>
          <w:color w:val="auto"/>
          <w:sz w:val="32"/>
          <w:szCs w:val="32"/>
          <w:highlight w:val="none"/>
        </w:rPr>
        <w:t>奖励金等。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32.80</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1"/>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1"/>
          <w:rFonts w:hint="eastAsia" w:ascii="黑体" w:hAnsi="黑体" w:eastAsia="黑体"/>
          <w:color w:val="auto"/>
          <w:highlight w:val="none"/>
        </w:rPr>
        <w:t>“</w:t>
      </w:r>
      <w:r>
        <w:rPr>
          <w:rStyle w:val="31"/>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0.59万元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95.16%</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0.59万元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20"/>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3" w:firstLineChars="20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0.59万元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95.16%</w:t>
      </w:r>
      <w:r>
        <w:rPr>
          <w:rFonts w:hint="default" w:ascii="Times New Roman" w:hAnsi="Times New Roman" w:eastAsia="仿宋" w:cs="Times New Roman"/>
          <w:color w:val="auto"/>
          <w:sz w:val="32"/>
          <w:szCs w:val="32"/>
          <w:highlight w:val="none"/>
        </w:rPr>
        <w:t>。</w:t>
      </w:r>
      <w:r>
        <w:rPr>
          <w:rFonts w:hint="eastAsia" w:ascii="仿宋" w:hAnsi="仿宋" w:eastAsia="仿宋" w:cs="仿宋"/>
          <w:color w:val="auto"/>
          <w:sz w:val="32"/>
          <w:szCs w:val="32"/>
          <w:highlight w:val="none"/>
        </w:rPr>
        <w:t>公务接待费支出决算比20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减少0.03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下降4.84</w:t>
      </w:r>
      <w:r>
        <w:rPr>
          <w:rFonts w:hint="eastAsia" w:ascii="仿宋" w:hAnsi="仿宋" w:eastAsia="仿宋" w:cs="仿宋"/>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0.59万元</w:t>
      </w:r>
      <w:r>
        <w:rPr>
          <w:rFonts w:hint="default" w:ascii="Times New Roman" w:hAnsi="Times New Roman" w:eastAsia="仿宋" w:cs="Times New Roman"/>
          <w:color w:val="auto"/>
          <w:sz w:val="32"/>
          <w:szCs w:val="32"/>
          <w:highlight w:val="none"/>
        </w:rPr>
        <w:t>，主要用于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31</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107</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0.59万元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0.1万元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交流0.2万元、</w:t>
      </w:r>
      <w:r>
        <w:rPr>
          <w:rFonts w:hint="eastAsia" w:ascii="仿宋_GB2312" w:eastAsia="仿宋_GB2312"/>
          <w:color w:val="auto"/>
          <w:sz w:val="32"/>
          <w:szCs w:val="32"/>
          <w:highlight w:val="none"/>
          <w:lang w:val="en-US" w:eastAsia="zh-CN"/>
        </w:rPr>
        <w:t>学生活动费及运动会学生用餐、交通费、体检费等0.29万元。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77218"/>
      <w:bookmarkStart w:id="41" w:name="_Toc15396610"/>
    </w:p>
    <w:p>
      <w:pPr>
        <w:spacing w:line="600" w:lineRule="exact"/>
        <w:ind w:firstLine="640"/>
        <w:outlineLvl w:val="1"/>
        <w:rPr>
          <w:rStyle w:val="31"/>
          <w:rFonts w:ascii="黑体" w:hAnsi="黑体" w:eastAsia="黑体"/>
          <w:color w:val="auto"/>
          <w:highlight w:val="none"/>
        </w:rPr>
      </w:pPr>
      <w:r>
        <w:rPr>
          <w:rFonts w:hint="eastAsia" w:ascii="黑体" w:eastAsia="黑体"/>
          <w:color w:val="auto"/>
          <w:sz w:val="32"/>
          <w:szCs w:val="32"/>
          <w:highlight w:val="none"/>
        </w:rPr>
        <w:t>八、</w:t>
      </w:r>
      <w:r>
        <w:rPr>
          <w:rStyle w:val="31"/>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Style w:val="17"/>
        <w:rPr>
          <w:color w:val="auto"/>
          <w:highlight w:val="none"/>
        </w:rPr>
      </w:pPr>
    </w:p>
    <w:p>
      <w:pPr>
        <w:numPr>
          <w:ilvl w:val="0"/>
          <w:numId w:val="3"/>
        </w:numPr>
        <w:spacing w:line="600" w:lineRule="exact"/>
        <w:ind w:firstLine="640"/>
        <w:outlineLvl w:val="1"/>
        <w:rPr>
          <w:rStyle w:val="31"/>
          <w:rFonts w:ascii="黑体" w:hAnsi="黑体" w:eastAsia="黑体"/>
          <w:b w:val="0"/>
          <w:color w:val="auto"/>
          <w:highlight w:val="none"/>
        </w:rPr>
      </w:pPr>
      <w:bookmarkStart w:id="42" w:name="_Toc15377219"/>
      <w:bookmarkStart w:id="43" w:name="_Toc15396611"/>
      <w:r>
        <w:rPr>
          <w:rStyle w:val="31"/>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1"/>
          <w:rFonts w:ascii="黑体" w:hAnsi="黑体" w:eastAsia="黑体"/>
          <w:b w:val="0"/>
          <w:color w:val="auto"/>
          <w:highlight w:val="none"/>
        </w:rPr>
      </w:pPr>
      <w:bookmarkStart w:id="44" w:name="_Toc15396612"/>
      <w:bookmarkStart w:id="45" w:name="_Toc15377221"/>
      <w:r>
        <w:rPr>
          <w:rStyle w:val="31"/>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对追加预算综合楼改造项目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3"/>
        </w:numPr>
        <w:spacing w:line="600" w:lineRule="exact"/>
        <w:ind w:firstLine="640"/>
        <w:outlineLvl w:val="1"/>
        <w:rPr>
          <w:rStyle w:val="31"/>
          <w:rFonts w:ascii="黑体" w:hAnsi="黑体" w:eastAsia="黑体"/>
          <w:b w:val="0"/>
          <w:color w:val="auto"/>
          <w:highlight w:val="none"/>
        </w:rPr>
      </w:pPr>
      <w:r>
        <w:rPr>
          <w:rStyle w:val="31"/>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rPr>
          <w:rFonts w:hint="eastAsia"/>
          <w:color w:val="auto"/>
          <w:highlight w:val="none"/>
        </w:rPr>
      </w:pPr>
    </w:p>
    <w:p>
      <w:pPr>
        <w:numPr>
          <w:ilvl w:val="0"/>
          <w:numId w:val="4"/>
        </w:numPr>
        <w:spacing w:line="600" w:lineRule="exact"/>
        <w:ind w:firstLine="660" w:firstLineChars="150"/>
        <w:jc w:val="center"/>
        <w:outlineLvl w:val="0"/>
        <w:rPr>
          <w:rStyle w:val="30"/>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30"/>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7.教育（类）普通教育（款）其他普通教育（项）：指其他普通教育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17"/>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10.</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8"/>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8"/>
        <w:spacing w:line="560" w:lineRule="exact"/>
        <w:ind w:firstLine="883" w:firstLineChars="200"/>
        <w:jc w:val="center"/>
        <w:rPr>
          <w:rStyle w:val="30"/>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四部分 附件</w:t>
      </w:r>
      <w:bookmarkEnd w:id="52"/>
    </w:p>
    <w:p>
      <w:pPr>
        <w:rPr>
          <w:rFonts w:hint="eastAsia" w:ascii="仿宋_GB2312" w:hAnsi="仿宋_GB2312" w:eastAsia="黑体" w:cs="仿宋_GB2312"/>
          <w:color w:val="auto"/>
          <w:sz w:val="32"/>
          <w:szCs w:val="32"/>
          <w:highlight w:val="none"/>
          <w:lang w:val="en-US" w:eastAsia="zh-CN"/>
        </w:rPr>
      </w:pPr>
      <w:bookmarkStart w:id="53" w:name="_Toc15396618"/>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8"/>
        <w:tblpPr w:leftFromText="180" w:rightFromText="180" w:vertAnchor="text" w:horzAnchor="page" w:tblpX="1702" w:tblpY="109"/>
        <w:tblOverlap w:val="never"/>
        <w:tblW w:w="9219" w:type="dxa"/>
        <w:tblInd w:w="0" w:type="dxa"/>
        <w:tblLayout w:type="fixed"/>
        <w:tblCellMar>
          <w:top w:w="0" w:type="dxa"/>
          <w:left w:w="108" w:type="dxa"/>
          <w:bottom w:w="0" w:type="dxa"/>
          <w:right w:w="108" w:type="dxa"/>
        </w:tblCellMar>
      </w:tblPr>
      <w:tblGrid>
        <w:gridCol w:w="1084"/>
        <w:gridCol w:w="979"/>
        <w:gridCol w:w="1183"/>
        <w:gridCol w:w="2325"/>
        <w:gridCol w:w="1147"/>
        <w:gridCol w:w="2265"/>
        <w:gridCol w:w="236"/>
      </w:tblGrid>
      <w:tr>
        <w:tblPrEx>
          <w:tblCellMar>
            <w:top w:w="0" w:type="dxa"/>
            <w:left w:w="108" w:type="dxa"/>
            <w:bottom w:w="0" w:type="dxa"/>
            <w:right w:w="108" w:type="dxa"/>
          </w:tblCellMar>
        </w:tblPrEx>
        <w:trPr>
          <w:trHeight w:val="583" w:hRule="atLeast"/>
        </w:trPr>
        <w:tc>
          <w:tcPr>
            <w:tcW w:w="8983"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（昭化镇朝阳小学综合楼改造项目）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513" w:hRule="atLeast"/>
        </w:trPr>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360333</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广元市昭化区昭化镇朝阳小学</w:t>
            </w:r>
          </w:p>
        </w:tc>
      </w:tr>
      <w:tr>
        <w:tblPrEx>
          <w:tblCellMar>
            <w:top w:w="0" w:type="dxa"/>
            <w:left w:w="108" w:type="dxa"/>
            <w:bottom w:w="0" w:type="dxa"/>
            <w:right w:w="108" w:type="dxa"/>
          </w:tblCellMar>
        </w:tblPrEx>
        <w:trPr>
          <w:gridAfter w:val="1"/>
          <w:wAfter w:w="236" w:type="dxa"/>
          <w:trHeight w:val="336" w:hRule="atLeast"/>
        </w:trPr>
        <w:tc>
          <w:tcPr>
            <w:tcW w:w="20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190</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190</w:t>
            </w:r>
          </w:p>
        </w:tc>
      </w:tr>
      <w:tr>
        <w:tblPrEx>
          <w:tblCellMar>
            <w:top w:w="0" w:type="dxa"/>
            <w:left w:w="108" w:type="dxa"/>
            <w:bottom w:w="0" w:type="dxa"/>
            <w:right w:w="108" w:type="dxa"/>
          </w:tblCellMar>
        </w:tblPrEx>
        <w:trPr>
          <w:gridAfter w:val="1"/>
          <w:wAfter w:w="236" w:type="dxa"/>
          <w:trHeight w:val="858" w:hRule="atLeast"/>
        </w:trPr>
        <w:tc>
          <w:tcPr>
            <w:tcW w:w="2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190</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190</w:t>
            </w:r>
          </w:p>
        </w:tc>
      </w:tr>
      <w:tr>
        <w:tblPrEx>
          <w:tblCellMar>
            <w:top w:w="0" w:type="dxa"/>
            <w:left w:w="108" w:type="dxa"/>
            <w:bottom w:w="0" w:type="dxa"/>
            <w:right w:w="108" w:type="dxa"/>
          </w:tblCellMar>
        </w:tblPrEx>
        <w:trPr>
          <w:gridAfter w:val="1"/>
          <w:wAfter w:w="236" w:type="dxa"/>
          <w:trHeight w:val="336" w:hRule="atLeast"/>
        </w:trPr>
        <w:tc>
          <w:tcPr>
            <w:tcW w:w="2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17" w:hRule="atLeast"/>
        </w:trPr>
        <w:tc>
          <w:tcPr>
            <w:tcW w:w="10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1018" w:hRule="atLeast"/>
        </w:trPr>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487"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改造面积</w:t>
            </w:r>
            <w:r>
              <w:rPr>
                <w:rFonts w:hint="eastAsia" w:ascii="宋体" w:hAnsi="宋体" w:cs="宋体"/>
                <w:color w:val="auto"/>
                <w:sz w:val="22"/>
                <w:szCs w:val="22"/>
                <w:highlight w:val="none"/>
                <w:lang w:val="en-US" w:eastAsia="zh-CN"/>
              </w:rPr>
              <w:t>2400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412"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0"/>
                <w:szCs w:val="20"/>
                <w:highlight w:val="none"/>
                <w:lang w:eastAsia="zh-CN"/>
              </w:rPr>
              <w:t>完成</w:t>
            </w:r>
            <w:r>
              <w:rPr>
                <w:rFonts w:hint="eastAsia" w:ascii="宋体" w:hAnsi="宋体" w:cs="宋体"/>
                <w:color w:val="auto"/>
                <w:sz w:val="20"/>
                <w:szCs w:val="20"/>
                <w:highlight w:val="none"/>
                <w:lang w:val="en-US" w:eastAsia="zh-CN"/>
              </w:rPr>
              <w:t>2400</w:t>
            </w:r>
            <w:r>
              <w:rPr>
                <w:rFonts w:hint="default" w:ascii="宋体" w:hAnsi="宋体" w:cs="宋体"/>
                <w:color w:val="auto"/>
                <w:sz w:val="20"/>
                <w:szCs w:val="20"/>
                <w:highlight w:val="none"/>
              </w:rPr>
              <w:t>平方米</w:t>
            </w:r>
            <w:r>
              <w:rPr>
                <w:rFonts w:hint="eastAsia" w:ascii="宋体" w:hAnsi="宋体" w:cs="宋体"/>
                <w:color w:val="auto"/>
                <w:sz w:val="20"/>
                <w:szCs w:val="20"/>
                <w:highlight w:val="none"/>
                <w:lang w:eastAsia="zh-CN"/>
              </w:rPr>
              <w:t>的综合楼改造，惠及</w:t>
            </w:r>
            <w:r>
              <w:rPr>
                <w:rFonts w:hint="eastAsia" w:ascii="宋体" w:hAnsi="宋体" w:cs="宋体"/>
                <w:color w:val="auto"/>
                <w:sz w:val="20"/>
                <w:szCs w:val="20"/>
                <w:highlight w:val="none"/>
                <w:lang w:val="en-US" w:eastAsia="zh-CN"/>
              </w:rPr>
              <w:t>61名学生</w:t>
            </w:r>
            <w:r>
              <w:rPr>
                <w:rFonts w:hint="default" w:ascii="宋体" w:hAnsi="宋体" w:cs="宋体"/>
                <w:color w:val="auto"/>
                <w:sz w:val="20"/>
                <w:szCs w:val="20"/>
                <w:highlight w:val="none"/>
              </w:rPr>
              <w:t>改善</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学校办学条件和基础设施配套，提供</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高质量硬件设施设备，营造</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良好的学习氛围</w:t>
            </w:r>
            <w:r>
              <w:rPr>
                <w:rFonts w:hint="eastAsia" w:ascii="宋体" w:hAnsi="宋体" w:cs="宋体"/>
                <w:color w:val="auto"/>
                <w:sz w:val="20"/>
                <w:szCs w:val="20"/>
                <w:highlight w:val="none"/>
                <w:lang w:eastAsia="zh-CN"/>
              </w:rPr>
              <w:t>。</w:t>
            </w:r>
          </w:p>
        </w:tc>
      </w:tr>
      <w:tr>
        <w:tblPrEx>
          <w:tblCellMar>
            <w:top w:w="0" w:type="dxa"/>
            <w:left w:w="108" w:type="dxa"/>
            <w:bottom w:w="0" w:type="dxa"/>
            <w:right w:w="108" w:type="dxa"/>
          </w:tblCellMar>
        </w:tblPrEx>
        <w:trPr>
          <w:gridAfter w:val="1"/>
          <w:wAfter w:w="236" w:type="dxa"/>
          <w:trHeight w:val="658" w:hRule="atLeast"/>
        </w:trPr>
        <w:tc>
          <w:tcPr>
            <w:tcW w:w="108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97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494"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综合楼改造</w:t>
            </w:r>
            <w:r>
              <w:rPr>
                <w:rFonts w:hint="default" w:ascii="仿宋_GB2312" w:hAnsi="仿宋_GB2312" w:eastAsia="仿宋_GB2312" w:cs="仿宋_GB2312"/>
                <w:color w:val="auto"/>
                <w:sz w:val="20"/>
                <w:szCs w:val="20"/>
                <w:highlight w:val="none"/>
              </w:rPr>
              <w:t>面积</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2400m²</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2400m²</w:t>
            </w:r>
          </w:p>
        </w:tc>
      </w:tr>
      <w:tr>
        <w:tblPrEx>
          <w:tblCellMar>
            <w:top w:w="0" w:type="dxa"/>
            <w:left w:w="108" w:type="dxa"/>
            <w:bottom w:w="0" w:type="dxa"/>
            <w:right w:w="108" w:type="dxa"/>
          </w:tblCellMar>
        </w:tblPrEx>
        <w:trPr>
          <w:gridAfter w:val="1"/>
          <w:wAfter w:w="236" w:type="dxa"/>
          <w:trHeight w:val="412"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18"/>
                <w:szCs w:val="18"/>
                <w:highlight w:val="none"/>
                <w:lang w:eastAsia="zh-CN"/>
              </w:rPr>
              <w:t>综合楼改造</w:t>
            </w:r>
            <w:r>
              <w:rPr>
                <w:rFonts w:hint="default" w:ascii="仿宋_GB2312" w:hAnsi="仿宋_GB2312" w:eastAsia="仿宋_GB2312" w:cs="仿宋_GB2312"/>
                <w:color w:val="auto"/>
                <w:sz w:val="18"/>
                <w:szCs w:val="18"/>
                <w:highlight w:val="none"/>
              </w:rPr>
              <w:t>竣工验收合格率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255"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综合楼改造</w:t>
            </w:r>
            <w:r>
              <w:rPr>
                <w:rFonts w:hint="default" w:ascii="仿宋_GB2312" w:hAnsi="仿宋_GB2312" w:eastAsia="仿宋_GB2312" w:cs="仿宋_GB2312"/>
                <w:color w:val="auto"/>
                <w:sz w:val="20"/>
                <w:szCs w:val="20"/>
                <w:highlight w:val="none"/>
              </w:rPr>
              <w:t>质量标准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305"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348"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综合楼改造建设周期</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601"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bookmarkStart w:id="67" w:name="_GoBack"/>
            <w:bookmarkEnd w:id="67"/>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综合楼改造</w:t>
            </w:r>
            <w:r>
              <w:rPr>
                <w:rFonts w:hint="default" w:ascii="仿宋_GB2312" w:hAnsi="仿宋_GB2312" w:eastAsia="仿宋_GB2312" w:cs="仿宋_GB2312"/>
                <w:color w:val="auto"/>
                <w:sz w:val="20"/>
                <w:szCs w:val="20"/>
                <w:highlight w:val="none"/>
              </w:rPr>
              <w:t>类项目每平方米造价</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792元</w:t>
            </w:r>
          </w:p>
        </w:tc>
      </w:tr>
      <w:tr>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513"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2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564" w:hRule="atLeast"/>
        </w:trPr>
        <w:tc>
          <w:tcPr>
            <w:tcW w:w="1084"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18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560" w:hRule="atLeast"/>
        </w:trPr>
        <w:tc>
          <w:tcPr>
            <w:tcW w:w="108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97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18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30"/>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1"/>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1"/>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1"/>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政拨款收入支出决算总表</w:t>
      </w:r>
      <w:bookmarkEnd w:id="57"/>
    </w:p>
    <w:p>
      <w:pPr>
        <w:pStyle w:val="4"/>
        <w:rPr>
          <w:rStyle w:val="31"/>
          <w:rFonts w:ascii="仿宋" w:hAnsi="仿宋" w:eastAsia="仿宋"/>
          <w:b w:val="0"/>
          <w:bCs w:val="0"/>
          <w:color w:val="auto"/>
          <w:highlight w:val="none"/>
        </w:rPr>
      </w:pPr>
      <w:bookmarkStart w:id="58" w:name="_Toc15396623"/>
      <w:r>
        <w:rPr>
          <w:rStyle w:val="3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1"/>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1"/>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1"/>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1"/>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1"/>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1"/>
          <w:rFonts w:hint="eastAsia" w:ascii="仿宋" w:hAnsi="仿宋" w:eastAsia="仿宋"/>
          <w:b w:val="0"/>
          <w:bCs w:val="0"/>
          <w:color w:val="auto"/>
          <w:highlight w:val="none"/>
        </w:rPr>
        <w:t>府性基金预算财政拨款“三公”经费支出决算表</w:t>
      </w:r>
      <w:bookmarkEnd w:id="65"/>
    </w:p>
    <w:p>
      <w:pPr>
        <w:pStyle w:val="4"/>
        <w:rPr>
          <w:rStyle w:val="31"/>
          <w:rFonts w:ascii="仿宋" w:hAnsi="仿宋" w:eastAsia="仿宋"/>
          <w:b w:val="0"/>
          <w:bCs w:val="0"/>
          <w:color w:val="auto"/>
          <w:highlight w:val="none"/>
        </w:rPr>
      </w:pPr>
      <w:bookmarkStart w:id="66" w:name="_Toc15396631"/>
      <w:r>
        <w:rPr>
          <w:rStyle w:val="31"/>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1"/>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1"/>
          <w:rFonts w:hint="eastAsia" w:ascii="仿宋" w:hAnsi="仿宋" w:eastAsia="仿宋"/>
          <w:b w:val="0"/>
          <w:bCs w:val="0"/>
          <w:color w:val="auto"/>
          <w:highlight w:val="none"/>
        </w:rPr>
        <w:t>十四、国有资本经营预算财政拨款支出决算表</w:t>
      </w:r>
    </w:p>
    <w:sectPr>
      <w:footerReference r:id="rId6" w:type="first"/>
      <w:footerReference r:id="rId5" w:type="default"/>
      <w:pgSz w:w="11906" w:h="16838"/>
      <w:pgMar w:top="1440" w:right="1800" w:bottom="1440" w:left="1800" w:header="851" w:footer="992" w:gutter="0"/>
      <w:pgNumType w:fmt="numberInDash" w:start="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lang w:val="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2"/>
                      <w:rPr>
                        <w:rFonts w:hint="default"/>
                        <w:lang w:val="en-US"/>
                      </w:rPr>
                    </w:pP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4A1F"/>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44054"/>
    <w:rsid w:val="02F079B0"/>
    <w:rsid w:val="038D3451"/>
    <w:rsid w:val="06642230"/>
    <w:rsid w:val="077961C6"/>
    <w:rsid w:val="099A2423"/>
    <w:rsid w:val="09BF1E8A"/>
    <w:rsid w:val="09D726B7"/>
    <w:rsid w:val="0A2032A3"/>
    <w:rsid w:val="0B8A37D8"/>
    <w:rsid w:val="0D1A09AB"/>
    <w:rsid w:val="0D58062B"/>
    <w:rsid w:val="0D766D04"/>
    <w:rsid w:val="0DD405FA"/>
    <w:rsid w:val="0E6354DA"/>
    <w:rsid w:val="0EC71F0D"/>
    <w:rsid w:val="0F7F0045"/>
    <w:rsid w:val="10C055FF"/>
    <w:rsid w:val="112C7A85"/>
    <w:rsid w:val="118107EC"/>
    <w:rsid w:val="11DD6519"/>
    <w:rsid w:val="12910332"/>
    <w:rsid w:val="15520056"/>
    <w:rsid w:val="157E27B0"/>
    <w:rsid w:val="16BB723D"/>
    <w:rsid w:val="177D300F"/>
    <w:rsid w:val="18015F3F"/>
    <w:rsid w:val="19314B62"/>
    <w:rsid w:val="1BE8440E"/>
    <w:rsid w:val="1C270474"/>
    <w:rsid w:val="1D155CEE"/>
    <w:rsid w:val="1D70376F"/>
    <w:rsid w:val="20AC520B"/>
    <w:rsid w:val="20F57F95"/>
    <w:rsid w:val="21156B08"/>
    <w:rsid w:val="23066A21"/>
    <w:rsid w:val="23813850"/>
    <w:rsid w:val="240176FA"/>
    <w:rsid w:val="240371BF"/>
    <w:rsid w:val="24D54B4E"/>
    <w:rsid w:val="25551BC9"/>
    <w:rsid w:val="25C741E6"/>
    <w:rsid w:val="277B1EA4"/>
    <w:rsid w:val="27842671"/>
    <w:rsid w:val="28942A08"/>
    <w:rsid w:val="29FD04D3"/>
    <w:rsid w:val="2ABE7A3E"/>
    <w:rsid w:val="2BAE4DE0"/>
    <w:rsid w:val="2BD15D21"/>
    <w:rsid w:val="2C0D4D5A"/>
    <w:rsid w:val="2D0D0FDB"/>
    <w:rsid w:val="2D2B320F"/>
    <w:rsid w:val="2D777E62"/>
    <w:rsid w:val="2E4A6305"/>
    <w:rsid w:val="2EE0388D"/>
    <w:rsid w:val="2EFA178C"/>
    <w:rsid w:val="30B46D73"/>
    <w:rsid w:val="31100374"/>
    <w:rsid w:val="319F7F4E"/>
    <w:rsid w:val="32E05DEF"/>
    <w:rsid w:val="353C0D20"/>
    <w:rsid w:val="38A109B2"/>
    <w:rsid w:val="391A1D33"/>
    <w:rsid w:val="39705BD5"/>
    <w:rsid w:val="39AE70AB"/>
    <w:rsid w:val="3C0C0783"/>
    <w:rsid w:val="3F206990"/>
    <w:rsid w:val="3F795B0E"/>
    <w:rsid w:val="3F9F3A96"/>
    <w:rsid w:val="45BC4ED5"/>
    <w:rsid w:val="462C5BD6"/>
    <w:rsid w:val="46A14816"/>
    <w:rsid w:val="493C27E9"/>
    <w:rsid w:val="496F39ED"/>
    <w:rsid w:val="49FF41D3"/>
    <w:rsid w:val="4A185DC8"/>
    <w:rsid w:val="4BE068DB"/>
    <w:rsid w:val="4BF6002B"/>
    <w:rsid w:val="4ECE2238"/>
    <w:rsid w:val="4F9F38BD"/>
    <w:rsid w:val="4FD61684"/>
    <w:rsid w:val="503645ED"/>
    <w:rsid w:val="508F3649"/>
    <w:rsid w:val="50F61285"/>
    <w:rsid w:val="51DB4B86"/>
    <w:rsid w:val="52CF5BE8"/>
    <w:rsid w:val="52FB5859"/>
    <w:rsid w:val="538925BA"/>
    <w:rsid w:val="547F5A6B"/>
    <w:rsid w:val="55333C3E"/>
    <w:rsid w:val="558E2409"/>
    <w:rsid w:val="571B7CCD"/>
    <w:rsid w:val="58737E60"/>
    <w:rsid w:val="5B1E7D8B"/>
    <w:rsid w:val="5B7B1CE2"/>
    <w:rsid w:val="5BF81770"/>
    <w:rsid w:val="5EEF25B2"/>
    <w:rsid w:val="60A2320D"/>
    <w:rsid w:val="61171596"/>
    <w:rsid w:val="62F53F9E"/>
    <w:rsid w:val="64340620"/>
    <w:rsid w:val="64A80084"/>
    <w:rsid w:val="64CA39A1"/>
    <w:rsid w:val="65B126BB"/>
    <w:rsid w:val="69D312C4"/>
    <w:rsid w:val="6C4A05C8"/>
    <w:rsid w:val="6C6E6699"/>
    <w:rsid w:val="6C9F2CF6"/>
    <w:rsid w:val="6CE80811"/>
    <w:rsid w:val="6EDA0CDC"/>
    <w:rsid w:val="72734D90"/>
    <w:rsid w:val="727D7081"/>
    <w:rsid w:val="72E456B5"/>
    <w:rsid w:val="74E366CA"/>
    <w:rsid w:val="75137DDD"/>
    <w:rsid w:val="79E7B28D"/>
    <w:rsid w:val="7AC82E51"/>
    <w:rsid w:val="7BFA24EA"/>
    <w:rsid w:val="7CAB154F"/>
    <w:rsid w:val="7F9F20EE"/>
    <w:rsid w:val="7FC76394"/>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8"/>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9"/>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ody Text Indent 2"/>
    <w:basedOn w:val="1"/>
    <w:qFormat/>
    <w:uiPriority w:val="0"/>
    <w:pPr>
      <w:spacing w:after="120" w:line="480" w:lineRule="auto"/>
      <w:ind w:left="420" w:leftChars="200" w:firstLine="200" w:firstLineChars="200"/>
    </w:pPr>
    <w:rPr>
      <w:rFonts w:ascii="Times New Roman" w:hAnsi="Times New Roman" w:eastAsia="宋体" w:cs="Times New Roman"/>
      <w:sz w:val="24"/>
      <w:szCs w:val="21"/>
    </w:rPr>
  </w:style>
  <w:style w:type="paragraph" w:styleId="11">
    <w:name w:val="Balloon Text"/>
    <w:basedOn w:val="1"/>
    <w:link w:val="33"/>
    <w:semiHidden/>
    <w:unhideWhenUsed/>
    <w:qFormat/>
    <w:uiPriority w:val="99"/>
    <w:rPr>
      <w:sz w:val="18"/>
      <w:szCs w:val="18"/>
    </w:rPr>
  </w:style>
  <w:style w:type="paragraph" w:styleId="12">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rPr>
      <w:sz w:val="24"/>
    </w:rPr>
  </w:style>
  <w:style w:type="paragraph" w:styleId="17">
    <w:name w:val="Body Text First Indent 2"/>
    <w:basedOn w:val="8"/>
    <w:link w:val="40"/>
    <w:qFormat/>
    <w:uiPriority w:val="99"/>
    <w:pPr>
      <w:ind w:firstLine="420" w:firstLineChars="200"/>
    </w:pPr>
  </w:style>
  <w:style w:type="character" w:styleId="20">
    <w:name w:val="Strong"/>
    <w:basedOn w:val="19"/>
    <w:qFormat/>
    <w:uiPriority w:val="99"/>
    <w:rPr>
      <w:rFonts w:hint="default" w:ascii="Times New Roman" w:hAnsi="Times New Roman" w:cs="Times New Roman"/>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Header Char"/>
    <w:basedOn w:val="19"/>
    <w:semiHidden/>
    <w:qFormat/>
    <w:uiPriority w:val="99"/>
    <w:rPr>
      <w:rFonts w:ascii="Times New Roman" w:hAnsi="Times New Roman"/>
      <w:sz w:val="18"/>
      <w:szCs w:val="18"/>
    </w:rPr>
  </w:style>
  <w:style w:type="character" w:customStyle="1" w:styleId="23">
    <w:name w:val="页眉 Char"/>
    <w:link w:val="13"/>
    <w:semiHidden/>
    <w:qFormat/>
    <w:locked/>
    <w:uiPriority w:val="99"/>
    <w:rPr>
      <w:sz w:val="18"/>
    </w:rPr>
  </w:style>
  <w:style w:type="character" w:customStyle="1" w:styleId="24">
    <w:name w:val="Footer Char"/>
    <w:basedOn w:val="19"/>
    <w:semiHidden/>
    <w:qFormat/>
    <w:uiPriority w:val="99"/>
    <w:rPr>
      <w:rFonts w:ascii="Times New Roman" w:hAnsi="Times New Roman"/>
      <w:sz w:val="18"/>
      <w:szCs w:val="18"/>
    </w:rPr>
  </w:style>
  <w:style w:type="character" w:customStyle="1" w:styleId="25">
    <w:name w:val="页脚 Char"/>
    <w:link w:val="12"/>
    <w:qFormat/>
    <w:locked/>
    <w:uiPriority w:val="99"/>
    <w:rPr>
      <w:sz w:val="18"/>
    </w:rPr>
  </w:style>
  <w:style w:type="character" w:customStyle="1" w:styleId="26">
    <w:name w:val="Body Text Char"/>
    <w:basedOn w:val="19"/>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9"/>
    <w:link w:val="3"/>
    <w:qFormat/>
    <w:uiPriority w:val="9"/>
    <w:rPr>
      <w:rFonts w:ascii="Times New Roman" w:hAnsi="Times New Roman"/>
      <w:b/>
      <w:bCs/>
      <w:kern w:val="44"/>
      <w:sz w:val="44"/>
      <w:szCs w:val="44"/>
    </w:rPr>
  </w:style>
  <w:style w:type="character" w:customStyle="1" w:styleId="31">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9"/>
    <w:link w:val="11"/>
    <w:semiHidden/>
    <w:qFormat/>
    <w:uiPriority w:val="99"/>
    <w:rPr>
      <w:rFonts w:ascii="Times New Roman" w:hAnsi="Times New Roman"/>
      <w:kern w:val="2"/>
      <w:sz w:val="18"/>
      <w:szCs w:val="18"/>
    </w:rPr>
  </w:style>
  <w:style w:type="character" w:customStyle="1" w:styleId="34">
    <w:name w:val="标题 3 Char"/>
    <w:basedOn w:val="19"/>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正文文本 字符"/>
    <w:basedOn w:val="19"/>
    <w:qFormat/>
    <w:uiPriority w:val="0"/>
    <w:rPr>
      <w:kern w:val="2"/>
      <w:sz w:val="21"/>
      <w:szCs w:val="24"/>
    </w:rPr>
  </w:style>
  <w:style w:type="character" w:customStyle="1" w:styleId="37">
    <w:name w:val="标题 2 Char1"/>
    <w:basedOn w:val="19"/>
    <w:link w:val="4"/>
    <w:qFormat/>
    <w:uiPriority w:val="0"/>
    <w:rPr>
      <w:rFonts w:ascii="等线 Light" w:hAnsi="等线 Light" w:eastAsia="等线 Light" w:cs="Times New Roman"/>
      <w:b/>
      <w:bCs/>
      <w:kern w:val="2"/>
      <w:sz w:val="32"/>
      <w:szCs w:val="32"/>
    </w:rPr>
  </w:style>
  <w:style w:type="character" w:customStyle="1" w:styleId="38">
    <w:name w:val="正文文本 Char1"/>
    <w:basedOn w:val="19"/>
    <w:link w:val="2"/>
    <w:qFormat/>
    <w:uiPriority w:val="0"/>
    <w:rPr>
      <w:rFonts w:hint="eastAsia" w:ascii="仿宋_GB2312" w:eastAsia="仿宋_GB2312" w:cs="仿宋_GB2312"/>
      <w:sz w:val="24"/>
    </w:rPr>
  </w:style>
  <w:style w:type="character" w:customStyle="1" w:styleId="39">
    <w:name w:val="正文文本缩进 字符"/>
    <w:basedOn w:val="19"/>
    <w:link w:val="8"/>
    <w:qFormat/>
    <w:uiPriority w:val="0"/>
    <w:rPr>
      <w:rFonts w:hint="default" w:ascii="Times New Roman" w:hAnsi="Times New Roman" w:cs="Times New Roman"/>
      <w:kern w:val="2"/>
      <w:sz w:val="21"/>
      <w:szCs w:val="24"/>
    </w:rPr>
  </w:style>
  <w:style w:type="character" w:customStyle="1" w:styleId="40">
    <w:name w:val="正文首行缩进 2 字符"/>
    <w:basedOn w:val="39"/>
    <w:link w:val="17"/>
    <w:qFormat/>
    <w:uiPriority w:val="0"/>
    <w:rPr>
      <w:rFonts w:hint="default" w:ascii="Times New Roman" w:hAnsi="Times New Roman" w:cs="Times New Roman"/>
      <w:kern w:val="2"/>
      <w:sz w:val="21"/>
      <w:szCs w:val="24"/>
    </w:rPr>
  </w:style>
  <w:style w:type="character" w:customStyle="1" w:styleId="41">
    <w:name w:val="标题 2 字符"/>
    <w:basedOn w:val="19"/>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576.45</c:v>
                </c:pt>
                <c:pt idx="1">
                  <c:v>518.28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576.45</c:v>
                </c:pt>
                <c:pt idx="1">
                  <c:v>518.28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manualLayout>
                  <c:x val="-0.135799829242534"/>
                  <c:y val="-0.0477236007622882"/>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63.34</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135799827618891"/>
                  <c:y val="0.0527095134372548"/>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36.66</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0.6334</c:v>
                </c:pt>
                <c:pt idx="1">
                  <c:v>0.3666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576.45</c:v>
                </c:pt>
                <c:pt idx="1">
                  <c:v>518.28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576.45</c:v>
                </c:pt>
                <c:pt idx="1">
                  <c:v>518.28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576.45</c:v>
                </c:pt>
                <c:pt idx="1">
                  <c:v>518.28</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22</Pages>
  <Words>8237</Words>
  <Characters>8673</Characters>
  <Lines>47</Lines>
  <Paragraphs>13</Paragraphs>
  <TotalTime>6</TotalTime>
  <ScaleCrop>false</ScaleCrop>
  <LinksUpToDate>false</LinksUpToDate>
  <CharactersWithSpaces>8728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2022-09-30T15:30:06Z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161B4D9C0FEF4CC39D997738EAB20BF6</vt:lpwstr>
  </property>
</Properties>
</file>