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193"/>
      <w:bookmarkStart w:id="2" w:name="_Toc15378441"/>
      <w:bookmarkStart w:id="3" w:name="_Toc15377425"/>
      <w:bookmarkStart w:id="4" w:name="_Toc15396597"/>
      <w:bookmarkStart w:id="5" w:name="_Toc15396475"/>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pPr>
        <w:adjustRightInd w:val="0"/>
        <w:snapToGrid w:val="0"/>
        <w:spacing w:line="360" w:lineRule="auto"/>
        <w:jc w:val="center"/>
        <w:outlineLvl w:val="0"/>
        <w:rPr>
          <w:rFonts w:hint="eastAsia" w:ascii="方正小标宋_GBK" w:hAnsi="方正小标宋_GBK" w:eastAsia="方正小标宋_GBK" w:cs="方正小标宋_GBK"/>
          <w:color w:val="auto"/>
          <w:sz w:val="72"/>
          <w:szCs w:val="72"/>
          <w:highlight w:val="none"/>
        </w:rPr>
      </w:pPr>
      <w:bookmarkStart w:id="6" w:name="_Toc15377194"/>
      <w:bookmarkStart w:id="7" w:name="_Toc15377426"/>
      <w:bookmarkStart w:id="8" w:name="_Toc15378442"/>
      <w:bookmarkStart w:id="9" w:name="_Toc15396598"/>
      <w:bookmarkStart w:id="10" w:name="_Toc15396476"/>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w:t>
      </w: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r>
        <w:rPr>
          <w:rFonts w:hint="eastAsia" w:ascii="方正小标宋简体" w:hAnsi="方正小标宋简体" w:eastAsia="方正小标宋简体" w:cs="方正小标宋简体"/>
          <w:color w:val="auto"/>
          <w:sz w:val="72"/>
          <w:szCs w:val="72"/>
          <w:highlight w:val="none"/>
        </w:rPr>
        <w:t>机关幼儿园</w:t>
      </w:r>
      <w:r>
        <w:rPr>
          <w:rFonts w:hint="eastAsia" w:ascii="方正小标宋_GBK" w:hAnsi="方正小标宋_GBK" w:eastAsia="方正小标宋_GBK" w:cs="方正小标宋_GBK"/>
          <w:color w:val="auto"/>
          <w:sz w:val="72"/>
          <w:szCs w:val="72"/>
          <w:highlight w:val="none"/>
        </w:rPr>
        <w:t>单位决算</w:t>
      </w:r>
      <w:bookmarkEnd w:id="6"/>
      <w:bookmarkEnd w:id="7"/>
      <w:bookmarkEnd w:id="8"/>
      <w:bookmarkEnd w:id="9"/>
      <w:bookmarkEnd w:id="10"/>
      <w:bookmarkEnd w:id="11"/>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3"/>
        <w:jc w:val="both"/>
        <w:rPr>
          <w:color w:val="auto"/>
          <w:highlight w:val="none"/>
        </w:rPr>
      </w:pPr>
      <w:bookmarkStart w:id="67" w:name="_GoBack"/>
      <w:bookmarkEnd w:id="67"/>
    </w:p>
    <w:p>
      <w:pPr>
        <w:rPr>
          <w:color w:val="auto"/>
          <w:highlight w:val="none"/>
        </w:rPr>
      </w:pPr>
    </w:p>
    <w:p>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96599"/>
      <w:bookmarkStart w:id="13" w:name="_Toc15377196"/>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3"/>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16</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r>
        <w:rPr>
          <w:rFonts w:hint="eastAsia"/>
          <w:color w:val="auto"/>
          <w:sz w:val="24"/>
          <w:highlight w:val="none"/>
          <w:lang w:val="en-US" w:eastAsia="zh-CN"/>
        </w:rPr>
        <w:tab/>
      </w:r>
      <w:r>
        <w:rPr>
          <w:rFonts w:hint="eastAsia"/>
          <w:color w:val="auto"/>
          <w:sz w:val="24"/>
          <w:highlight w:val="none"/>
          <w:lang w:val="en-US" w:eastAsia="zh-CN"/>
        </w:rPr>
        <w:t>16</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17</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18</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18</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distribute"/>
        <w:rPr>
          <w:rFonts w:hint="default"/>
          <w:color w:val="auto"/>
          <w:sz w:val="24"/>
          <w:highlight w:val="none"/>
          <w:lang w:val="en-US"/>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21</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21</w:t>
      </w:r>
    </w:p>
    <w:p>
      <w:pPr>
        <w:pStyle w:val="13"/>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color w:val="auto"/>
          <w:sz w:val="24"/>
          <w:highlight w:val="none"/>
          <w:lang w:val="en-US" w:eastAsia="zh-CN"/>
        </w:rPr>
        <w:t>22</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color w:val="auto"/>
          <w:sz w:val="24"/>
          <w:highlight w:val="none"/>
          <w:lang w:val="en-US" w:eastAsia="zh-CN"/>
        </w:rPr>
        <w:t>24</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25</w:t>
      </w:r>
    </w:p>
    <w:p>
      <w:pPr>
        <w:pStyle w:val="14"/>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25</w:t>
      </w:r>
      <w:r>
        <w:rPr>
          <w:rFonts w:ascii="仿宋" w:hAnsi="仿宋" w:eastAsia="仿宋"/>
          <w:b/>
          <w:color w:val="auto"/>
          <w:sz w:val="24"/>
          <w:highlight w:val="none"/>
        </w:rPr>
        <w:br w:type="page"/>
      </w:r>
    </w:p>
    <w:p>
      <w:pPr>
        <w:pStyle w:val="3"/>
        <w:jc w:val="center"/>
        <w:rPr>
          <w:rStyle w:val="29"/>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29"/>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4"/>
        <w:numPr>
          <w:ilvl w:val="0"/>
          <w:numId w:val="1"/>
        </w:numPr>
        <w:rPr>
          <w:rStyle w:val="30"/>
          <w:rFonts w:ascii="黑体" w:hAnsi="黑体" w:eastAsia="黑体"/>
          <w:b w:val="0"/>
          <w:bCs w:val="0"/>
          <w:color w:val="auto"/>
          <w:highlight w:val="none"/>
        </w:rPr>
      </w:pPr>
      <w:bookmarkStart w:id="14" w:name="_Toc15396600"/>
      <w:bookmarkStart w:id="15" w:name="_Toc15377197"/>
      <w:r>
        <w:rPr>
          <w:rStyle w:val="30"/>
          <w:rFonts w:hint="eastAsia" w:ascii="黑体" w:hAnsi="黑体" w:eastAsia="黑体"/>
          <w:b w:val="0"/>
          <w:bCs w:val="0"/>
          <w:color w:val="auto"/>
          <w:highlight w:val="none"/>
        </w:rPr>
        <w:t>职能简介</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1.贯彻党的教育方针，坚持社会主义办学方向，实行教育与生产劳动相结合，对幼儿进行德育、智育、体育、美育和劳动等方面的教育。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2.负责配合政府依法动员、组织适龄幼儿入学，严格控制幼儿辍学，依法保证适龄幼儿接受教育。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 并抓好组织实施和落实工作。</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5.负责按照教育主管部门发布的《幼儿园教育指导纲要》、《3-6岁儿童发展指南》， 组织实施保教活动。</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w:t>
      </w:r>
      <w:r>
        <w:rPr>
          <w:rFonts w:hint="eastAsia" w:ascii="仿宋" w:hAnsi="仿宋" w:eastAsia="仿宋" w:cs="仿宋"/>
          <w:color w:val="auto"/>
          <w:sz w:val="32"/>
          <w:szCs w:val="32"/>
          <w:highlight w:val="none"/>
        </w:rPr>
        <w:t>具体管理活动</w:t>
      </w:r>
      <w:r>
        <w:rPr>
          <w:rFonts w:hint="eastAsia" w:ascii="仿宋" w:hAnsi="仿宋" w:eastAsia="仿宋" w:cs="仿宋"/>
          <w:color w:val="auto"/>
          <w:sz w:val="32"/>
          <w:szCs w:val="32"/>
          <w:highlight w:val="none"/>
        </w:rPr>
        <w:t>。</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7.负责科学管理、合理使用学校的设施和经费，并积极筹措资金，改善办学条件。</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8.负责维护学校、师生的合法权益，有权拒绝任何组织和个人对教育教学活动进行非法干扰。</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10.承办上级交办的其他事项。</w:t>
      </w:r>
    </w:p>
    <w:p>
      <w:pPr>
        <w:pStyle w:val="4"/>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pPr>
        <w:spacing w:line="54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的定期开展，让党员岗位职责、党员义务更清晰明确。</w:t>
      </w:r>
      <w:r>
        <w:rPr>
          <w:rFonts w:hint="eastAsia" w:ascii="仿宋" w:hAnsi="仿宋" w:eastAsia="仿宋" w:cs="仿宋"/>
          <w:color w:val="auto"/>
          <w:sz w:val="32"/>
          <w:szCs w:val="32"/>
          <w:highlight w:val="none"/>
        </w:rPr>
        <w:t>一年来，开展教师政策法规集中学习16次（包括党内法规集中学习7次，廉洁整治教育4次），师德师风警示教育3次，人人写有师德师风警示整治心得，人人签有师德师风责任书，师德师风宣誓活动2次，廉政问卷13份，教师表彰3次，法律进校园活动6次。 一年来，支部书记上党课4次，召开支委会8次、党员大会4次，召开党政联席会、各类专题会议等达30余次，谈心谈话47次，让党建工作落到实处。</w:t>
      </w:r>
    </w:p>
    <w:p>
      <w:pPr>
        <w:spacing w:line="540" w:lineRule="exact"/>
        <w:ind w:firstLine="640" w:firstLineChars="200"/>
        <w:jc w:val="left"/>
        <w:rPr>
          <w:rFonts w:ascii="仿宋" w:hAnsi="仿宋" w:eastAsia="仿宋" w:cs="仿宋"/>
          <w:b/>
          <w:bCs/>
          <w:color w:val="auto"/>
          <w:sz w:val="32"/>
          <w:szCs w:val="32"/>
          <w:highlight w:val="none"/>
        </w:rPr>
      </w:pPr>
      <w:r>
        <w:rPr>
          <w:rFonts w:hint="eastAsia" w:ascii="仿宋" w:hAnsi="仿宋" w:eastAsia="仿宋" w:cs="仿宋"/>
          <w:color w:val="auto"/>
          <w:sz w:val="32"/>
          <w:szCs w:val="32"/>
          <w:highlight w:val="none"/>
        </w:rPr>
        <w:t>结合“干部纪律作风整顿暨以案促改”警示教育工作。我园针对典型案例，剖析问题查找原因，组织全园教职工开展以案促改自查剖析、认真反思、谈心谈话、分组讨论、集中整改等系列工作。我们举一反三，认真剖析,全面查摆自身存在的作风纪律12个方面、以案促改的6个方面问题，共收集自查自纠材料28份，自查整改报告28份。通过支部、行政班子和教师意见收集，梳理出目前我园领导班子纪律作风问题7个，“以案促改”问题2个，教职工作风纪律问题9个，“以案促改”问题3个。根据查摆出的问题，积极提出整改措施10余条，并在有效的时间内积极整改销号。通过一系列的活动的开展，</w:t>
      </w:r>
      <w:r>
        <w:rPr>
          <w:rFonts w:hint="eastAsia" w:ascii="仿宋" w:hAnsi="仿宋" w:eastAsia="仿宋" w:cs="仿宋"/>
          <w:color w:val="auto"/>
          <w:sz w:val="32"/>
          <w:szCs w:val="32"/>
          <w:highlight w:val="none"/>
        </w:rPr>
        <w:t>让我们这支</w:t>
      </w:r>
      <w:r>
        <w:rPr>
          <w:rFonts w:hint="eastAsia" w:ascii="仿宋" w:hAnsi="仿宋" w:eastAsia="仿宋"/>
          <w:color w:val="auto"/>
          <w:sz w:val="32"/>
          <w:szCs w:val="32"/>
          <w:highlight w:val="none"/>
        </w:rPr>
        <w:t>充满朝气、满怀激情、敬业乐教、富有正能量的幼教团队更具活力。</w:t>
      </w:r>
    </w:p>
    <w:p>
      <w:pPr>
        <w:spacing w:line="540" w:lineRule="exact"/>
        <w:ind w:left="630"/>
        <w:jc w:val="left"/>
        <w:rPr>
          <w:b/>
          <w:bCs/>
          <w:color w:val="auto"/>
          <w:sz w:val="32"/>
          <w:szCs w:val="32"/>
          <w:highlight w:val="none"/>
        </w:rPr>
      </w:pPr>
      <w:r>
        <w:rPr>
          <w:rFonts w:hint="eastAsia" w:ascii="仿宋" w:hAnsi="仿宋" w:eastAsia="仿宋" w:cs="仿宋"/>
          <w:b/>
          <w:bCs/>
          <w:color w:val="auto"/>
          <w:sz w:val="32"/>
          <w:szCs w:val="32"/>
          <w:highlight w:val="none"/>
        </w:rPr>
        <w:t>（二）坚持依法治园</w:t>
      </w:r>
    </w:p>
    <w:p>
      <w:pPr>
        <w:spacing w:line="54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我园在各级教育行政部门的正确领导下，严格贯彻执行党和政府有关教育的法律、法规、方针、政策，进一步端正办园思想，提高学校保教工作质量和办园水平。</w:t>
      </w:r>
      <w:r>
        <w:rPr>
          <w:rFonts w:hint="eastAsia" w:ascii="仿宋" w:hAnsi="仿宋" w:eastAsia="仿宋" w:cs="仿宋"/>
          <w:b/>
          <w:bCs/>
          <w:color w:val="auto"/>
          <w:sz w:val="32"/>
          <w:szCs w:val="32"/>
          <w:highlight w:val="none"/>
        </w:rPr>
        <w:t>一是</w:t>
      </w:r>
      <w:r>
        <w:rPr>
          <w:rFonts w:ascii="仿宋" w:hAnsi="仿宋" w:eastAsia="仿宋" w:cs="仿宋"/>
          <w:color w:val="auto"/>
          <w:sz w:val="32"/>
          <w:szCs w:val="32"/>
          <w:highlight w:val="none"/>
        </w:rPr>
        <w:t>为全面贯彻党的教育方针，落实立德树人根本任务，全面发展素质教育，规范</w:t>
      </w:r>
      <w:r>
        <w:rPr>
          <w:rFonts w:hint="eastAsia" w:ascii="仿宋" w:hAnsi="仿宋" w:eastAsia="仿宋" w:cs="仿宋"/>
          <w:color w:val="auto"/>
          <w:sz w:val="32"/>
          <w:szCs w:val="32"/>
          <w:highlight w:val="none"/>
        </w:rPr>
        <w:t>我园</w:t>
      </w:r>
      <w:r>
        <w:rPr>
          <w:rFonts w:ascii="仿宋" w:hAnsi="仿宋" w:eastAsia="仿宋" w:cs="仿宋"/>
          <w:color w:val="auto"/>
          <w:sz w:val="32"/>
          <w:szCs w:val="32"/>
          <w:highlight w:val="none"/>
        </w:rPr>
        <w:t>办</w:t>
      </w:r>
      <w:r>
        <w:rPr>
          <w:rFonts w:hint="eastAsia" w:ascii="仿宋" w:hAnsi="仿宋" w:eastAsia="仿宋" w:cs="仿宋"/>
          <w:color w:val="auto"/>
          <w:sz w:val="32"/>
          <w:szCs w:val="32"/>
          <w:highlight w:val="none"/>
        </w:rPr>
        <w:t>园</w:t>
      </w:r>
      <w:r>
        <w:rPr>
          <w:rFonts w:ascii="仿宋" w:hAnsi="仿宋" w:eastAsia="仿宋" w:cs="仿宋"/>
          <w:color w:val="auto"/>
          <w:sz w:val="32"/>
          <w:szCs w:val="32"/>
          <w:highlight w:val="none"/>
        </w:rPr>
        <w:t>行为，</w:t>
      </w:r>
      <w:r>
        <w:rPr>
          <w:rFonts w:hint="eastAsia" w:ascii="仿宋" w:hAnsi="仿宋" w:eastAsia="仿宋" w:cs="仿宋"/>
          <w:color w:val="auto"/>
          <w:sz w:val="32"/>
          <w:szCs w:val="32"/>
          <w:highlight w:val="none"/>
        </w:rPr>
        <w:t>坚决抵制小学化倾向，并严格按照</w:t>
      </w:r>
      <w:r>
        <w:rPr>
          <w:rFonts w:ascii="仿宋" w:hAnsi="仿宋" w:eastAsia="仿宋" w:cs="仿宋"/>
          <w:color w:val="auto"/>
          <w:sz w:val="32"/>
          <w:szCs w:val="32"/>
          <w:highlight w:val="none"/>
        </w:rPr>
        <w:t>五项管理工作规范落实幼儿园常规管理，</w:t>
      </w:r>
      <w:r>
        <w:rPr>
          <w:rFonts w:hint="eastAsia" w:ascii="仿宋" w:hAnsi="仿宋" w:eastAsia="仿宋" w:cs="仿宋"/>
          <w:color w:val="auto"/>
          <w:sz w:val="32"/>
          <w:szCs w:val="32"/>
          <w:highlight w:val="none"/>
        </w:rPr>
        <w:t>让</w:t>
      </w:r>
      <w:r>
        <w:rPr>
          <w:rFonts w:ascii="仿宋" w:hAnsi="仿宋" w:eastAsia="仿宋" w:cs="仿宋"/>
          <w:color w:val="auto"/>
          <w:sz w:val="32"/>
          <w:szCs w:val="32"/>
          <w:highlight w:val="none"/>
        </w:rPr>
        <w:t>全园教师提高认识，明确责任，认真贯彻党的教育方针，提升我园的保教质量。</w:t>
      </w:r>
      <w:r>
        <w:rPr>
          <w:rFonts w:hint="eastAsia" w:ascii="仿宋" w:hAnsi="仿宋" w:eastAsia="仿宋" w:cs="仿宋"/>
          <w:b/>
          <w:bCs/>
          <w:color w:val="auto"/>
          <w:sz w:val="32"/>
          <w:szCs w:val="32"/>
          <w:highlight w:val="none"/>
        </w:rPr>
        <w:t>二是</w:t>
      </w:r>
      <w:r>
        <w:rPr>
          <w:rFonts w:hint="eastAsia" w:ascii="仿宋" w:hAnsi="仿宋" w:eastAsia="仿宋" w:cs="仿宋"/>
          <w:color w:val="auto"/>
          <w:sz w:val="32"/>
          <w:szCs w:val="32"/>
          <w:highlight w:val="none"/>
        </w:rPr>
        <w:t>我园认真按照“法律进校园”活动要求，学习宪法和基本法律知识，明确法律赋予的权利和义务，做到知法、守法、护法，组织教师深入学习《新教育法》、《教师法》、《幼儿园教师违反职业道德行为处理办法》、《未成年保护法》、《新安全法》等与幼儿园管理工作密切相关的法律法规、工作条例，同时聘请法治副校长到园对全园教职工开展预防电信诈骗、消防知识及技能培训7次，组织教职工及家长下载“国家反诈中心APP”、“全民消防安全学习平台”共3000余人次，发放预防网络诈骗宣传单820余份，利用QQ群美篇开展“预防森林火灾 守护绿色家园”、“交通安全教育”宣传，阅读量均达到1000余次，大大提升了师生及家长安全自护意识。</w:t>
      </w:r>
      <w:r>
        <w:rPr>
          <w:rFonts w:hint="eastAsia" w:ascii="仿宋" w:hAnsi="仿宋" w:eastAsia="仿宋" w:cs="仿宋"/>
          <w:b/>
          <w:bCs/>
          <w:color w:val="auto"/>
          <w:sz w:val="32"/>
          <w:szCs w:val="32"/>
          <w:highlight w:val="none"/>
        </w:rPr>
        <w:t>三是</w:t>
      </w:r>
      <w:r>
        <w:rPr>
          <w:rFonts w:hint="eastAsia" w:ascii="仿宋" w:hAnsi="仿宋" w:eastAsia="仿宋" w:cs="仿宋"/>
          <w:color w:val="auto"/>
          <w:sz w:val="32"/>
          <w:szCs w:val="32"/>
          <w:highlight w:val="none"/>
        </w:rPr>
        <w:t>强化内控制度，深化参与职能。一年来，由工会牵头，广泛向全园教职工征求了意见和建议，通过教代会讨论通过，完成了对109个原有制度的修改，拟定了14个新的管理制度，出台了区机关幼儿园制度汇编、岗位职责汇编两本管理专册。“三重一大”等重大事项中严格按“三同”操作（同研究、同部署、同落实）。</w:t>
      </w:r>
    </w:p>
    <w:p>
      <w:pPr>
        <w:spacing w:line="540" w:lineRule="exact"/>
        <w:ind w:firstLine="643" w:firstLineChars="200"/>
        <w:jc w:val="left"/>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(三）强化队伍建设</w:t>
      </w:r>
    </w:p>
    <w:p>
      <w:pPr>
        <w:spacing w:line="54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我园认真落实党组织领导下的校（园）长负责制，坚持抓住关键少数，用带头、真诚、包容来抓班子带队伍,使整个班子成为一个和谐的、高效运转的、灵活创新的火车头,带领着党员队伍与全体教职工安全高效的行驶在学前教育的道路上。一年来，通过适时召开的民主生活会，让班子成员在批评与自我批评中审视自我、反思自我、解剖自我、提高自我；坚持一周一次党政联席会议，汇报前期工作情况，研究商讨园内重大工作事项及后期工作安排部署，让幼儿园各项工作公开透明有序有效的开展；坚持每月一次班子学习活动，带头学习政策、法规，每学期带头举办业务讲座，上示范课，带头参加教研等园内活动，给老师们做示范树榜样。一年来，我园以师德师风</w:t>
      </w:r>
      <w:r>
        <w:rPr>
          <w:rFonts w:ascii="仿宋" w:hAnsi="仿宋" w:eastAsia="仿宋" w:cs="仿宋"/>
          <w:color w:val="auto"/>
          <w:sz w:val="32"/>
          <w:szCs w:val="32"/>
          <w:highlight w:val="none"/>
        </w:rPr>
        <w:t>建设</w:t>
      </w:r>
      <w:r>
        <w:rPr>
          <w:rFonts w:hint="eastAsia" w:ascii="仿宋" w:hAnsi="仿宋" w:eastAsia="仿宋" w:cs="仿宋"/>
          <w:color w:val="auto"/>
          <w:sz w:val="32"/>
          <w:szCs w:val="32"/>
          <w:highlight w:val="none"/>
        </w:rPr>
        <w:t>为突破口</w:t>
      </w:r>
      <w:r>
        <w:rPr>
          <w:rFonts w:ascii="仿宋" w:hAnsi="仿宋" w:eastAsia="仿宋" w:cs="仿宋"/>
          <w:color w:val="auto"/>
          <w:sz w:val="32"/>
          <w:szCs w:val="32"/>
          <w:highlight w:val="none"/>
        </w:rPr>
        <w:t>,强化</w:t>
      </w:r>
      <w:r>
        <w:rPr>
          <w:rFonts w:hint="eastAsia" w:ascii="仿宋" w:hAnsi="仿宋" w:eastAsia="仿宋" w:cs="仿宋"/>
          <w:color w:val="auto"/>
          <w:sz w:val="32"/>
          <w:szCs w:val="32"/>
          <w:highlight w:val="none"/>
        </w:rPr>
        <w:t>教师</w:t>
      </w:r>
      <w:r>
        <w:rPr>
          <w:rFonts w:ascii="仿宋" w:hAnsi="仿宋" w:eastAsia="仿宋" w:cs="仿宋"/>
          <w:color w:val="auto"/>
          <w:sz w:val="32"/>
          <w:szCs w:val="32"/>
          <w:highlight w:val="none"/>
        </w:rPr>
        <w:t>职业意识,丰富职业情感,优化职业行为</w:t>
      </w:r>
      <w:r>
        <w:rPr>
          <w:rFonts w:hint="eastAsia" w:ascii="仿宋" w:hAnsi="仿宋" w:eastAsia="仿宋" w:cs="仿宋"/>
          <w:color w:val="auto"/>
          <w:sz w:val="32"/>
          <w:szCs w:val="32"/>
          <w:highlight w:val="none"/>
        </w:rPr>
        <w:t>并严格实施月考核、绩效考核制度</w:t>
      </w:r>
      <w:r>
        <w:rPr>
          <w:rFonts w:ascii="仿宋" w:hAnsi="仿宋" w:eastAsia="仿宋" w:cs="仿宋"/>
          <w:color w:val="auto"/>
          <w:sz w:val="32"/>
          <w:szCs w:val="32"/>
          <w:highlight w:val="none"/>
        </w:rPr>
        <w:t>。建立教师的专业成长规划,</w:t>
      </w:r>
      <w:r>
        <w:rPr>
          <w:rFonts w:hint="eastAsia" w:ascii="仿宋" w:hAnsi="仿宋" w:eastAsia="仿宋" w:cs="仿宋"/>
          <w:color w:val="auto"/>
          <w:sz w:val="32"/>
          <w:szCs w:val="32"/>
          <w:highlight w:val="none"/>
        </w:rPr>
        <w:t>落实好传帮带青蓝结对帮扶工作，</w:t>
      </w:r>
      <w:r>
        <w:rPr>
          <w:rFonts w:ascii="仿宋" w:hAnsi="仿宋" w:eastAsia="仿宋" w:cs="仿宋"/>
          <w:color w:val="auto"/>
          <w:sz w:val="32"/>
          <w:szCs w:val="32"/>
          <w:highlight w:val="none"/>
        </w:rPr>
        <w:t>引导教师把自己的职业生涯置于理性的思考之上,使教师明确其发展的目标,并转化为成长的动力</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同时,</w:t>
      </w:r>
      <w:r>
        <w:rPr>
          <w:rFonts w:hint="eastAsia" w:ascii="仿宋" w:hAnsi="仿宋" w:eastAsia="仿宋" w:cs="仿宋"/>
          <w:color w:val="auto"/>
          <w:sz w:val="32"/>
          <w:szCs w:val="32"/>
          <w:highlight w:val="none"/>
        </w:rPr>
        <w:t>在让班子成员连挂班级，深入一线</w:t>
      </w:r>
      <w:r>
        <w:rPr>
          <w:rFonts w:ascii="仿宋" w:hAnsi="仿宋" w:eastAsia="仿宋" w:cs="仿宋"/>
          <w:color w:val="auto"/>
          <w:sz w:val="32"/>
          <w:szCs w:val="32"/>
          <w:highlight w:val="none"/>
        </w:rPr>
        <w:t>与教职工交流和沟通,</w:t>
      </w:r>
      <w:r>
        <w:rPr>
          <w:rFonts w:hint="eastAsia" w:ascii="仿宋" w:hAnsi="仿宋" w:eastAsia="仿宋" w:cs="仿宋"/>
          <w:color w:val="auto"/>
          <w:sz w:val="32"/>
          <w:szCs w:val="32"/>
          <w:highlight w:val="none"/>
        </w:rPr>
        <w:t>协助班级管理，</w:t>
      </w:r>
      <w:r>
        <w:rPr>
          <w:rFonts w:ascii="仿宋" w:hAnsi="仿宋" w:eastAsia="仿宋" w:cs="仿宋"/>
          <w:color w:val="auto"/>
          <w:sz w:val="32"/>
          <w:szCs w:val="32"/>
          <w:highlight w:val="none"/>
        </w:rPr>
        <w:t>分享她们的成功,倾听她们的建议,力争与她们达到心灵的相通、相融,真正成为他们的合作伙伴,对她们产生持久的激励效应。</w:t>
      </w:r>
      <w:r>
        <w:rPr>
          <w:rFonts w:hint="eastAsia" w:ascii="仿宋" w:hAnsi="仿宋" w:eastAsia="仿宋" w:cs="仿宋"/>
          <w:color w:val="auto"/>
          <w:sz w:val="32"/>
          <w:szCs w:val="32"/>
          <w:highlight w:val="none"/>
        </w:rPr>
        <w:t>将教师关爱落到实处。一年来，看望慰问了困难教职工、生病住院教职工、退休教职工和优秀教职工12次，有效落实了“五必访”温暖工程。组织全园教职工开展了“展示自我 共促成长”的岗位练兵活动，“巾帼跟党走  幼师展风采”庆“三八”才艺展示活动，“红色阅读  百年圆梦”教职工文化建设活动，“夕阳美  幼教情”重阳节老教师文体活动，教职工线上运动会、会员集体生日会等丰富多彩的文体活动，“学先进，树典型，强师德，树形象”为主题的教师节先进人物、先进事迹学习宣讲活动，结合干部纪律整风整顿开展了“好家风”评选和宣讲活动。</w:t>
      </w:r>
      <w:r>
        <w:rPr>
          <w:rFonts w:ascii="仿宋" w:hAnsi="仿宋" w:eastAsia="仿宋" w:cs="仿宋"/>
          <w:color w:val="auto"/>
          <w:sz w:val="32"/>
          <w:szCs w:val="32"/>
          <w:highlight w:val="none"/>
        </w:rPr>
        <w:t>通过</w:t>
      </w:r>
      <w:r>
        <w:rPr>
          <w:rFonts w:hint="eastAsia" w:ascii="仿宋" w:hAnsi="仿宋" w:eastAsia="仿宋" w:cs="仿宋"/>
          <w:color w:val="auto"/>
          <w:sz w:val="32"/>
          <w:szCs w:val="32"/>
          <w:highlight w:val="none"/>
        </w:rPr>
        <w:t>多措并举</w:t>
      </w:r>
      <w:r>
        <w:rPr>
          <w:rFonts w:ascii="仿宋" w:hAnsi="仿宋" w:eastAsia="仿宋" w:cs="仿宋"/>
          <w:color w:val="auto"/>
          <w:sz w:val="32"/>
          <w:szCs w:val="32"/>
          <w:highlight w:val="none"/>
        </w:rPr>
        <w:t>使教师在目标的一致性、价值观的统-性</w:t>
      </w:r>
      <w:r>
        <w:rPr>
          <w:rFonts w:hint="eastAsia" w:ascii="仿宋" w:hAnsi="仿宋" w:eastAsia="仿宋" w:cs="仿宋"/>
          <w:color w:val="auto"/>
          <w:sz w:val="32"/>
          <w:szCs w:val="32"/>
          <w:highlight w:val="none"/>
        </w:rPr>
        <w:t>，</w:t>
      </w:r>
      <w:r>
        <w:rPr>
          <w:rFonts w:ascii="仿宋" w:hAnsi="仿宋" w:eastAsia="仿宋" w:cs="仿宋"/>
          <w:color w:val="auto"/>
          <w:sz w:val="32"/>
          <w:szCs w:val="32"/>
          <w:highlight w:val="none"/>
        </w:rPr>
        <w:t>行为的协调性方面得到明显加强, 增强了教师</w:t>
      </w:r>
      <w:r>
        <w:rPr>
          <w:rFonts w:hint="eastAsia" w:ascii="仿宋" w:hAnsi="仿宋" w:eastAsia="仿宋" w:cs="仿宋"/>
          <w:color w:val="auto"/>
          <w:sz w:val="32"/>
          <w:szCs w:val="32"/>
          <w:highlight w:val="none"/>
        </w:rPr>
        <w:t>团队</w:t>
      </w:r>
      <w:r>
        <w:rPr>
          <w:rFonts w:ascii="仿宋" w:hAnsi="仿宋" w:eastAsia="仿宋" w:cs="仿宋"/>
          <w:color w:val="auto"/>
          <w:sz w:val="32"/>
          <w:szCs w:val="32"/>
          <w:highlight w:val="none"/>
        </w:rPr>
        <w:t>的凝聚力和战斗力。</w:t>
      </w:r>
    </w:p>
    <w:p>
      <w:pPr>
        <w:spacing w:line="540" w:lineRule="exact"/>
        <w:ind w:firstLine="643" w:firstLineChars="200"/>
        <w:jc w:val="left"/>
        <w:rPr>
          <w:rFonts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（四）提升办园质量</w:t>
      </w:r>
    </w:p>
    <w:p>
      <w:pPr>
        <w:spacing w:line="540" w:lineRule="exact"/>
        <w:ind w:firstLine="640" w:firstLineChars="200"/>
        <w:jc w:val="lef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一年来，我园围绕保教中心工作，不断更新工作思路，创新工作方式，提升保教质量，彰显特色亮点。</w:t>
      </w:r>
    </w:p>
    <w:p>
      <w:pPr>
        <w:spacing w:line="540" w:lineRule="exact"/>
        <w:ind w:firstLine="643" w:firstLineChars="200"/>
        <w:rPr>
          <w:rFonts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1.德育活动重引领。</w:t>
      </w:r>
      <w:r>
        <w:rPr>
          <w:rFonts w:hint="eastAsia" w:ascii="仿宋" w:hAnsi="仿宋" w:eastAsia="仿宋" w:cs="仿宋"/>
          <w:color w:val="auto"/>
          <w:sz w:val="32"/>
          <w:szCs w:val="32"/>
          <w:highlight w:val="none"/>
        </w:rPr>
        <w:t>一年来，我园以活动为依托，以节日为契机，开展各种主题活动，潜移默化对幼儿进行品德教育。开展“三八节”、“端午节”、“中秋节”、“教师节”、“国庆节”、“重阳节”等传统节日活动，让幼儿了解中华民族传统文化，传承社会美德。结合庆建党100周年，开展了《学党史 筑信仰》开学第一课，《童心向党》主题升旗仪式，“每月之星”好儿童评选，“抗战小英雄”清明节故事分享会，“童心向党 共筑中国梦”六一亲子活动等大型体验活动，让幼儿通过讲身边的故事，学身边的榜样，培养幼儿爱祖国，爱家乡，爱身边人的良好品质。</w:t>
      </w:r>
    </w:p>
    <w:p>
      <w:pPr>
        <w:spacing w:line="540" w:lineRule="exact"/>
        <w:ind w:firstLine="643" w:firstLineChars="200"/>
        <w:jc w:val="left"/>
        <w:rPr>
          <w:rFonts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2.教学常规重规范。</w:t>
      </w:r>
      <w:r>
        <w:rPr>
          <w:rFonts w:hint="eastAsia" w:ascii="仿宋" w:hAnsi="仿宋" w:eastAsia="仿宋" w:cs="仿宋"/>
          <w:color w:val="auto"/>
          <w:sz w:val="32"/>
          <w:szCs w:val="32"/>
          <w:highlight w:val="none"/>
        </w:rPr>
        <w:t>一年来，我们不断细化管理，提升保教质量。一是强化常规管理。规范制定班务工作计划，幼儿学期发展目标、月计划，科学合理安排幼儿一日活动，保障保教工作的正常有序开展；严格落实班级考核和教学常规量化细则，坚持做到半月一通报，一月一考核，激发教师的工作积极性和主动性。二是拓展课程资源。我园通过主题教育开足开齐五大领域基础课程，通过社团活动、区角活动、户外活动、大型主题活动，引进幼儿篮球和足球、幼儿体能课程，开辟种植园，完善舞蹈、澳尔夫音乐课程设置，美工坊打造等形式拓展课程资源，制定了《昭化区机关幼儿园户外活动课程表》，保证每天2小时的户外活动，1小时的社团活动。一年来，打造幼儿生活区角20个，完成班本课程16个，结合环境提炼优秀游戏4个。三是丰富活动内容。“我是小小消防员”幼儿冬季运动会；“三八节”“植树节”等主题活动，给孩子们搭建了很好的锻炼和展示平台。一年来，全园幼儿健康活泼，积极向上，乐于参加各种活动，讲文明、懂礼貌，表达、表演、动手能力、合作能力大大提高，体质大大增强，幼儿每日出勤率达96％。106名幼儿参加四川省线上亲子运动会，200余名幼儿参加四川省第七届幼儿乐园绘画比赛，27名幼儿参加昭化区第34届科技节幼儿科技绘画比赛，10名幼儿参加第24届推普周“美语”比赛，分别荣获省、市、区一二三等奖160余人次，集体荣获优秀组织奖，可谓硕果累累。</w:t>
      </w:r>
    </w:p>
    <w:p>
      <w:pPr>
        <w:spacing w:line="540" w:lineRule="exact"/>
        <w:ind w:firstLine="643" w:firstLineChars="200"/>
        <w:jc w:val="left"/>
        <w:rPr>
          <w:rFonts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3.教育科研重成效。</w:t>
      </w:r>
      <w:r>
        <w:rPr>
          <w:rFonts w:hint="eastAsia" w:ascii="仿宋" w:hAnsi="仿宋" w:eastAsia="仿宋" w:cs="仿宋"/>
          <w:color w:val="auto"/>
          <w:sz w:val="32"/>
          <w:szCs w:val="32"/>
          <w:highlight w:val="none"/>
        </w:rPr>
        <w:t>一年来，我园创新教育科研工作措施，充分发挥名优骨干教师的示范引领作用，加强了教师培养力度。开展了市区级骨干教师、名教师、名班主任主题教研活动。党员教师、名优骨干教师上示范课8节，新教师展示课堂组织能力上见面课、汇报课15节。外出培训教师回园专题交流4次，园内有针对性开展主题培训4次。全园教师参加了四川省名园长、绵阳花园实验幼儿的线上研讨活动，参加了四川学前教育名园长课程设置、川渝幼儿体育骨干教师培训等，组织本园教师开展幼儿园课程设置、自主游戏的组织和实施策略等有针对性的主题培训等。35人次分别参加广元市教学大比武、四川省优秀论文评选、广元市优秀游戏案例评选，昭化区36届科技节、昭化区艺术节，一等奖20人次，二等奖25人次，三等奖20人次。目前我园成功申报省级课题《幼儿父性教育资源园本开发策略研究》并立项，区级课题《幼小衔接教育园本策略研究》立项并开题。</w:t>
      </w:r>
    </w:p>
    <w:p>
      <w:pPr>
        <w:spacing w:line="540" w:lineRule="exact"/>
        <w:ind w:firstLine="643" w:firstLineChars="200"/>
        <w:rPr>
          <w:color w:val="auto"/>
          <w:sz w:val="32"/>
          <w:szCs w:val="32"/>
          <w:highlight w:val="none"/>
        </w:rPr>
      </w:pPr>
      <w:r>
        <w:rPr>
          <w:rFonts w:hint="eastAsia" w:ascii="仿宋" w:hAnsi="仿宋" w:eastAsia="仿宋" w:cs="仿宋"/>
          <w:b/>
          <w:bCs/>
          <w:color w:val="auto"/>
          <w:sz w:val="32"/>
          <w:szCs w:val="32"/>
          <w:highlight w:val="none"/>
        </w:rPr>
        <w:t>4.安全管理重防范</w:t>
      </w:r>
      <w:r>
        <w:rPr>
          <w:rFonts w:hint="eastAsia" w:ascii="仿宋" w:hAnsi="仿宋" w:eastAsia="仿宋" w:cs="仿宋"/>
          <w:color w:val="auto"/>
          <w:sz w:val="32"/>
          <w:szCs w:val="32"/>
          <w:highlight w:val="none"/>
        </w:rPr>
        <w:t>。本年度安全工作重防范，从细节入手，从长远着眼，</w:t>
      </w:r>
      <w:r>
        <w:rPr>
          <w:rFonts w:hint="eastAsia" w:ascii="仿宋" w:hAnsi="仿宋" w:eastAsia="仿宋" w:cs="仿宋"/>
          <w:color w:val="auto"/>
          <w:sz w:val="32"/>
          <w:szCs w:val="32"/>
          <w:highlight w:val="none"/>
          <w:shd w:val="clear" w:color="auto" w:fill="FFFFFF"/>
        </w:rPr>
        <w:t>强化了幼儿园的安全管理工作。一是做好疫情防控管理。常态防控有序有力。把好出入关，强化</w:t>
      </w:r>
      <w:r>
        <w:rPr>
          <w:rFonts w:hint="eastAsia" w:ascii="仿宋" w:hAnsi="仿宋" w:eastAsia="仿宋" w:cs="仿宋"/>
          <w:color w:val="auto"/>
          <w:sz w:val="32"/>
          <w:szCs w:val="32"/>
          <w:highlight w:val="none"/>
        </w:rPr>
        <w:t>班级消毒，坚持职工入园体温检测，注重三检、因病缺勤跟踪等工作，多措并举全力推进疫苗接种，并适时加大防控政策的宣讲，邀请区疾控中心工作人员进行疫情防控技术培训，针对家长疫情防控美篇宣传6篇，阅读量达4000多次。二是强化安全防范管理。开学前后、每周一及随机开展安全隐患排查40余次，如实记录，及时整改销号备案。完善三防建设，聘请专职保安3名，以值周行政、教师、保安，派出所民警组成护学岗护送幼儿入离园安全，完善校园封闭式管理，增添防撞设施，实行人车分离，确保校园周边安全有序的环境。根据幼儿园实际情况，完成食品、防溺水、交通等24个安全应急预案，编辑成册。扎实开展安全主题教育活动，开展安全教育128节，安全主题教育10余次，提升幼儿的自我保护意识。上传全园师生700余人交通安全台账，开展各类安全演练7次。“小小消防运动会”活动，被昭化区电视台、新闻头条、网易、广元市电视台宣传报道。</w:t>
      </w:r>
    </w:p>
    <w:p>
      <w:pPr>
        <w:spacing w:line="540" w:lineRule="exact"/>
        <w:ind w:firstLine="643" w:firstLineChars="200"/>
        <w:rPr>
          <w:rFonts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5.保育工作重精细。</w:t>
      </w:r>
      <w:r>
        <w:rPr>
          <w:rFonts w:hint="eastAsia" w:ascii="仿宋" w:hAnsi="仿宋" w:eastAsia="仿宋" w:cs="仿宋"/>
          <w:color w:val="auto"/>
          <w:sz w:val="32"/>
          <w:szCs w:val="32"/>
          <w:highlight w:val="none"/>
        </w:rPr>
        <w:t>保育工作是幼儿园工作非常重要的一环，本年度，我们加大了对保育工作的规范化管理力度。一是加强了“一天一检查，一周一汇总，一月一小结”的工作落实力度；二是根据季节变化及时通过美篇、家园联系栏、QQ群等开展10余次疾病预防宣传工作，保证环境洁净舒适。三是按期组织保育工作培训会、工作交流会，不断提升保育员的认识水平、专业能力，强化了保育工作的规范化和精细化管理。</w:t>
      </w:r>
    </w:p>
    <w:p>
      <w:pPr>
        <w:spacing w:line="540" w:lineRule="exact"/>
        <w:ind w:firstLine="643" w:firstLineChars="200"/>
        <w:rPr>
          <w:color w:val="auto"/>
          <w:sz w:val="32"/>
          <w:szCs w:val="32"/>
          <w:highlight w:val="none"/>
        </w:rPr>
      </w:pPr>
      <w:r>
        <w:rPr>
          <w:rFonts w:hint="eastAsia" w:ascii="仿宋" w:hAnsi="仿宋" w:eastAsia="仿宋" w:cs="仿宋"/>
          <w:b/>
          <w:bCs/>
          <w:color w:val="auto"/>
          <w:sz w:val="32"/>
          <w:szCs w:val="32"/>
          <w:highlight w:val="none"/>
        </w:rPr>
        <w:t>6.后勤工作重保障。</w:t>
      </w:r>
      <w:r>
        <w:rPr>
          <w:rFonts w:hint="eastAsia" w:ascii="仿宋" w:hAnsi="仿宋" w:eastAsia="仿宋" w:cs="仿宋"/>
          <w:color w:val="auto"/>
          <w:sz w:val="32"/>
          <w:szCs w:val="32"/>
          <w:highlight w:val="none"/>
        </w:rPr>
        <w:t>一年来，我园严格后勤管理。</w:t>
      </w:r>
      <w:r>
        <w:rPr>
          <w:rFonts w:hint="eastAsia" w:ascii="仿宋" w:hAnsi="仿宋" w:eastAsia="仿宋" w:cs="仿宋"/>
          <w:color w:val="auto"/>
          <w:kern w:val="0"/>
          <w:sz w:val="32"/>
          <w:szCs w:val="32"/>
          <w:highlight w:val="none"/>
        </w:rPr>
        <w:t>制定了《后勤人员考核量化管理细则》。一是严格</w:t>
      </w:r>
      <w:r>
        <w:rPr>
          <w:rFonts w:hint="eastAsia" w:ascii="仿宋" w:hAnsi="仿宋" w:eastAsia="仿宋" w:cs="仿宋"/>
          <w:color w:val="auto"/>
          <w:sz w:val="32"/>
          <w:szCs w:val="32"/>
          <w:highlight w:val="none"/>
        </w:rPr>
        <w:t>财经纪律，认真执行财务管理制度，精打细算，量入而出。二是加强师生膳食管理，科学制定营养食谱，</w:t>
      </w:r>
      <w:r>
        <w:rPr>
          <w:rFonts w:hint="eastAsia" w:ascii="仿宋" w:hAnsi="仿宋" w:eastAsia="仿宋" w:cs="仿宋"/>
          <w:color w:val="auto"/>
          <w:kern w:val="0"/>
          <w:sz w:val="32"/>
          <w:szCs w:val="32"/>
          <w:highlight w:val="none"/>
        </w:rPr>
        <w:t>专人管理食堂，落实食品安全责任，</w:t>
      </w:r>
      <w:r>
        <w:rPr>
          <w:rFonts w:hint="eastAsia" w:ascii="仿宋" w:hAnsi="仿宋" w:eastAsia="仿宋" w:cs="仿宋"/>
          <w:color w:val="auto"/>
          <w:sz w:val="32"/>
          <w:szCs w:val="32"/>
          <w:highlight w:val="none"/>
        </w:rPr>
        <w:t>采购严把质量关，定期市场调研，严格索票索证，严格加工流程；幼儿伙食实行按月预收据实核算，伙食账务日清月结，公开透明。三是及时供给各项办公用品，及时维修教育教学设施设备，保障幼儿园保教工作正常开展。三是学校财产登记造册，责任到人，分类清点，确保财产不闲置，不流失。四是项目工作有效推进，目前楼顶项目已经竣工，峰景园装修和采购都以有序有效推进。</w:t>
      </w:r>
    </w:p>
    <w:p>
      <w:pPr>
        <w:spacing w:line="540" w:lineRule="exact"/>
        <w:ind w:firstLine="643" w:firstLineChars="200"/>
        <w:jc w:val="left"/>
        <w:rPr>
          <w:rFonts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7.家园关系重和谐。</w:t>
      </w:r>
      <w:r>
        <w:rPr>
          <w:rFonts w:hint="eastAsia" w:ascii="仿宋" w:hAnsi="仿宋" w:eastAsia="仿宋" w:cs="仿宋"/>
          <w:color w:val="auto"/>
          <w:sz w:val="32"/>
          <w:szCs w:val="32"/>
          <w:highlight w:val="none"/>
        </w:rPr>
        <w:t>构建良好的家园共育环境是我们常态化的工作。疫情也没能阻隔我们的家园沟通。我们通QQ群、微信群、云直播、微视频等多种渠道，召开期初家长会，新生家长会、亲子半日活动、学前教育宣传活动、幼小衔接研讨会；我们召开线上毕业典礼、线上成果展示、线上亲子运动会；制作美篇活动宣传等，让家园协同教育无缝对接。为提高家长科学育儿水平，组织全园743名家长参与“广元家长网上学堂”专题培训10次，学习科学育儿知识育儿知识和育儿经验。召开第十一届家长委员会，听取家长意见及建议。开展千名教师访万家活动，老师们进社区到乡村，与家长零距离接触，近距离交流，了解情况，征求意见，传递理念，表达关爱。构建了和谐的家园关系，助推了良好的办园环境。</w:t>
      </w:r>
    </w:p>
    <w:p>
      <w:pPr>
        <w:snapToGrid w:val="0"/>
        <w:spacing w:line="540" w:lineRule="exact"/>
        <w:ind w:firstLine="643" w:firstLineChars="200"/>
        <w:rPr>
          <w:rFonts w:ascii="仿宋" w:hAnsi="仿宋" w:eastAsia="仿宋" w:cs="Tahoma"/>
          <w:color w:val="auto"/>
          <w:sz w:val="30"/>
          <w:szCs w:val="30"/>
          <w:highlight w:val="none"/>
        </w:rPr>
      </w:pPr>
      <w:r>
        <w:rPr>
          <w:rFonts w:hint="eastAsia" w:ascii="仿宋" w:hAnsi="仿宋" w:eastAsia="仿宋" w:cs="仿宋"/>
          <w:b/>
          <w:bCs/>
          <w:color w:val="auto"/>
          <w:sz w:val="32"/>
          <w:szCs w:val="32"/>
          <w:highlight w:val="none"/>
        </w:rPr>
        <w:t>8.辐射引领重带动。</w:t>
      </w:r>
      <w:r>
        <w:rPr>
          <w:rFonts w:hint="eastAsia" w:ascii="仿宋" w:hAnsi="仿宋" w:eastAsia="仿宋" w:cs="仿宋"/>
          <w:color w:val="auto"/>
          <w:sz w:val="32"/>
          <w:szCs w:val="32"/>
          <w:highlight w:val="none"/>
        </w:rPr>
        <w:t>为了充分发挥辐射引领作用，全力落实广元市学前教育联盟成员单位、川北幼专实训基地职责，推进课程改革，真正实现资源共享、优势互补、共同提高。幼儿园持续组织名师工作室，劳模创新工作室，党员名优骨干教师深入开展“幼教联盟”手拉手活动，推进“以城带乡”学前教育发展策略落地落实。一是送教送培。我园名师工作室，劳模创新工作室成员一年来分别到石井小学、清水小学、紫云小学、朝阳小学附属幼儿园开展送教送培活动，</w:t>
      </w:r>
      <w:r>
        <w:rPr>
          <w:rFonts w:hint="eastAsia" w:ascii="仿宋" w:hAnsi="仿宋" w:eastAsia="仿宋" w:cs="仿宋"/>
          <w:color w:val="auto"/>
          <w:kern w:val="0"/>
          <w:sz w:val="32"/>
          <w:szCs w:val="32"/>
          <w:highlight w:val="none"/>
        </w:rPr>
        <w:t>推广早操创编方式，教玩具自制技能，社团建设经验，环境打造要领，交流精细化管理模式。工作室成员</w:t>
      </w:r>
      <w:r>
        <w:rPr>
          <w:rFonts w:hint="eastAsia" w:ascii="仿宋" w:hAnsi="仿宋" w:eastAsia="仿宋" w:cs="仿宋"/>
          <w:color w:val="auto"/>
          <w:sz w:val="32"/>
          <w:szCs w:val="32"/>
          <w:highlight w:val="none"/>
        </w:rPr>
        <w:t>上示范课10节、专题讲座3次。二是参观交流。本学年</w:t>
      </w:r>
      <w:r>
        <w:rPr>
          <w:rFonts w:hint="eastAsia" w:ascii="仿宋" w:hAnsi="仿宋" w:eastAsia="仿宋"/>
          <w:bCs/>
          <w:color w:val="auto"/>
          <w:sz w:val="32"/>
          <w:szCs w:val="32"/>
          <w:highlight w:val="none"/>
        </w:rPr>
        <w:t>，柳桥、紫云、石井、太公等5所小学附属幼儿园校园长幼儿园教师共20余人，来园开展了学前教育联盟参观交流活动。本次活动各校校长亲自带队，高度重视，氛围浓烈交流融洽成效显著。</w:t>
      </w:r>
      <w:r>
        <w:rPr>
          <w:rFonts w:hint="eastAsia" w:ascii="仿宋" w:hAnsi="仿宋" w:eastAsia="仿宋" w:cs="仿宋"/>
          <w:color w:val="auto"/>
          <w:sz w:val="32"/>
          <w:szCs w:val="32"/>
          <w:highlight w:val="none"/>
        </w:rPr>
        <w:t>三是科研引领。今年我园在成功申报省级课题并立项后，11月，区级课题《幼小衔接教育园本策略研究》立项并开题，朝阳幼儿园、卫子星光幼儿园、昭化艺术幼儿园等民办园所的园长和教师参加了我园的开题活动，助推了民办园教育科研薄弱环节的改观，</w:t>
      </w:r>
      <w:r>
        <w:rPr>
          <w:rFonts w:hint="eastAsia" w:ascii="仿宋" w:hAnsi="仿宋" w:eastAsia="仿宋"/>
          <w:color w:val="auto"/>
          <w:sz w:val="32"/>
          <w:szCs w:val="32"/>
          <w:highlight w:val="none"/>
        </w:rPr>
        <w:t>有效促进了城乡教育均衡发展。</w:t>
      </w:r>
    </w:p>
    <w:p>
      <w:pPr>
        <w:spacing w:line="540" w:lineRule="exact"/>
        <w:ind w:firstLine="643" w:firstLineChars="200"/>
        <w:rPr>
          <w:rFonts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9.教育宣传重影响。</w:t>
      </w:r>
      <w:r>
        <w:rPr>
          <w:rFonts w:hint="eastAsia" w:ascii="仿宋" w:hAnsi="仿宋" w:eastAsia="仿宋" w:cs="仿宋"/>
          <w:color w:val="auto"/>
          <w:sz w:val="32"/>
          <w:szCs w:val="32"/>
          <w:highlight w:val="none"/>
        </w:rPr>
        <w:t>一年来，我园先后迎接了区政协、人大来园调研、慰问，四川省教育厅来园检查调研。组织了昭化区名师工作推进会，承办了昭化区第24届推普周“三美”评审工作。我园的先进事迹和活动信息，先后被学习强国四川学习平台采纳1条，四川教育1次、四川民生网20 余次、网易新闻10余次、今日头条10余次，广元日报采纳2次，广元教育2次，昭化教育网采纳32条、昭化人民政府网采纳3条、广元市教育网采纳2条、微昭化采纳5条、蜀道昭化采纳化6条。我们的活动，广元电视台报道1次，昭化电视台报道6次。在各级领导的关心指导下，在全园教职工的不懈辛勤努力下，先后获得四川省书法水平测试工作优秀组织奖、四川省第八届幼儿园优秀自制教玩具展评先进集体、四川省优秀教育报刊学刊用刊先进集体、广元市三八红旗集体、广元市“教育宣传工作先进单位”、广元市学校安全管理先进集体、昭化区“目标考核先进单位”、“第24届推普周先进集体”。</w:t>
      </w:r>
    </w:p>
    <w:p>
      <w:pPr>
        <w:pStyle w:val="27"/>
        <w:spacing w:line="540" w:lineRule="exact"/>
        <w:ind w:firstLine="640"/>
        <w:rPr>
          <w:rFonts w:hAnsi="仿宋"/>
          <w:b/>
          <w:bCs/>
          <w:color w:val="auto"/>
          <w:sz w:val="32"/>
          <w:szCs w:val="32"/>
          <w:highlight w:val="none"/>
        </w:rPr>
      </w:pPr>
      <w:r>
        <w:rPr>
          <w:rFonts w:hint="eastAsia" w:hAnsi="仿宋"/>
          <w:b/>
          <w:bCs/>
          <w:color w:val="auto"/>
          <w:sz w:val="32"/>
          <w:szCs w:val="32"/>
          <w:highlight w:val="none"/>
        </w:rPr>
        <w:t>（五）彰显办园特色</w:t>
      </w:r>
    </w:p>
    <w:p>
      <w:pPr>
        <w:widowControl/>
        <w:jc w:val="left"/>
        <w:rPr>
          <w:rFonts w:ascii="仿宋" w:hAnsi="仿宋" w:eastAsia="仿宋"/>
          <w:color w:val="auto"/>
          <w:kern w:val="0"/>
          <w:sz w:val="32"/>
          <w:szCs w:val="32"/>
          <w:highlight w:val="none"/>
        </w:rPr>
      </w:pPr>
      <w:r>
        <w:rPr>
          <w:rFonts w:hint="eastAsia" w:ascii="仿宋" w:hAnsi="仿宋" w:eastAsia="仿宋" w:cs="仿宋"/>
          <w:color w:val="auto"/>
          <w:sz w:val="32"/>
          <w:szCs w:val="32"/>
          <w:highlight w:val="none"/>
        </w:rPr>
        <w:t>优化教育环境，创特色品牌园所是我园的终极目标，也是幼儿园发展的强动力，更是我们一直追寻的办园梦想。我们一班人通过研讨考量，决定全力打造</w:t>
      </w:r>
      <w:r>
        <w:rPr>
          <w:rFonts w:hint="eastAsia" w:ascii="仿宋" w:hAnsi="仿宋" w:eastAsia="仿宋"/>
          <w:color w:val="auto"/>
          <w:sz w:val="32"/>
          <w:szCs w:val="32"/>
          <w:highlight w:val="none"/>
        </w:rPr>
        <w:t>生活化教育环境，进一步</w:t>
      </w:r>
      <w:r>
        <w:rPr>
          <w:rFonts w:hint="eastAsia" w:ascii="仿宋" w:hAnsi="仿宋" w:eastAsia="仿宋" w:cs="仿宋"/>
          <w:color w:val="auto"/>
          <w:sz w:val="32"/>
          <w:szCs w:val="32"/>
          <w:highlight w:val="none"/>
        </w:rPr>
        <w:t>拓展课程资源，</w:t>
      </w:r>
      <w:r>
        <w:rPr>
          <w:rFonts w:hint="eastAsia" w:ascii="仿宋" w:hAnsi="仿宋" w:eastAsia="仿宋"/>
          <w:color w:val="auto"/>
          <w:sz w:val="32"/>
          <w:szCs w:val="32"/>
          <w:highlight w:val="none"/>
        </w:rPr>
        <w:t>创新开发班本课程，并将其持续做好，做出成绩做成新亮点。我园结合昭化区的地域文化、旅游景点以及幼儿生活实际，创设了“魅力昭化，幸福成长”为主题的校园大环境，做到一楼一主题一班一特色，三层教学楼分别以“昭化美景”、“昭化美食”、“昭化特产”为小主题进行打造，全园设置</w:t>
      </w:r>
      <w:r>
        <w:rPr>
          <w:rFonts w:hint="eastAsia" w:ascii="仿宋" w:hAnsi="仿宋" w:eastAsia="仿宋" w:cs="仿宋"/>
          <w:color w:val="auto"/>
          <w:sz w:val="32"/>
          <w:szCs w:val="32"/>
          <w:highlight w:val="none"/>
        </w:rPr>
        <w:t>幼儿生活区角20多个，参加广元市</w:t>
      </w:r>
      <w:r>
        <w:rPr>
          <w:rFonts w:hint="eastAsia" w:ascii="仿宋" w:hAnsi="仿宋" w:eastAsia="仿宋"/>
          <w:color w:val="auto"/>
          <w:sz w:val="32"/>
          <w:szCs w:val="32"/>
          <w:highlight w:val="none"/>
        </w:rPr>
        <w:t>每周定期开展“大带小”点位游戏，让幼儿融入到熟悉的生活情境中去游戏，让他们在游戏中在环境的熏陶下认识家乡、了解家乡、宣传家乡，热爱家乡，增强作为昭化人的幸福感、自豪感。</w:t>
      </w:r>
      <w:r>
        <w:rPr>
          <w:rFonts w:hint="eastAsia" w:ascii="仿宋" w:hAnsi="仿宋" w:eastAsia="仿宋" w:cs="仿宋"/>
          <w:color w:val="auto"/>
          <w:sz w:val="32"/>
          <w:szCs w:val="32"/>
          <w:highlight w:val="none"/>
        </w:rPr>
        <w:t>我园在开足五大领域基础课程基础上，引进了幼儿体能、幼儿篮球、足球课程，完善了舞蹈、澳尔夫音乐课程设置，美工坊打造等来不断拓展我们课程资源，丰富我们的活动内容。今年秋季，</w:t>
      </w:r>
      <w:r>
        <w:rPr>
          <w:rFonts w:hint="eastAsia" w:ascii="仿宋" w:hAnsi="仿宋" w:eastAsia="仿宋"/>
          <w:color w:val="auto"/>
          <w:sz w:val="32"/>
          <w:szCs w:val="32"/>
          <w:highlight w:val="none"/>
        </w:rPr>
        <w:t>我园</w:t>
      </w:r>
      <w:r>
        <w:rPr>
          <w:rFonts w:hint="eastAsia" w:ascii="仿宋" w:hAnsi="仿宋" w:eastAsia="仿宋" w:cs="仿宋"/>
          <w:color w:val="auto"/>
          <w:sz w:val="32"/>
          <w:szCs w:val="32"/>
          <w:highlight w:val="none"/>
        </w:rPr>
        <w:t>以春花、夏长、秋收、冬藏四季变化为主线，以一年二十四节气和幼儿日常生活中感兴趣的人和事开发班本课程，让幼儿在生活和游戏中主动参与、动手操作、亲身体验获取经验，来提高教师的课程开发能力，提升专业水平。本期教师共开发班本课程35个，形成优秀游戏案例10个，8个案例参加省市优秀游戏案例评选，获一等奖4个，二等奖3个。</w:t>
      </w:r>
    </w:p>
    <w:p>
      <w:pPr>
        <w:pStyle w:val="16"/>
        <w:rPr>
          <w:color w:val="auto"/>
          <w:highlight w:val="none"/>
        </w:rPr>
      </w:pPr>
    </w:p>
    <w:p>
      <w:pPr>
        <w:rPr>
          <w:rFonts w:hint="eastAsia" w:ascii="黑体" w:hAnsi="黑体" w:eastAsia="黑体"/>
          <w:b w:val="0"/>
          <w:color w:val="auto"/>
          <w:highlight w:val="none"/>
        </w:rPr>
      </w:pPr>
      <w:bookmarkStart w:id="16" w:name="_Toc15377204"/>
      <w:bookmarkStart w:id="17" w:name="_Toc15396602"/>
      <w:r>
        <w:rPr>
          <w:rFonts w:hint="eastAsia" w:ascii="黑体" w:hAnsi="黑体" w:eastAsia="黑体"/>
          <w:b w:val="0"/>
          <w:color w:val="auto"/>
          <w:highlight w:val="none"/>
        </w:rPr>
        <w:br w:type="page"/>
      </w:r>
    </w:p>
    <w:p>
      <w:pPr>
        <w:pStyle w:val="3"/>
        <w:ind w:right="440"/>
        <w:jc w:val="center"/>
        <w:rPr>
          <w:rStyle w:val="29"/>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29"/>
          <w:rFonts w:hint="eastAsia" w:ascii="黑体" w:hAnsi="黑体" w:eastAsia="黑体"/>
          <w:b w:val="0"/>
          <w:bCs/>
          <w:color w:val="auto"/>
          <w:highlight w:val="none"/>
        </w:rPr>
        <w:t>单位决算情况说明</w:t>
      </w:r>
      <w:bookmarkEnd w:id="16"/>
      <w:bookmarkEnd w:id="17"/>
    </w:p>
    <w:p>
      <w:pPr>
        <w:rPr>
          <w:color w:val="auto"/>
          <w:highlight w:val="none"/>
        </w:rPr>
      </w:pP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18" w:name="_Toc15396603"/>
      <w:bookmarkStart w:id="19" w:name="_Toc15377205"/>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18"/>
      <w:bookmarkEnd w:id="19"/>
    </w:p>
    <w:p>
      <w:pPr>
        <w:spacing w:line="600" w:lineRule="exact"/>
        <w:ind w:firstLine="640" w:firstLineChars="200"/>
        <w:outlineLvl w:val="1"/>
        <w:rPr>
          <w:rFonts w:ascii="仿宋" w:hAnsi="仿宋" w:eastAsia="仿宋"/>
          <w:color w:val="auto"/>
          <w:sz w:val="32"/>
          <w:szCs w:val="32"/>
          <w:highlight w:val="none"/>
        </w:rPr>
      </w:pPr>
      <w:bookmarkStart w:id="20" w:name="_Toc15396604"/>
      <w:bookmarkStart w:id="21" w:name="_Toc15377206"/>
      <w:r>
        <w:rPr>
          <w:rFonts w:hint="eastAsia" w:ascii="仿宋" w:hAnsi="仿宋" w:eastAsia="仿宋"/>
          <w:color w:val="auto"/>
          <w:sz w:val="32"/>
          <w:szCs w:val="32"/>
          <w:highlight w:val="none"/>
        </w:rPr>
        <w:t>2021年度收、支总计687.92万元。与2020年相比，收、支总计各增加114.48万元，增长19.96</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。主要变动原因是基本支出增加。</w:t>
      </w:r>
    </w:p>
    <w:p>
      <w:pPr>
        <w:pStyle w:val="28"/>
        <w:numPr>
          <w:ilvl w:val="0"/>
          <w:numId w:val="2"/>
        </w:numPr>
        <w:spacing w:line="600" w:lineRule="exact"/>
        <w:ind w:firstLineChars="0"/>
        <w:outlineLvl w:val="1"/>
        <w:rPr>
          <w:rStyle w:val="30"/>
          <w:rFonts w:ascii="黑体" w:hAnsi="黑体" w:eastAsia="黑体"/>
          <w:b w:val="0"/>
          <w:color w:val="auto"/>
          <w:highlight w:val="none"/>
        </w:rPr>
      </w:pPr>
      <w:r>
        <w:rPr>
          <w:rFonts w:hint="eastAsia" w:eastAsia="宋体"/>
          <w:color w:val="auto"/>
          <w:highlight w:val="none"/>
          <w:lang w:eastAsia="zh-CN"/>
        </w:rPr>
        <w:drawing>
          <wp:anchor distT="0" distB="0" distL="114300" distR="114300" simplePos="0" relativeHeight="251659264"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21年本年收入合计687.92万元，其中：一般公共预算财政拨款收入687.92万元，占</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16"/>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-38100</wp:posOffset>
            </wp:positionH>
            <wp:positionV relativeFrom="paragraph">
              <wp:posOffset>27305</wp:posOffset>
            </wp:positionV>
            <wp:extent cx="5584825" cy="2713355"/>
            <wp:effectExtent l="4445" t="4445" r="11430" b="6350"/>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16"/>
        <w:ind w:left="0" w:leftChars="0" w:firstLine="640" w:firstLineChars="200"/>
        <w:rPr>
          <w:rStyle w:val="30"/>
          <w:rFonts w:ascii="黑体" w:hAnsi="黑体" w:eastAsia="黑体"/>
          <w:b w:val="0"/>
          <w:color w:val="auto"/>
          <w:highlight w:val="none"/>
        </w:rPr>
      </w:pPr>
      <w:bookmarkStart w:id="22" w:name="_Toc15396605"/>
      <w:bookmarkStart w:id="23" w:name="_Toc15377207"/>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21年本年支出合计687.92万元，其中：基本支出629.92万元，</w:t>
      </w:r>
      <w:bookmarkStart w:id="24" w:name="_Toc15396606"/>
      <w:bookmarkStart w:id="25" w:name="_Toc15377208"/>
      <w:r>
        <w:rPr>
          <w:rFonts w:hint="eastAsia" w:ascii="仿宋" w:hAnsi="仿宋" w:eastAsia="仿宋"/>
          <w:color w:val="auto"/>
          <w:sz w:val="32"/>
          <w:szCs w:val="32"/>
          <w:highlight w:val="none"/>
        </w:rPr>
        <w:t>占91.57</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；项目支出58万元，占8.43</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outlineLvl w:val="1"/>
        <w:rPr>
          <w:rStyle w:val="30"/>
          <w:rFonts w:ascii="黑体" w:hAnsi="黑体" w:eastAsia="黑体"/>
          <w:b w:val="0"/>
          <w:color w:val="auto"/>
          <w:highlight w:val="none"/>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-5080</wp:posOffset>
            </wp:positionH>
            <wp:positionV relativeFrom="paragraph">
              <wp:posOffset>160655</wp:posOffset>
            </wp:positionV>
            <wp:extent cx="5298440" cy="2799080"/>
            <wp:effectExtent l="4445" t="4445" r="12065" b="15875"/>
            <wp:wrapTopAndBottom/>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24"/>
      <w:bookmarkEnd w:id="2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21年财政拨款收、支总计687.92万元。与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20年相比，财政拨款收、支总计各增加114.48万元，增长19.96</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。主要变动原因是项目支出增加。</w:t>
      </w:r>
    </w:p>
    <w:p>
      <w:pPr>
        <w:pStyle w:val="16"/>
        <w:rPr>
          <w:color w:val="auto"/>
          <w:highlight w:val="none"/>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4445</wp:posOffset>
            </wp:positionH>
            <wp:positionV relativeFrom="paragraph">
              <wp:posOffset>208280</wp:posOffset>
            </wp:positionV>
            <wp:extent cx="5080000" cy="2877820"/>
            <wp:effectExtent l="4445" t="4445" r="20955" b="13335"/>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outlineLvl w:val="1"/>
        <w:rPr>
          <w:rStyle w:val="30"/>
          <w:rFonts w:ascii="黑体" w:hAnsi="黑体" w:eastAsia="黑体"/>
          <w:b w:val="0"/>
          <w:color w:val="auto"/>
          <w:highlight w:val="none"/>
        </w:rPr>
      </w:pPr>
      <w:bookmarkStart w:id="26" w:name="_Toc15396607"/>
      <w:bookmarkStart w:id="27" w:name="_Toc15377209"/>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firstLineChars="20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21年一般公共预算财政拨款支出687.92万元，占本年支出合计的100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w:t>
      </w:r>
      <w:r>
        <w:rPr>
          <w:rFonts w:hint="eastAsia" w:ascii="仿宋" w:hAnsi="仿宋" w:eastAsia="仿宋"/>
          <w:color w:val="auto"/>
          <w:sz w:val="32"/>
          <w:szCs w:val="32"/>
          <w:highlight w:val="none"/>
          <w:lang w:val="en-US" w:eastAsia="zh-CN"/>
        </w:rPr>
        <w:t>573.44</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相比，一般公共预算财政拨款支出增加114.48万元，增长19.96</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。主要变动原因是基本支出增加。</w:t>
      </w:r>
      <w:r>
        <w:rPr>
          <w:rFonts w:hint="eastAsia" w:ascii="仿宋" w:hAnsi="仿宋" w:eastAsia="仿宋"/>
          <w:color w:val="auto"/>
          <w:sz w:val="32"/>
          <w:szCs w:val="32"/>
          <w:highlight w:val="none"/>
        </w:rPr>
        <w:tab/>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3360"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21年一般公共预算财政拨款支出687.92万元，主要用于以下方面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rPr>
        <w:t>687.92万元，占100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7213"/>
      <w:bookmarkStart w:id="32" w:name="_Toc15377444"/>
      <w:bookmarkStart w:id="33" w:name="_Toc15378460"/>
      <w:r>
        <w:rPr>
          <w:rFonts w:hint="eastAsia" w:ascii="仿宋" w:hAnsi="仿宋" w:eastAsia="仿宋"/>
          <w:b/>
          <w:color w:val="auto"/>
          <w:sz w:val="32"/>
          <w:szCs w:val="32"/>
          <w:highlight w:val="none"/>
        </w:rPr>
        <w:t>2021年一般公共预算支出决算数为1175.</w:t>
      </w:r>
      <w:r>
        <w:rPr>
          <w:rFonts w:hint="eastAsia" w:ascii="仿宋" w:hAnsi="仿宋" w:eastAsia="仿宋"/>
          <w:b/>
          <w:color w:val="auto"/>
          <w:sz w:val="32"/>
          <w:szCs w:val="32"/>
          <w:highlight w:val="none"/>
          <w:lang w:val="en-US" w:eastAsia="zh-CN"/>
        </w:rPr>
        <w:t>89万元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31"/>
      <w:bookmarkEnd w:id="32"/>
      <w:bookmarkEnd w:id="33"/>
    </w:p>
    <w:p>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rPr>
        <w:t>1.教育205（类）普通教育02（款）</w:t>
      </w:r>
      <w:r>
        <w:rPr>
          <w:rStyle w:val="19"/>
          <w:rFonts w:hint="eastAsia" w:ascii="仿宋" w:hAnsi="仿宋" w:eastAsia="仿宋"/>
          <w:bCs/>
          <w:color w:val="auto"/>
          <w:sz w:val="32"/>
          <w:szCs w:val="32"/>
          <w:highlight w:val="none"/>
          <w:lang w:eastAsia="zh-CN"/>
        </w:rPr>
        <w:t>学前</w:t>
      </w:r>
      <w:r>
        <w:rPr>
          <w:rStyle w:val="19"/>
          <w:rFonts w:hint="eastAsia" w:ascii="仿宋" w:hAnsi="仿宋" w:eastAsia="仿宋"/>
          <w:bCs/>
          <w:color w:val="auto"/>
          <w:sz w:val="32"/>
          <w:szCs w:val="32"/>
          <w:highlight w:val="none"/>
        </w:rPr>
        <w:t>教育0</w:t>
      </w:r>
      <w:r>
        <w:rPr>
          <w:rStyle w:val="19"/>
          <w:rFonts w:hint="eastAsia" w:ascii="仿宋" w:hAnsi="仿宋" w:eastAsia="仿宋"/>
          <w:bCs/>
          <w:color w:val="auto"/>
          <w:sz w:val="32"/>
          <w:szCs w:val="32"/>
          <w:highlight w:val="none"/>
          <w:lang w:val="en-US" w:eastAsia="zh-CN"/>
        </w:rPr>
        <w:t>1</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支出决算为629.92万元，完成预算100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决算数等于预算数。</w:t>
      </w:r>
    </w:p>
    <w:p>
      <w:p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2</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教育205（类）普通教育02（款）</w:t>
      </w:r>
      <w:r>
        <w:rPr>
          <w:rStyle w:val="19"/>
          <w:rFonts w:hint="eastAsia" w:ascii="仿宋" w:hAnsi="仿宋" w:eastAsia="仿宋"/>
          <w:bCs/>
          <w:color w:val="auto"/>
          <w:sz w:val="32"/>
          <w:szCs w:val="32"/>
          <w:highlight w:val="none"/>
          <w:lang w:eastAsia="zh-CN"/>
        </w:rPr>
        <w:t>其他普通教育支出</w:t>
      </w:r>
      <w:r>
        <w:rPr>
          <w:rStyle w:val="19"/>
          <w:rFonts w:hint="eastAsia" w:ascii="仿宋" w:hAnsi="仿宋" w:eastAsia="仿宋"/>
          <w:bCs/>
          <w:color w:val="auto"/>
          <w:sz w:val="32"/>
          <w:szCs w:val="32"/>
          <w:highlight w:val="none"/>
          <w:lang w:val="en-US" w:eastAsia="zh-CN"/>
        </w:rPr>
        <w:t>99</w:t>
      </w:r>
      <w:r>
        <w:rPr>
          <w:rStyle w:val="19"/>
          <w:rFonts w:hint="eastAsia" w:ascii="仿宋" w:hAnsi="仿宋" w:eastAsia="仿宋"/>
          <w:bCs/>
          <w:color w:val="auto"/>
          <w:sz w:val="32"/>
          <w:szCs w:val="32"/>
          <w:highlight w:val="none"/>
        </w:rPr>
        <w:t>（项）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w:t>
      </w:r>
      <w:r>
        <w:rPr>
          <w:rStyle w:val="19"/>
          <w:rFonts w:hint="eastAsia" w:ascii="仿宋" w:hAnsi="仿宋" w:eastAsia="仿宋"/>
          <w:b w:val="0"/>
          <w:bCs/>
          <w:color w:val="auto"/>
          <w:sz w:val="32"/>
          <w:szCs w:val="32"/>
          <w:highlight w:val="none"/>
          <w:lang w:val="en-US" w:eastAsia="zh-CN"/>
        </w:rPr>
        <w:t>58</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pStyle w:val="16"/>
        <w:rPr>
          <w:color w:val="auto"/>
          <w:highlight w:val="none"/>
        </w:rPr>
      </w:pPr>
    </w:p>
    <w:p>
      <w:pPr>
        <w:tabs>
          <w:tab w:val="right" w:pos="8306"/>
        </w:tabs>
        <w:spacing w:line="600" w:lineRule="exact"/>
        <w:ind w:firstLine="640"/>
        <w:outlineLvl w:val="1"/>
        <w:rPr>
          <w:rStyle w:val="30"/>
          <w:color w:val="auto"/>
          <w:highlight w:val="none"/>
        </w:rPr>
      </w:pPr>
      <w:bookmarkStart w:id="34" w:name="_Toc15396608"/>
      <w:bookmarkStart w:id="35" w:name="_Toc1537721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34"/>
      <w:bookmarkEnd w:id="35"/>
      <w:r>
        <w:rPr>
          <w:rStyle w:val="3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21年一般公共预算财政拨款基本支出792.80万元，其中：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人员经费519.61万元，主要包括：基本工资、津贴补贴、绩效工资、机关事业单位基本养老保险缴费、职业年金缴费、职工基本医疗保险缴费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其他社会保障缴费、住房公积金、其他工资福利支出、生活补助、奖励金。</w:t>
      </w:r>
    </w:p>
    <w:p>
      <w:pPr>
        <w:spacing w:line="600" w:lineRule="exact"/>
        <w:ind w:firstLine="645"/>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公用经费110.31万元，主要包括：办公费、印刷费、手续费、水费、电费、邮电费、差旅费、维修（护）费、培训费、公务接待费、工会经费等。</w:t>
      </w:r>
    </w:p>
    <w:p>
      <w:pPr>
        <w:pStyle w:val="2"/>
        <w:rPr>
          <w:color w:val="auto"/>
          <w:highlight w:val="none"/>
        </w:rPr>
      </w:pPr>
    </w:p>
    <w:p>
      <w:pPr>
        <w:spacing w:line="600" w:lineRule="exact"/>
        <w:ind w:firstLine="640"/>
        <w:outlineLvl w:val="1"/>
        <w:rPr>
          <w:rStyle w:val="30"/>
          <w:rFonts w:ascii="黑体" w:hAnsi="黑体" w:eastAsia="黑体"/>
          <w:b w:val="0"/>
          <w:color w:val="auto"/>
          <w:highlight w:val="none"/>
        </w:rPr>
      </w:pPr>
      <w:bookmarkStart w:id="36" w:name="_Toc15377215"/>
      <w:bookmarkStart w:id="37" w:name="_Toc15396609"/>
      <w:r>
        <w:rPr>
          <w:rFonts w:hint="eastAsia" w:ascii="黑体" w:eastAsia="黑体"/>
          <w:color w:val="auto"/>
          <w:sz w:val="32"/>
          <w:szCs w:val="32"/>
          <w:highlight w:val="none"/>
        </w:rPr>
        <w:t>七、</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21年“三公”经费财政拨款支出决算为0.46万元，完成预算83.64</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w:t>
      </w:r>
      <w:r>
        <w:rPr>
          <w:rFonts w:hint="eastAsia" w:ascii="仿宋" w:hAnsi="仿宋" w:eastAsia="仿宋"/>
          <w:color w:val="auto"/>
          <w:sz w:val="32"/>
          <w:szCs w:val="32"/>
          <w:highlight w:val="none"/>
        </w:rPr>
        <w:t>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w:t>
      </w:r>
      <w:r>
        <w:rPr>
          <w:rFonts w:hint="eastAsia" w:ascii="仿宋" w:hAnsi="仿宋" w:eastAsia="仿宋"/>
          <w:color w:val="auto"/>
          <w:sz w:val="32"/>
          <w:szCs w:val="32"/>
          <w:highlight w:val="none"/>
        </w:rPr>
        <w:t>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公务接待费支出决算0.46万元，占100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4384"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highlight w:val="none"/>
          <w:lang w:val="en-US"/>
        </w:rPr>
      </w:pP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rPr>
        <w:t>0.46万元，完成预算83.64</w:t>
      </w:r>
      <w:r>
        <w:rPr>
          <w:rFonts w:ascii="仿宋" w:hAnsi="仿宋" w:eastAsia="仿宋"/>
          <w:color w:val="auto"/>
          <w:sz w:val="32"/>
          <w:szCs w:val="32"/>
          <w:highlight w:val="none"/>
        </w:rPr>
        <w:t>%</w:t>
      </w:r>
      <w:r>
        <w:rPr>
          <w:rFonts w:hint="eastAsia" w:ascii="仿宋" w:hAnsi="仿宋" w:eastAsia="仿宋"/>
          <w:color w:val="auto"/>
          <w:sz w:val="32"/>
          <w:szCs w:val="32"/>
          <w:highlight w:val="none"/>
          <w:lang w:eastAsia="zh-CN"/>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rPr>
        <w:t>20年减少0.04万元，下降</w:t>
      </w:r>
      <w:r>
        <w:rPr>
          <w:rFonts w:hint="eastAsia" w:ascii="仿宋_GB2312" w:eastAsia="仿宋_GB2312"/>
          <w:color w:val="auto"/>
          <w:sz w:val="32"/>
          <w:szCs w:val="32"/>
          <w:highlight w:val="none"/>
          <w:lang w:val="en-US" w:eastAsia="zh-CN"/>
        </w:rPr>
        <w:t>8</w:t>
      </w:r>
      <w:r>
        <w:rPr>
          <w:rFonts w:ascii="仿宋_GB2312" w:eastAsia="仿宋_GB2312"/>
          <w:color w:val="auto"/>
          <w:sz w:val="32"/>
          <w:szCs w:val="32"/>
          <w:highlight w:val="none"/>
        </w:rPr>
        <w:t>%</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ascii="仿宋" w:hAnsi="仿宋" w:eastAsia="仿宋"/>
          <w:color w:val="auto"/>
          <w:sz w:val="32"/>
          <w:szCs w:val="32"/>
          <w:highlight w:val="none"/>
        </w:rPr>
        <w:t>0.46</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eastAsia="仿宋" w:cs="Times New Roman"/>
          <w:color w:val="auto"/>
          <w:sz w:val="32"/>
          <w:szCs w:val="32"/>
          <w:highlight w:val="none"/>
          <w:lang w:val="en-US" w:eastAsia="zh-CN"/>
        </w:rPr>
        <w:t>30</w:t>
      </w:r>
      <w:r>
        <w:rPr>
          <w:rFonts w:hint="default" w:ascii="Times New Roman" w:hAnsi="Times New Roman" w:eastAsia="仿宋" w:cs="Times New Roman"/>
          <w:color w:val="auto"/>
          <w:sz w:val="32"/>
          <w:szCs w:val="32"/>
          <w:highlight w:val="none"/>
        </w:rPr>
        <w:t>批次，</w:t>
      </w:r>
      <w:r>
        <w:rPr>
          <w:rFonts w:hint="eastAsia" w:eastAsia="仿宋" w:cs="Times New Roman"/>
          <w:color w:val="auto"/>
          <w:sz w:val="32"/>
          <w:szCs w:val="32"/>
          <w:highlight w:val="none"/>
          <w:lang w:val="en-US" w:eastAsia="zh-CN"/>
        </w:rPr>
        <w:t>94</w:t>
      </w:r>
      <w:r>
        <w:rPr>
          <w:rFonts w:hint="default" w:ascii="Times New Roman" w:hAnsi="Times New Roman" w:eastAsia="仿宋" w:cs="Times New Roman"/>
          <w:color w:val="auto"/>
          <w:sz w:val="32"/>
          <w:szCs w:val="32"/>
          <w:highlight w:val="none"/>
        </w:rPr>
        <w:t>人次（不包括陪同人员），共计支出</w:t>
      </w:r>
      <w:r>
        <w:rPr>
          <w:rFonts w:hint="eastAsia" w:ascii="仿宋" w:hAnsi="仿宋" w:eastAsia="仿宋"/>
          <w:color w:val="auto"/>
          <w:sz w:val="32"/>
          <w:szCs w:val="32"/>
          <w:highlight w:val="none"/>
        </w:rPr>
        <w:t>0.46</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0.25万元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交流0.21万元</w:t>
      </w:r>
      <w:r>
        <w:rPr>
          <w:rFonts w:hint="eastAsia" w:ascii="仿宋_GB2312" w:eastAsia="仿宋_GB2312"/>
          <w:color w:val="auto"/>
          <w:sz w:val="32"/>
          <w:szCs w:val="32"/>
          <w:highlight w:val="none"/>
          <w:lang w:val="en-US" w:eastAsia="zh-CN"/>
        </w:rPr>
        <w:t>。</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pPr>
        <w:spacing w:line="600" w:lineRule="exact"/>
        <w:outlineLvl w:val="1"/>
        <w:rPr>
          <w:rFonts w:ascii="黑体" w:eastAsia="黑体"/>
          <w:color w:val="auto"/>
          <w:sz w:val="32"/>
          <w:szCs w:val="32"/>
          <w:highlight w:val="none"/>
        </w:rPr>
      </w:pPr>
      <w:bookmarkStart w:id="40" w:name="_Toc15377218"/>
      <w:bookmarkStart w:id="41" w:name="_Toc15396610"/>
    </w:p>
    <w:p>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0"/>
      <w:bookmarkEnd w:id="41"/>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r>
        <w:rPr>
          <w:rFonts w:hint="eastAsia" w:ascii="仿宋_GB2312" w:eastAsia="仿宋_GB2312"/>
          <w:color w:val="auto"/>
          <w:sz w:val="32"/>
          <w:szCs w:val="32"/>
          <w:highlight w:val="none"/>
        </w:rPr>
        <w:t>。</w:t>
      </w:r>
    </w:p>
    <w:p>
      <w:pPr>
        <w:pStyle w:val="16"/>
        <w:rPr>
          <w:color w:val="auto"/>
          <w:highlight w:val="none"/>
        </w:rPr>
      </w:pPr>
    </w:p>
    <w:p>
      <w:pPr>
        <w:numPr>
          <w:ilvl w:val="0"/>
          <w:numId w:val="3"/>
        </w:numPr>
        <w:spacing w:line="600" w:lineRule="exact"/>
        <w:ind w:firstLine="640"/>
        <w:outlineLvl w:val="1"/>
        <w:rPr>
          <w:rStyle w:val="30"/>
          <w:rFonts w:ascii="黑体" w:hAnsi="黑体" w:eastAsia="黑体"/>
          <w:b w:val="0"/>
          <w:color w:val="auto"/>
          <w:highlight w:val="none"/>
        </w:rPr>
      </w:pPr>
      <w:bookmarkStart w:id="42" w:name="_Toc15377219"/>
      <w:bookmarkStart w:id="43" w:name="_Toc15396611"/>
      <w:r>
        <w:rPr>
          <w:rStyle w:val="30"/>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highlight w:val="none"/>
        </w:rPr>
      </w:pPr>
    </w:p>
    <w:p>
      <w:pPr>
        <w:numPr>
          <w:ilvl w:val="0"/>
          <w:numId w:val="3"/>
        </w:numPr>
        <w:spacing w:line="600" w:lineRule="exact"/>
        <w:ind w:firstLine="640"/>
        <w:outlineLvl w:val="1"/>
        <w:rPr>
          <w:rStyle w:val="30"/>
          <w:rFonts w:ascii="黑体" w:hAnsi="黑体" w:eastAsia="黑体"/>
          <w:b w:val="0"/>
          <w:color w:val="auto"/>
          <w:highlight w:val="none"/>
        </w:rPr>
      </w:pPr>
      <w:bookmarkStart w:id="44" w:name="_Toc15396612"/>
      <w:bookmarkStart w:id="45" w:name="_Toc15377221"/>
      <w:r>
        <w:rPr>
          <w:rStyle w:val="30"/>
          <w:rFonts w:hint="eastAsia" w:ascii="黑体" w:hAnsi="黑体" w:eastAsia="黑体"/>
          <w:b w:val="0"/>
          <w:color w:val="auto"/>
          <w:highlight w:val="none"/>
        </w:rPr>
        <w:t>预算绩效管理情况</w:t>
      </w:r>
    </w:p>
    <w:p>
      <w:pPr>
        <w:spacing w:line="580" w:lineRule="exact"/>
        <w:ind w:firstLine="640" w:firstLineChars="20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对追加预算学前教育发展（校舍维修）项目项目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w:t>
      </w:r>
      <w:r>
        <w:rPr>
          <w:color w:val="auto"/>
          <w:highlight w:val="none"/>
        </w:rPr>
        <w:commentReference w:id="0"/>
      </w:r>
      <w:r>
        <w:rPr>
          <w:rFonts w:hint="eastAsia" w:ascii="仿宋_GB2312" w:hAnsi="仿宋_GB2312" w:eastAsia="仿宋_GB2312" w:cs="仿宋_GB2312"/>
          <w:color w:val="auto"/>
          <w:sz w:val="32"/>
          <w:szCs w:val="32"/>
          <w:highlight w:val="none"/>
        </w:rPr>
        <w:t>后，对</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pStyle w:val="2"/>
        <w:spacing w:before="93"/>
        <w:rPr>
          <w:color w:val="auto"/>
          <w:highlight w:val="none"/>
        </w:rPr>
      </w:pPr>
    </w:p>
    <w:p>
      <w:pPr>
        <w:numPr>
          <w:ilvl w:val="0"/>
          <w:numId w:val="3"/>
        </w:numPr>
        <w:spacing w:line="600" w:lineRule="exact"/>
        <w:ind w:firstLine="640"/>
        <w:outlineLvl w:val="1"/>
        <w:rPr>
          <w:rStyle w:val="30"/>
          <w:rFonts w:ascii="黑体" w:hAnsi="黑体" w:eastAsia="黑体"/>
          <w:b w:val="0"/>
          <w:color w:val="auto"/>
          <w:highlight w:val="none"/>
        </w:rPr>
      </w:pPr>
      <w:r>
        <w:rPr>
          <w:rStyle w:val="30"/>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w:t>
      </w:r>
      <w:r>
        <w:rPr>
          <w:rFonts w:hint="eastAsia" w:ascii="仿宋_GB2312" w:hAnsi="Times New Roman" w:eastAsia="仿宋_GB2312" w:cs="仿宋_GB2312"/>
          <w:color w:val="auto"/>
          <w:kern w:val="2"/>
          <w:sz w:val="32"/>
          <w:szCs w:val="32"/>
          <w:highlight w:val="none"/>
          <w:lang w:val="en-US" w:eastAsia="zh-CN" w:bidi="ar"/>
        </w:rPr>
        <w:t>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ascii="仿宋_GB2312" w:eastAsia="仿宋_GB2312"/>
          <w:b/>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numPr>
          <w:ilvl w:val="0"/>
          <w:numId w:val="4"/>
        </w:numPr>
        <w:spacing w:line="600" w:lineRule="exact"/>
        <w:ind w:firstLine="660" w:firstLineChars="150"/>
        <w:jc w:val="center"/>
        <w:outlineLvl w:val="0"/>
        <w:rPr>
          <w:rStyle w:val="29"/>
          <w:rFonts w:ascii="黑体" w:hAnsi="黑体" w:eastAsia="黑体"/>
          <w:b w:val="0"/>
          <w:color w:val="auto"/>
          <w:highlight w:val="none"/>
        </w:rPr>
      </w:pPr>
      <w:bookmarkStart w:id="49" w:name="_Toc15377225"/>
      <w:bookmarkStart w:id="50" w:name="_Toc15396613"/>
      <w:r>
        <w:rPr>
          <w:rFonts w:hint="eastAsia" w:ascii="黑体" w:hAnsi="黑体" w:eastAsia="黑体"/>
          <w:color w:val="auto"/>
          <w:sz w:val="44"/>
          <w:szCs w:val="44"/>
          <w:highlight w:val="none"/>
        </w:rPr>
        <w:t>名</w:t>
      </w:r>
      <w:r>
        <w:rPr>
          <w:rStyle w:val="29"/>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w:t>
      </w:r>
      <w:r>
        <w:rPr>
          <w:rFonts w:hint="eastAsia" w:ascii="仿宋_GB2312" w:eastAsia="仿宋_GB2312"/>
          <w:color w:val="auto"/>
          <w:sz w:val="32"/>
          <w:szCs w:val="32"/>
          <w:highlight w:val="none"/>
          <w:lang w:eastAsia="zh-CN"/>
        </w:rPr>
        <w:t>学前</w:t>
      </w:r>
      <w:r>
        <w:rPr>
          <w:rFonts w:hint="eastAsia" w:ascii="仿宋_GB2312" w:eastAsia="仿宋_GB2312"/>
          <w:color w:val="auto"/>
          <w:sz w:val="32"/>
          <w:szCs w:val="32"/>
          <w:highlight w:val="none"/>
        </w:rPr>
        <w:t>教育（项）：指</w:t>
      </w:r>
      <w:r>
        <w:rPr>
          <w:rFonts w:hint="eastAsia" w:ascii="仿宋_GB2312" w:eastAsia="仿宋_GB2312"/>
          <w:color w:val="auto"/>
          <w:sz w:val="32"/>
          <w:szCs w:val="32"/>
          <w:highlight w:val="none"/>
          <w:lang w:eastAsia="zh-CN"/>
        </w:rPr>
        <w:t>学前</w:t>
      </w:r>
      <w:r>
        <w:rPr>
          <w:rFonts w:hint="eastAsia" w:ascii="仿宋_GB2312" w:eastAsia="仿宋_GB2312"/>
          <w:color w:val="auto"/>
          <w:sz w:val="32"/>
          <w:szCs w:val="32"/>
          <w:highlight w:val="none"/>
        </w:rPr>
        <w:t>教育。</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7.教育（类）普通教育（款）其他普通教育支出（项）：其他普通教育支出。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8.社会保障和就业支出（类）行政事业单位养老支出（款）机关事业单位基本养老保险缴费支出（项）: 指机关事业单位实施养老保险制度由单位缴纳的基本养老保险费支出。</w:t>
      </w:r>
    </w:p>
    <w:p>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9.社会保障和就业支出（类）其他社会保障和就业支出（款）其他社会保障和就业支出（项）: 指其他用于社会保障和就业方面的支出。</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10.</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14</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27"/>
        <w:spacing w:line="560" w:lineRule="exact"/>
        <w:ind w:firstLine="883" w:firstLineChars="200"/>
        <w:jc w:val="center"/>
        <w:rPr>
          <w:rStyle w:val="29"/>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bookmarkEnd w:id="52"/>
    </w:p>
    <w:p>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bookmarkStart w:id="53" w:name="_Toc15396618"/>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（校舍维修）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广元市昭化区机关幼儿园</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58</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58</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58</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lang w:val="en-US"/>
              </w:rPr>
            </w:pPr>
            <w:r>
              <w:rPr>
                <w:rFonts w:hint="eastAsia" w:ascii="宋体" w:hAnsi="宋体" w:cs="宋体"/>
                <w:color w:val="auto"/>
                <w:sz w:val="24"/>
                <w:highlight w:val="none"/>
                <w:lang w:val="en-US" w:eastAsia="zh-CN"/>
              </w:rPr>
              <w:t>58</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2"/>
                <w:szCs w:val="22"/>
                <w:highlight w:val="none"/>
              </w:rPr>
              <w:t>校舍</w:t>
            </w:r>
            <w:r>
              <w:rPr>
                <w:rFonts w:hint="eastAsia" w:ascii="宋体" w:hAnsi="宋体" w:cs="宋体"/>
                <w:color w:val="auto"/>
                <w:sz w:val="22"/>
                <w:szCs w:val="22"/>
                <w:highlight w:val="none"/>
                <w:lang w:eastAsia="zh-CN"/>
              </w:rPr>
              <w:t>维修面积</w:t>
            </w:r>
            <w:r>
              <w:rPr>
                <w:rFonts w:hint="eastAsia" w:ascii="宋体" w:hAnsi="宋体" w:cs="宋体"/>
                <w:color w:val="auto"/>
                <w:sz w:val="22"/>
                <w:szCs w:val="22"/>
                <w:highlight w:val="none"/>
                <w:lang w:val="en-US" w:eastAsia="zh-CN"/>
              </w:rPr>
              <w:t>750</w:t>
            </w:r>
            <w:r>
              <w:rPr>
                <w:rFonts w:hint="default" w:ascii="宋体" w:hAnsi="宋体" w:cs="宋体"/>
                <w:color w:val="auto"/>
                <w:sz w:val="22"/>
                <w:szCs w:val="22"/>
                <w:highlight w:val="none"/>
              </w:rPr>
              <w:t>平方米，改善办</w:t>
            </w:r>
            <w:r>
              <w:rPr>
                <w:rFonts w:hint="eastAsia" w:ascii="宋体" w:hAnsi="宋体" w:cs="宋体"/>
                <w:color w:val="auto"/>
                <w:sz w:val="22"/>
                <w:szCs w:val="22"/>
                <w:highlight w:val="none"/>
                <w:lang w:eastAsia="zh-CN"/>
              </w:rPr>
              <w:t>园</w:t>
            </w:r>
            <w:r>
              <w:rPr>
                <w:rFonts w:hint="default" w:ascii="宋体" w:hAnsi="宋体" w:cs="宋体"/>
                <w:color w:val="auto"/>
                <w:sz w:val="22"/>
                <w:szCs w:val="22"/>
                <w:highlight w:val="none"/>
              </w:rPr>
              <w:t>条件和基础设施配套，提供高质量硬件设施设备，营造良好的学习氛围</w:t>
            </w:r>
            <w:r>
              <w:rPr>
                <w:rFonts w:hint="eastAsia" w:ascii="宋体" w:hAnsi="宋体" w:cs="宋体"/>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完成</w:t>
            </w:r>
            <w:r>
              <w:rPr>
                <w:rFonts w:hint="eastAsia" w:ascii="宋体" w:hAnsi="宋体" w:cs="宋体"/>
                <w:color w:val="auto"/>
                <w:sz w:val="22"/>
                <w:szCs w:val="22"/>
                <w:highlight w:val="none"/>
                <w:lang w:val="en-US" w:eastAsia="zh-CN"/>
              </w:rPr>
              <w:t>750</w:t>
            </w:r>
            <w:r>
              <w:rPr>
                <w:rFonts w:hint="default" w:ascii="宋体" w:hAnsi="宋体" w:cs="宋体"/>
                <w:color w:val="auto"/>
                <w:sz w:val="22"/>
                <w:szCs w:val="22"/>
                <w:highlight w:val="none"/>
              </w:rPr>
              <w:t>平方米</w:t>
            </w:r>
            <w:r>
              <w:rPr>
                <w:rFonts w:hint="eastAsia" w:ascii="宋体" w:hAnsi="宋体" w:cs="宋体"/>
                <w:color w:val="auto"/>
                <w:sz w:val="22"/>
                <w:szCs w:val="22"/>
                <w:highlight w:val="none"/>
                <w:lang w:eastAsia="zh-CN"/>
              </w:rPr>
              <w:t>的校舍维修，</w:t>
            </w:r>
            <w:r>
              <w:rPr>
                <w:rFonts w:hint="default" w:ascii="宋体" w:hAnsi="宋体" w:cs="宋体"/>
                <w:color w:val="auto"/>
                <w:sz w:val="22"/>
                <w:szCs w:val="22"/>
                <w:highlight w:val="none"/>
              </w:rPr>
              <w:t>改善</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办</w:t>
            </w:r>
            <w:r>
              <w:rPr>
                <w:rFonts w:hint="eastAsia" w:ascii="宋体" w:hAnsi="宋体" w:cs="宋体"/>
                <w:color w:val="auto"/>
                <w:sz w:val="22"/>
                <w:szCs w:val="22"/>
                <w:highlight w:val="none"/>
                <w:lang w:eastAsia="zh-CN"/>
              </w:rPr>
              <w:t>园</w:t>
            </w:r>
            <w:r>
              <w:rPr>
                <w:rFonts w:hint="default" w:ascii="宋体" w:hAnsi="宋体" w:cs="宋体"/>
                <w:color w:val="auto"/>
                <w:sz w:val="22"/>
                <w:szCs w:val="22"/>
                <w:highlight w:val="none"/>
              </w:rPr>
              <w:t>条件和基础设施配套，提供</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高质量硬件设施设备，营造</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良好的学习氛围</w:t>
            </w:r>
            <w:r>
              <w:rPr>
                <w:rFonts w:hint="eastAsia" w:ascii="宋体" w:hAnsi="宋体" w:cs="宋体"/>
                <w:color w:val="auto"/>
                <w:sz w:val="22"/>
                <w:szCs w:val="22"/>
                <w:highlight w:val="none"/>
                <w:lang w:eastAsia="zh-CN"/>
              </w:rPr>
              <w:t>。</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750m²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750m²</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w:t>
            </w:r>
            <w:r>
              <w:rPr>
                <w:rFonts w:hint="default" w:ascii="仿宋_GB2312" w:hAnsi="仿宋_GB2312" w:eastAsia="仿宋_GB2312" w:cs="仿宋_GB2312"/>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校舍</w:t>
            </w:r>
            <w:r>
              <w:rPr>
                <w:rFonts w:hint="eastAsia" w:ascii="仿宋_GB2312" w:hAnsi="仿宋_GB2312" w:eastAsia="仿宋_GB2312" w:cs="仿宋_GB2312"/>
                <w:color w:val="auto"/>
                <w:sz w:val="20"/>
                <w:szCs w:val="20"/>
                <w:highlight w:val="none"/>
                <w:lang w:eastAsia="zh-CN"/>
              </w:rPr>
              <w:t>维修</w:t>
            </w:r>
            <w:r>
              <w:rPr>
                <w:rFonts w:hint="default" w:ascii="仿宋_GB2312" w:hAnsi="仿宋_GB2312" w:eastAsia="仿宋_GB2312" w:cs="仿宋_GB2312"/>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57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10个月</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校舍</w:t>
            </w:r>
            <w:r>
              <w:rPr>
                <w:rFonts w:hint="eastAsia" w:ascii="仿宋_GB2312" w:hAnsi="仿宋_GB2312" w:eastAsia="仿宋_GB2312" w:cs="仿宋_GB2312"/>
                <w:color w:val="auto"/>
                <w:sz w:val="20"/>
                <w:szCs w:val="20"/>
                <w:highlight w:val="none"/>
                <w:lang w:eastAsia="zh-CN"/>
              </w:rPr>
              <w:t>维修</w:t>
            </w:r>
            <w:r>
              <w:rPr>
                <w:rFonts w:hint="default" w:ascii="仿宋_GB2312" w:hAnsi="仿宋_GB2312" w:eastAsia="仿宋_GB2312" w:cs="仿宋_GB2312"/>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798元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改善办</w:t>
            </w:r>
            <w:r>
              <w:rPr>
                <w:rFonts w:hint="eastAsia" w:ascii="仿宋_GB2312" w:hAnsi="仿宋_GB2312" w:eastAsia="仿宋_GB2312" w:cs="仿宋_GB2312"/>
                <w:color w:val="auto"/>
                <w:sz w:val="20"/>
                <w:szCs w:val="20"/>
                <w:highlight w:val="none"/>
                <w:lang w:eastAsia="zh-CN"/>
              </w:rPr>
              <w:t>园</w:t>
            </w:r>
            <w:r>
              <w:rPr>
                <w:rFonts w:hint="eastAsia" w:ascii="仿宋_GB2312" w:hAnsi="仿宋_GB2312" w:eastAsia="仿宋_GB2312" w:cs="仿宋_GB2312"/>
                <w:color w:val="auto"/>
                <w:sz w:val="20"/>
                <w:szCs w:val="20"/>
                <w:highlight w:val="none"/>
              </w:rPr>
              <w:t>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bl>
    <w:p>
      <w:pPr>
        <w:rPr>
          <w:rFonts w:hint="eastAsia" w:ascii="仿宋_GB2312" w:hAnsi="仿宋_GB2312" w:eastAsia="黑体" w:cs="仿宋_GB2312"/>
          <w:color w:val="auto"/>
          <w:sz w:val="32"/>
          <w:szCs w:val="32"/>
          <w:highlight w:val="none"/>
          <w:lang w:val="en-US" w:eastAsia="zh-CN"/>
        </w:rPr>
      </w:pPr>
      <w:r>
        <w:rPr>
          <w:rFonts w:hint="eastAsia" w:ascii="黑体" w:hAnsi="黑体" w:eastAsia="黑体"/>
          <w:color w:val="auto"/>
          <w:sz w:val="44"/>
          <w:szCs w:val="44"/>
          <w:highlight w:val="none"/>
        </w:rPr>
        <w:br w:type="page"/>
      </w:r>
    </w:p>
    <w:p>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51"/>
      <w:bookmarkEnd w:id="53"/>
      <w:bookmarkStart w:id="54"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54"/>
    </w:p>
    <w:p>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55"/>
    </w:p>
    <w:p>
      <w:pPr>
        <w:pStyle w:val="4"/>
        <w:rPr>
          <w:rFonts w:ascii="仿宋" w:hAnsi="仿宋" w:eastAsia="仿宋"/>
          <w:color w:val="auto"/>
          <w:highlight w:val="none"/>
        </w:rPr>
      </w:pPr>
      <w:bookmarkStart w:id="56"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56"/>
    </w:p>
    <w:p>
      <w:pPr>
        <w:pStyle w:val="4"/>
        <w:rPr>
          <w:rFonts w:ascii="仿宋" w:hAnsi="仿宋" w:eastAsia="仿宋"/>
          <w:b w:val="0"/>
          <w:color w:val="auto"/>
          <w:highlight w:val="none"/>
        </w:rPr>
      </w:pPr>
      <w:bookmarkStart w:id="57" w:name="_Toc15396622"/>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57"/>
    </w:p>
    <w:p>
      <w:pPr>
        <w:pStyle w:val="4"/>
        <w:rPr>
          <w:rStyle w:val="30"/>
          <w:rFonts w:ascii="仿宋" w:hAnsi="仿宋" w:eastAsia="仿宋"/>
          <w:b w:val="0"/>
          <w:bCs w:val="0"/>
          <w:color w:val="auto"/>
          <w:highlight w:val="none"/>
        </w:rPr>
      </w:pPr>
      <w:bookmarkStart w:id="58"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58"/>
      <w:bookmarkStart w:id="59" w:name="_Toc15396624"/>
    </w:p>
    <w:p>
      <w:pPr>
        <w:pStyle w:val="4"/>
        <w:rPr>
          <w:rFonts w:ascii="仿宋" w:hAnsi="仿宋" w:eastAsia="仿宋"/>
          <w:color w:val="auto"/>
          <w:highlight w:val="none"/>
        </w:rPr>
      </w:pPr>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59"/>
    </w:p>
    <w:p>
      <w:pPr>
        <w:pStyle w:val="4"/>
        <w:rPr>
          <w:rFonts w:ascii="仿宋" w:hAnsi="仿宋" w:eastAsia="仿宋"/>
          <w:color w:val="auto"/>
          <w:highlight w:val="none"/>
        </w:rPr>
      </w:pPr>
      <w:bookmarkStart w:id="60"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60"/>
    </w:p>
    <w:p>
      <w:pPr>
        <w:pStyle w:val="4"/>
        <w:rPr>
          <w:rFonts w:ascii="仿宋" w:hAnsi="仿宋" w:eastAsia="仿宋"/>
          <w:color w:val="auto"/>
          <w:highlight w:val="none"/>
        </w:rPr>
      </w:pPr>
      <w:bookmarkStart w:id="61" w:name="_Toc1539662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61"/>
    </w:p>
    <w:p>
      <w:pPr>
        <w:pStyle w:val="4"/>
        <w:rPr>
          <w:rFonts w:ascii="仿宋" w:hAnsi="仿宋" w:eastAsia="仿宋"/>
          <w:color w:val="auto"/>
          <w:highlight w:val="none"/>
        </w:rPr>
      </w:pPr>
      <w:bookmarkStart w:id="62"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62"/>
    </w:p>
    <w:p>
      <w:pPr>
        <w:pStyle w:val="4"/>
        <w:rPr>
          <w:rFonts w:ascii="仿宋" w:hAnsi="仿宋" w:eastAsia="仿宋"/>
          <w:color w:val="auto"/>
          <w:highlight w:val="none"/>
        </w:rPr>
      </w:pPr>
      <w:bookmarkStart w:id="63" w:name="_Toc15396628"/>
      <w:r>
        <w:rPr>
          <w:rStyle w:val="30"/>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般公共预算财政拨款“三公”经费支出决算表</w:t>
      </w:r>
      <w:bookmarkEnd w:id="63"/>
    </w:p>
    <w:p>
      <w:pPr>
        <w:pStyle w:val="4"/>
        <w:rPr>
          <w:rFonts w:ascii="仿宋" w:hAnsi="仿宋" w:eastAsia="仿宋"/>
          <w:color w:val="auto"/>
          <w:highlight w:val="none"/>
        </w:rPr>
      </w:pPr>
      <w:bookmarkStart w:id="64" w:name="_Toc15396629"/>
      <w:r>
        <w:rPr>
          <w:rStyle w:val="30"/>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bookmarkEnd w:id="64"/>
    </w:p>
    <w:p>
      <w:pPr>
        <w:pStyle w:val="4"/>
        <w:rPr>
          <w:rFonts w:ascii="仿宋" w:hAnsi="仿宋" w:eastAsia="仿宋"/>
          <w:color w:val="auto"/>
          <w:highlight w:val="none"/>
        </w:rPr>
      </w:pPr>
      <w:bookmarkStart w:id="65" w:name="_Toc15396630"/>
      <w:r>
        <w:rPr>
          <w:rStyle w:val="30"/>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府性基金预算财政拨款“三公”经费支出决算表</w:t>
      </w:r>
      <w:bookmarkEnd w:id="65"/>
    </w:p>
    <w:p>
      <w:pPr>
        <w:pStyle w:val="4"/>
        <w:rPr>
          <w:rStyle w:val="30"/>
          <w:rFonts w:ascii="仿宋" w:hAnsi="仿宋" w:eastAsia="仿宋"/>
          <w:b w:val="0"/>
          <w:bCs w:val="0"/>
          <w:color w:val="auto"/>
          <w:highlight w:val="none"/>
        </w:rPr>
      </w:pPr>
      <w:bookmarkStart w:id="66" w:name="_Toc15396631"/>
      <w:r>
        <w:rPr>
          <w:rStyle w:val="30"/>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有资本经营预算财政拨款收入支出决算表</w:t>
      </w:r>
      <w:bookmarkEnd w:id="66"/>
    </w:p>
    <w:p>
      <w:pPr>
        <w:rPr>
          <w:rFonts w:eastAsia="仿宋"/>
          <w:color w:val="auto"/>
          <w:highlight w:val="none"/>
        </w:rPr>
      </w:pPr>
      <w:r>
        <w:rPr>
          <w:rStyle w:val="30"/>
          <w:rFonts w:hint="eastAsia" w:ascii="仿宋" w:hAnsi="仿宋" w:eastAsia="仿宋"/>
          <w:b w:val="0"/>
          <w:bCs w:val="0"/>
          <w:color w:val="auto"/>
          <w:highlight w:val="none"/>
        </w:rPr>
        <w:t>十四、国有资本经营预算财政拨款支出决算表</w:t>
      </w:r>
    </w:p>
    <w:sectPr>
      <w:headerReference r:id="rId5" w:type="default"/>
      <w:footerReference r:id="rId6" w:type="default"/>
      <w:pgSz w:w="11906" w:h="16838"/>
      <w:pgMar w:top="1440" w:right="1800" w:bottom="1440" w:left="1800" w:header="851" w:footer="992" w:gutter="0"/>
      <w:pgNumType w:start="1"/>
      <w:cols w:space="425"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佳" w:date="2022-09-27T14:40:55Z" w:initials="佳">
    <w:p w14:paraId="124A6853">
      <w:pPr>
        <w:pStyle w:val="6"/>
        <w:rPr>
          <w:rFonts w:hint="default" w:eastAsia="仿宋_GB2312"/>
          <w:lang w:val="en-US" w:eastAsia="zh-CN"/>
        </w:rPr>
      </w:pPr>
      <w:r>
        <w:rPr>
          <w:rFonts w:hint="eastAsia" w:ascii="仿宋_GB2312" w:hAnsi="仿宋_GB2312" w:eastAsia="仿宋_GB2312" w:cs="仿宋_GB2312"/>
          <w:sz w:val="32"/>
          <w:szCs w:val="32"/>
          <w:highlight w:val="yellow"/>
        </w:rPr>
        <w:t>根据预算绩效管理要求，本单位在2021年度预算编制阶段，</w:t>
      </w:r>
      <w:r>
        <w:rPr>
          <w:rFonts w:hint="eastAsia" w:ascii="仿宋_GB2312" w:hAnsi="仿宋_GB2312" w:eastAsia="仿宋_GB2312" w:cs="仿宋_GB2312"/>
          <w:sz w:val="32"/>
          <w:szCs w:val="32"/>
          <w:highlight w:val="yellow"/>
          <w:lang w:val="en-US" w:eastAsia="zh-CN"/>
        </w:rPr>
        <w:t>不涉及事前评估项目，对   几个（）重点基本支出）编制了绩效目标，在</w:t>
      </w:r>
      <w:r>
        <w:rPr>
          <w:rFonts w:hint="eastAsia" w:ascii="仿宋_GB2312" w:hAnsi="仿宋_GB2312" w:eastAsia="仿宋_GB2312" w:cs="仿宋_GB2312"/>
          <w:sz w:val="32"/>
          <w:szCs w:val="32"/>
          <w:highlight w:val="yellow"/>
        </w:rPr>
        <w:t>预算执行过程中，</w:t>
      </w:r>
      <w:r>
        <w:rPr>
          <w:rFonts w:hint="eastAsia" w:ascii="仿宋_GB2312" w:hAnsi="仿宋_GB2312" w:eastAsia="仿宋_GB2312" w:cs="仿宋_GB2312"/>
          <w:sz w:val="32"/>
          <w:szCs w:val="32"/>
          <w:highlight w:val="yellow"/>
          <w:lang w:val="en-US" w:eastAsia="zh-CN"/>
        </w:rPr>
        <w:t>对  开展了绩效自评，</w:t>
      </w:r>
      <w:r>
        <w:rPr>
          <w:rFonts w:hint="eastAsia" w:ascii="仿宋_GB2312" w:hAnsi="仿宋_GB2312" w:eastAsia="仿宋_GB2312" w:cs="仿宋_GB2312"/>
          <w:sz w:val="32"/>
          <w:szCs w:val="32"/>
          <w:highlight w:val="yellow"/>
        </w:rPr>
        <w:t>2021年部门预算项目绩效目标自评表见主管单位附件</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24A685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12</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佳">
    <w15:presenceInfo w15:providerId="None" w15:userId="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4572EE"/>
    <w:rsid w:val="0A2032A3"/>
    <w:rsid w:val="0B8A37D8"/>
    <w:rsid w:val="0C074876"/>
    <w:rsid w:val="0EC71F0D"/>
    <w:rsid w:val="10C055FF"/>
    <w:rsid w:val="112C7A85"/>
    <w:rsid w:val="118107EC"/>
    <w:rsid w:val="11DD6519"/>
    <w:rsid w:val="12910332"/>
    <w:rsid w:val="157E27B0"/>
    <w:rsid w:val="16BB723D"/>
    <w:rsid w:val="177D300F"/>
    <w:rsid w:val="18015F3F"/>
    <w:rsid w:val="1BE8440E"/>
    <w:rsid w:val="1D155CEE"/>
    <w:rsid w:val="20F57F95"/>
    <w:rsid w:val="23066A21"/>
    <w:rsid w:val="240371BF"/>
    <w:rsid w:val="24D54B4E"/>
    <w:rsid w:val="25C741E6"/>
    <w:rsid w:val="27842671"/>
    <w:rsid w:val="29FD04D3"/>
    <w:rsid w:val="2ABE7A3E"/>
    <w:rsid w:val="2C0D4D5A"/>
    <w:rsid w:val="2EFA178C"/>
    <w:rsid w:val="307F3F9D"/>
    <w:rsid w:val="30B46D73"/>
    <w:rsid w:val="319F7F4E"/>
    <w:rsid w:val="32E05DEF"/>
    <w:rsid w:val="353C0D20"/>
    <w:rsid w:val="39AE70AB"/>
    <w:rsid w:val="3C0C0783"/>
    <w:rsid w:val="3F795B0E"/>
    <w:rsid w:val="3F9F3A96"/>
    <w:rsid w:val="493C27E9"/>
    <w:rsid w:val="496F39ED"/>
    <w:rsid w:val="49FF41D3"/>
    <w:rsid w:val="4A185DC8"/>
    <w:rsid w:val="4BE068DB"/>
    <w:rsid w:val="4BF6002B"/>
    <w:rsid w:val="4ECE2238"/>
    <w:rsid w:val="4FD61684"/>
    <w:rsid w:val="503645ED"/>
    <w:rsid w:val="508F3649"/>
    <w:rsid w:val="51DB4B86"/>
    <w:rsid w:val="53EC6A55"/>
    <w:rsid w:val="552C497B"/>
    <w:rsid w:val="55333C3E"/>
    <w:rsid w:val="58737E60"/>
    <w:rsid w:val="64A80084"/>
    <w:rsid w:val="64CA39A1"/>
    <w:rsid w:val="65B126BB"/>
    <w:rsid w:val="661173D4"/>
    <w:rsid w:val="6C4A05C8"/>
    <w:rsid w:val="6C6E6699"/>
    <w:rsid w:val="6EDA0CDC"/>
    <w:rsid w:val="72734D90"/>
    <w:rsid w:val="727D7081"/>
    <w:rsid w:val="72E456B5"/>
    <w:rsid w:val="74E366CA"/>
    <w:rsid w:val="79E7B28D"/>
    <w:rsid w:val="7B351F6C"/>
    <w:rsid w:val="7BFA24EA"/>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573.44</c:v>
                </c:pt>
                <c:pt idx="1">
                  <c:v>687.92</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573.44</c:v>
                </c:pt>
                <c:pt idx="1">
                  <c:v>687.92</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manualLayout>
                  <c:x val="0.0034106402107771"/>
                  <c:y val="-0.38122449803149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支出决算结构图</a:t>
            </a:r>
          </a:p>
        </c:rich>
      </c:tx>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a:outerShdw blurRad="254000" sx="102000" sy="102000" algn="ctr" rotWithShape="0">
                  <a:prstClr val="black">
                    <a:alpha val="20000"/>
                  </a:prstClr>
                </a:outerShdw>
              </a:effectLst>
            </c:spPr>
          </c:dPt>
          <c:dPt>
            <c:idx val="1"/>
            <c:bubble3D val="0"/>
            <c:spPr>
              <a:solidFill>
                <a:schemeClr val="accent2"/>
              </a:solidFill>
              <a:ln>
                <a:noFill/>
              </a:ln>
              <a:effectLst>
                <a:outerShdw blurRad="254000" sx="102000" sy="102000" algn="ctr" rotWithShape="0">
                  <a:prstClr val="black">
                    <a:alpha val="20000"/>
                  </a:prstClr>
                </a:outerShdw>
              </a:effectLst>
            </c:spPr>
          </c:dPt>
          <c:dLbls>
            <c:dLbl>
              <c:idx val="0"/>
              <c:layout/>
              <c:tx>
                <c:rich>
                  <a:bodyPr rot="0" spcFirstLastPara="0" vertOverflow="ellipsis" vert="horz" wrap="square" lIns="38100" tIns="19050" rIns="38100" bIns="19050" anchor="ctr" anchorCtr="1"/>
                  <a:lstStyle/>
                  <a:p>
                    <a:pPr defTabSz="914400">
                      <a:defRPr lang="zh-CN" sz="1000" b="1" i="0" u="none" strike="noStrike" kern="1200" baseline="0">
                        <a:solidFill>
                          <a:schemeClr val="lt1"/>
                        </a:solidFill>
                        <a:latin typeface="+mn-lt"/>
                        <a:ea typeface="+mn-ea"/>
                        <a:cs typeface="+mn-cs"/>
                      </a:defRPr>
                    </a:pPr>
                    <a:r>
                      <a:t>9</a:t>
                    </a:r>
                    <a:r>
                      <a:rPr lang="en-US" altLang="zh-CN"/>
                      <a:t>1.57</a:t>
                    </a:r>
                    <a:r>
                      <a:t>%</a:t>
                    </a:r>
                  </a:p>
                </c:rich>
              </c:tx>
              <c:dLblPos val="ctr"/>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1" i="0" u="none" strike="noStrike" kern="1200" baseline="0">
                        <a:solidFill>
                          <a:schemeClr val="lt1"/>
                        </a:solidFill>
                        <a:latin typeface="+mn-lt"/>
                        <a:ea typeface="+mn-ea"/>
                        <a:cs typeface="+mn-cs"/>
                      </a:defRPr>
                    </a:pPr>
                    <a:r>
                      <a:t>8</a:t>
                    </a:r>
                    <a:r>
                      <a:rPr lang="en-US" altLang="zh-CN"/>
                      <a:t>.43</a:t>
                    </a:r>
                    <a:r>
                      <a:t>%</a:t>
                    </a:r>
                  </a:p>
                </c:rich>
              </c:tx>
              <c:dLblPos val="ctr"/>
              <c:showLegendKey val="0"/>
              <c:showVal val="0"/>
              <c:showCatName val="0"/>
              <c:showSerName val="0"/>
              <c:showPercent val="1"/>
              <c:showBubbleSize val="0"/>
              <c:extLst>
                <c:ext xmlns:c15="http://schemas.microsoft.com/office/drawing/2012/chart" uri="{CE6537A1-D6FC-4f65-9D91-7224C49458BB}"/>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0" vertOverflow="ellipsis" vert="horz" wrap="square" lIns="38100" tIns="19050" rIns="38100" bIns="19050" anchor="ctr" anchorCtr="1"/>
              <a:lstStyle/>
              <a:p>
                <a:pPr>
                  <a:defRPr lang="zh-CN" sz="1000" b="1" i="0" u="none" strike="noStrike" kern="1200" baseline="0">
                    <a:solidFill>
                      <a:schemeClr val="lt1"/>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a:solidFill>
                        <a:schemeClr val="dk1">
                          <a:lumMod val="50000"/>
                          <a:lumOff val="50000"/>
                        </a:schemeClr>
                      </a:solidFill>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629.92</c:v>
                </c:pt>
                <c:pt idx="1">
                  <c:v>58</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r"/>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573.44</c:v>
                </c:pt>
                <c:pt idx="1">
                  <c:v>687.92</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573.44</c:v>
                </c:pt>
                <c:pt idx="1">
                  <c:v>687.92</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573.44</c:v>
                </c:pt>
                <c:pt idx="1">
                  <c:v>687.92</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3">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25</Pages>
  <Words>10184</Words>
  <Characters>10658</Characters>
  <Lines>47</Lines>
  <Paragraphs>13</Paragraphs>
  <TotalTime>0</TotalTime>
  <ScaleCrop>false</ScaleCrop>
  <LinksUpToDate>false</LinksUpToDate>
  <CharactersWithSpaces>10730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2022-09-29T12:23:00Z</cp:lastPrinted>
  <dcterms:modified xsi:type="dcterms:W3CDTF">2022-09-30T14:27:46Z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90E9467CCEFE4D188C1A3EBDCF3991AB</vt:lpwstr>
  </property>
</Properties>
</file>