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96597"/>
      <w:bookmarkStart w:id="3" w:name="_Toc15396475"/>
      <w:bookmarkStart w:id="4" w:name="_Toc15377425"/>
      <w:bookmarkStart w:id="5" w:name="_Toc15378441"/>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426"/>
      <w:bookmarkStart w:id="7" w:name="_Toc15396598"/>
      <w:bookmarkStart w:id="8" w:name="_Toc15377194"/>
      <w:bookmarkStart w:id="9" w:name="_Toc15396476"/>
      <w:bookmarkStart w:id="10" w:name="_Toc15378442"/>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_GBK" w:hAnsi="方正小标宋_GBK" w:eastAsia="方正小标宋_GBK" w:cs="方正小标宋_GBK"/>
          <w:color w:val="auto"/>
          <w:sz w:val="72"/>
          <w:szCs w:val="72"/>
          <w:highlight w:val="none"/>
          <w:lang w:eastAsia="zh-CN"/>
        </w:rPr>
        <w:t>昭化镇大朝小学</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13</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15</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ind w:firstLine="643" w:firstLineChars="200"/>
        <w:rPr>
          <w:rFonts w:hint="eastAsia" w:ascii="仿宋" w:hAnsi="仿宋" w:eastAsia="仿宋"/>
          <w:b/>
          <w:bCs/>
          <w:color w:val="auto"/>
          <w:sz w:val="32"/>
          <w:szCs w:val="32"/>
          <w:highlight w:val="none"/>
        </w:rPr>
      </w:pPr>
      <w:bookmarkStart w:id="16" w:name="_Toc15396602"/>
      <w:bookmarkStart w:id="17" w:name="_Toc15377204"/>
      <w:r>
        <w:rPr>
          <w:rFonts w:hint="eastAsia" w:ascii="仿宋" w:hAnsi="仿宋" w:eastAsia="仿宋"/>
          <w:b/>
          <w:bCs/>
          <w:color w:val="auto"/>
          <w:sz w:val="32"/>
          <w:szCs w:val="32"/>
          <w:highlight w:val="none"/>
        </w:rPr>
        <w:t>一、抓好基层党建，加强党风廉政建设</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严格开展三会一课，不断加强党史学习教育，锤炼党性修养。开展喜迎二十大系列活动，认真学习贯彻习近平总书记的系列讲话精神，宣讲了中国共产党四川省第十二次代表大会精神，完成主题教育各项规定工作。积极吸收1名预备党员，1名预备党员按期转为正式党员。加强党风廉政建设，常抓班子廉政和警示教育，重视师德师风教育，深化全体教师的意识形态教育，牢固树立“四个意识”，及时开展以案为鉴的警示教育，以案促改的作风纪律整顿工作，本年度确保了零事故发生。按照党建学习要求完成一切规定动作和内容。坚持学校大事行政会议提议，支委会审议通过。规范财务管理，无乱收费现象。科学决策、民主管理、公平公正、校务公开。</w:t>
      </w:r>
    </w:p>
    <w:p>
      <w:pPr>
        <w:ind w:firstLine="643" w:firstLineChars="200"/>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二、狠抓常规管理，提升学校内涵发展</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（一）真双减提质量</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严格执行课程计划，狠抓“六认真”，结合信息化2</w:t>
      </w:r>
      <w:r>
        <w:rPr>
          <w:rFonts w:ascii="仿宋" w:hAnsi="仿宋" w:eastAsia="仿宋"/>
          <w:color w:val="auto"/>
          <w:sz w:val="32"/>
          <w:szCs w:val="32"/>
          <w:highlight w:val="none"/>
        </w:rPr>
        <w:t>.0</w:t>
      </w:r>
      <w:r>
        <w:rPr>
          <w:rFonts w:hint="eastAsia" w:ascii="仿宋" w:hAnsi="仿宋" w:eastAsia="仿宋"/>
          <w:color w:val="auto"/>
          <w:sz w:val="32"/>
          <w:szCs w:val="32"/>
          <w:highlight w:val="none"/>
        </w:rPr>
        <w:t>提升培训，促进全体教师全面提升信息技术与学科教学深度融合，落实“双减”，提升学校教学质量。</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（二）抗疫情保平安</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学校在疫情防控上严要求，常态化管理，每日“三检一消杀”，严防外来不明人员入校，来访人员实行“一码三查”确保了师生的健康与安全，并在疫苗接种上完成了“可接全接”。</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（三）创特色强内涵</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学校在班家文化特色上，积极挖掘内涵，从策略、形势和内容上进一步丰富，让班级功能多元化于一体，既让学生学到知识、又让班级像家一样温馨，力争把学生留住、把学生吸引回来。</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（四）接现代留传统</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学校不但继续开展机器人社团活动，还在课后延时服务中开设了少儿编程、添置了两台无人机，受捐了1</w:t>
      </w:r>
      <w:r>
        <w:rPr>
          <w:rFonts w:ascii="仿宋" w:hAnsi="仿宋" w:eastAsia="仿宋"/>
          <w:color w:val="auto"/>
          <w:sz w:val="32"/>
          <w:szCs w:val="32"/>
          <w:highlight w:val="none"/>
        </w:rPr>
        <w:t>6</w:t>
      </w:r>
      <w:r>
        <w:rPr>
          <w:rFonts w:hint="eastAsia" w:ascii="仿宋" w:hAnsi="仿宋" w:eastAsia="仿宋"/>
          <w:color w:val="auto"/>
          <w:sz w:val="32"/>
          <w:szCs w:val="32"/>
          <w:highlight w:val="none"/>
        </w:rPr>
        <w:t>套平板和编程猫教程。传统阅读、书法课程也不丢，让大朝学子不输在起跑线上。</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（五）抓班子带队伍</w:t>
      </w:r>
    </w:p>
    <w:p>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在全区以案促改专题活动中，要求班子成员在工作作风上要讲原则、讲效果，敢抓敢管，雷厉风行，不拖沓，不搞事后忙；工作意识上要讲大局、讲服务；部门之间不推诿，全心全意为老师做实事，为教学服好务。团结务实、勤政廉洁、创新进取的服务型管理团队渐趋成熟。教师队伍纯、工作激情高。</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（六）抓德育强习惯</w:t>
      </w:r>
    </w:p>
    <w:p>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学校始终把学生德育教育放在首位。常抓森林防火、防溺水、防校园欺凌、电信诈骗和交通安全等教育，确保学生安全零事故。为促进学生德智体美劳全面发展，让学生养成良好的行为习惯，学校设置了积分兑换超市调动学生积极性和良好习惯的养成，周一升优胜班级班旗增强学生集体荣誉感。</w:t>
      </w:r>
    </w:p>
    <w:p>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（七）多形式增吸引</w:t>
      </w:r>
    </w:p>
    <w:p>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学校每月开展一次劳动实践“包饺子”，还开辟了劳动实践园，种上了瓜果蔬菜，学校还在今年六一举行了六一文艺庆祝和第二届机器人比赛活动，组织学生到昭化小学展示无人机操控和机器人表演，增强了学校的吸引力。</w:t>
      </w:r>
    </w:p>
    <w:p>
      <w:pPr>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（八）保权益增凝聚</w:t>
      </w:r>
    </w:p>
    <w:p>
      <w:pPr>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为了保证老师们的权益，学校竭尽全力保教职工基本福利待遇，教职工慰问，公平公正，遇事共商，凝聚力强。</w:t>
      </w: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2"/>
        <w:rPr>
          <w:rFonts w:hint="eastAsia" w:ascii="仿宋" w:hAnsi="仿宋" w:eastAsia="仿宋" w:cs="仿宋"/>
          <w:b w:val="0"/>
          <w:bCs w:val="0"/>
          <w:color w:val="auto"/>
          <w:sz w:val="32"/>
          <w:szCs w:val="32"/>
          <w:highlight w:val="none"/>
        </w:rPr>
      </w:pP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。与2020年相比，收、支总计各增加</w:t>
      </w:r>
      <w:r>
        <w:rPr>
          <w:rFonts w:hint="eastAsia" w:ascii="仿宋" w:hAnsi="仿宋" w:eastAsia="仿宋"/>
          <w:color w:val="auto"/>
          <w:sz w:val="32"/>
          <w:szCs w:val="32"/>
          <w:highlight w:val="none"/>
          <w:lang w:val="en-US" w:eastAsia="zh-CN"/>
        </w:rPr>
        <w:t>14.34万元</w:t>
      </w:r>
      <w:r>
        <w:rPr>
          <w:rFonts w:hint="eastAsia" w:ascii="仿宋" w:hAnsi="仿宋" w:eastAsia="仿宋"/>
          <w:color w:val="auto"/>
          <w:sz w:val="32"/>
          <w:szCs w:val="32"/>
          <w:highlight w:val="none"/>
        </w:rPr>
        <w:t>，增长</w:t>
      </w:r>
      <w:r>
        <w:rPr>
          <w:rFonts w:hint="eastAsia" w:ascii="仿宋" w:hAnsi="仿宋" w:eastAsia="仿宋"/>
          <w:color w:val="auto"/>
          <w:sz w:val="32"/>
          <w:szCs w:val="32"/>
          <w:highlight w:val="none"/>
          <w:lang w:val="en-US" w:eastAsia="zh-CN"/>
        </w:rPr>
        <w:t>2.83%</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，其中：一般公共预算财政拨款收入</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2"/>
        <w:rPr>
          <w:rFonts w:hint="eastAsia"/>
          <w:color w:val="auto"/>
          <w:highlight w:val="none"/>
        </w:rPr>
      </w:pP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，其中：基本支出</w:t>
      </w:r>
      <w:r>
        <w:rPr>
          <w:rFonts w:hint="eastAsia" w:ascii="仿宋" w:hAnsi="仿宋" w:eastAsia="仿宋"/>
          <w:color w:val="auto"/>
          <w:sz w:val="32"/>
          <w:szCs w:val="32"/>
          <w:highlight w:val="none"/>
          <w:lang w:val="en-US" w:eastAsia="zh-CN"/>
        </w:rPr>
        <w:t>390.33万元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75.02%</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130万元</w:t>
      </w:r>
      <w:r>
        <w:rPr>
          <w:rFonts w:hint="eastAsia" w:ascii="仿宋" w:hAnsi="仿宋" w:eastAsia="仿宋"/>
          <w:color w:val="auto"/>
          <w:sz w:val="32"/>
          <w:szCs w:val="32"/>
          <w:highlight w:val="none"/>
        </w:rPr>
        <w:t>，占</w:t>
      </w:r>
      <w:r>
        <w:rPr>
          <w:rFonts w:hint="eastAsia" w:ascii="仿宋" w:hAnsi="仿宋" w:eastAsia="仿宋"/>
          <w:color w:val="auto"/>
          <w:sz w:val="32"/>
          <w:szCs w:val="32"/>
          <w:highlight w:val="none"/>
          <w:lang w:val="en-US" w:eastAsia="zh-CN"/>
        </w:rPr>
        <w:t>24.98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w:t>
      </w:r>
      <w:r>
        <w:rPr>
          <w:rFonts w:hint="eastAsia" w:ascii="仿宋" w:hAnsi="仿宋" w:eastAsia="仿宋"/>
          <w:color w:val="auto"/>
          <w:sz w:val="32"/>
          <w:szCs w:val="32"/>
          <w:highlight w:val="none"/>
          <w:lang w:val="en-US" w:eastAsia="zh-CN"/>
        </w:rPr>
        <w:t>14.34万元</w:t>
      </w:r>
      <w:r>
        <w:rPr>
          <w:rFonts w:hint="eastAsia" w:ascii="仿宋" w:hAnsi="仿宋" w:eastAsia="仿宋"/>
          <w:color w:val="auto"/>
          <w:sz w:val="32"/>
          <w:szCs w:val="32"/>
          <w:highlight w:val="none"/>
        </w:rPr>
        <w:t>，增长</w:t>
      </w:r>
      <w:r>
        <w:rPr>
          <w:rFonts w:hint="eastAsia" w:ascii="仿宋" w:hAnsi="仿宋" w:eastAsia="仿宋"/>
          <w:color w:val="auto"/>
          <w:sz w:val="32"/>
          <w:szCs w:val="32"/>
          <w:highlight w:val="none"/>
          <w:lang w:val="en-US" w:eastAsia="zh-CN"/>
        </w:rPr>
        <w:t>2.83%</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outlineLvl w:val="1"/>
        <w:rPr>
          <w:rStyle w:val="30"/>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default" w:ascii="仿宋" w:hAnsi="仿宋" w:eastAsia="仿宋"/>
          <w:b/>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505.99</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w:t>
      </w:r>
      <w:r>
        <w:rPr>
          <w:rFonts w:hint="eastAsia" w:ascii="仿宋" w:hAnsi="仿宋" w:eastAsia="仿宋"/>
          <w:color w:val="auto"/>
          <w:sz w:val="32"/>
          <w:szCs w:val="32"/>
          <w:highlight w:val="none"/>
          <w:lang w:val="en-US" w:eastAsia="zh-CN"/>
        </w:rPr>
        <w:t>14.34万元</w:t>
      </w:r>
      <w:r>
        <w:rPr>
          <w:rFonts w:hint="eastAsia" w:ascii="仿宋" w:hAnsi="仿宋" w:eastAsia="仿宋"/>
          <w:color w:val="auto"/>
          <w:sz w:val="32"/>
          <w:szCs w:val="32"/>
          <w:highlight w:val="none"/>
        </w:rPr>
        <w:t>，增长</w:t>
      </w:r>
      <w:r>
        <w:rPr>
          <w:rFonts w:hint="eastAsia" w:ascii="仿宋" w:hAnsi="仿宋" w:eastAsia="仿宋"/>
          <w:color w:val="auto"/>
          <w:sz w:val="32"/>
          <w:szCs w:val="32"/>
          <w:highlight w:val="none"/>
          <w:lang w:val="en-US" w:eastAsia="zh-CN"/>
        </w:rPr>
        <w:t>2.83%</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基本支出增加</w:t>
      </w:r>
      <w:r>
        <w:rPr>
          <w:rFonts w:hint="eastAsia" w:ascii="仿宋" w:hAnsi="仿宋" w:eastAsia="仿宋"/>
          <w:color w:val="auto"/>
          <w:sz w:val="32"/>
          <w:szCs w:val="32"/>
          <w:highlight w:val="none"/>
        </w:rPr>
        <w:t>。</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lang w:val="en-US" w:eastAsia="zh-CN"/>
        </w:rPr>
        <w:t>520.33万元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8460"/>
      <w:bookmarkStart w:id="32" w:name="_Toc15377444"/>
      <w:bookmarkStart w:id="33" w:name="_Toc15377213"/>
      <w:r>
        <w:rPr>
          <w:rFonts w:hint="eastAsia" w:ascii="仿宋" w:hAnsi="仿宋" w:eastAsia="仿宋"/>
          <w:b/>
          <w:color w:val="auto"/>
          <w:sz w:val="32"/>
          <w:szCs w:val="32"/>
          <w:highlight w:val="none"/>
        </w:rPr>
        <w:t>2021年一般公共预算支出决算数为</w:t>
      </w:r>
      <w:r>
        <w:rPr>
          <w:rFonts w:hint="eastAsia" w:ascii="仿宋" w:hAnsi="仿宋" w:eastAsia="仿宋"/>
          <w:b/>
          <w:color w:val="auto"/>
          <w:sz w:val="32"/>
          <w:szCs w:val="32"/>
          <w:highlight w:val="none"/>
          <w:lang w:val="en-US" w:eastAsia="zh-CN"/>
        </w:rPr>
        <w:t>520.33万元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390.33万元</w:t>
      </w:r>
      <w:r>
        <w:rPr>
          <w:rStyle w:val="19"/>
          <w:rFonts w:hint="eastAsia" w:ascii="仿宋" w:hAnsi="仿宋" w:eastAsia="仿宋"/>
          <w:b w:val="0"/>
          <w:bCs/>
          <w:color w:val="auto"/>
          <w:sz w:val="32"/>
          <w:szCs w:val="32"/>
          <w:highlight w:val="none"/>
        </w:rPr>
        <w:t>，完成预算100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w:t>
      </w:r>
      <w:r>
        <w:rPr>
          <w:rStyle w:val="19"/>
          <w:rFonts w:hint="eastAsia" w:ascii="仿宋" w:hAnsi="仿宋" w:eastAsia="仿宋"/>
          <w:bCs/>
          <w:color w:val="auto"/>
          <w:sz w:val="32"/>
          <w:szCs w:val="32"/>
          <w:highlight w:val="none"/>
          <w:lang w:eastAsia="zh-CN"/>
        </w:rPr>
        <w:t>普通教育</w:t>
      </w:r>
      <w:r>
        <w:rPr>
          <w:rStyle w:val="19"/>
          <w:rFonts w:hint="eastAsia" w:ascii="仿宋" w:hAnsi="仿宋" w:eastAsia="仿宋"/>
          <w:bCs/>
          <w:color w:val="auto"/>
          <w:sz w:val="32"/>
          <w:szCs w:val="32"/>
          <w:highlight w:val="none"/>
        </w:rPr>
        <w:t>0</w:t>
      </w:r>
      <w:r>
        <w:rPr>
          <w:rStyle w:val="19"/>
          <w:rFonts w:hint="eastAsia" w:ascii="仿宋" w:hAnsi="仿宋" w:eastAsia="仿宋"/>
          <w:bCs/>
          <w:color w:val="auto"/>
          <w:sz w:val="32"/>
          <w:szCs w:val="32"/>
          <w:highlight w:val="none"/>
          <w:lang w:val="en-US" w:eastAsia="zh-CN"/>
        </w:rPr>
        <w:t>2</w:t>
      </w:r>
      <w:r>
        <w:rPr>
          <w:rStyle w:val="19"/>
          <w:rFonts w:hint="eastAsia" w:ascii="仿宋" w:hAnsi="仿宋" w:eastAsia="仿宋"/>
          <w:bCs/>
          <w:color w:val="auto"/>
          <w:sz w:val="32"/>
          <w:szCs w:val="32"/>
          <w:highlight w:val="none"/>
        </w:rPr>
        <w:t>（款）</w:t>
      </w:r>
      <w:r>
        <w:rPr>
          <w:rStyle w:val="19"/>
          <w:rFonts w:hint="eastAsia" w:ascii="仿宋" w:hAnsi="仿宋" w:eastAsia="仿宋"/>
          <w:bCs/>
          <w:color w:val="auto"/>
          <w:sz w:val="32"/>
          <w:szCs w:val="32"/>
          <w:highlight w:val="none"/>
          <w:lang w:eastAsia="zh-CN"/>
        </w:rPr>
        <w:t>其他普通教育</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130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w:t>
      </w:r>
      <w:r>
        <w:rPr>
          <w:rFonts w:hint="eastAsia" w:ascii="仿宋" w:hAnsi="仿宋" w:eastAsia="仿宋"/>
          <w:color w:val="auto"/>
          <w:sz w:val="32"/>
          <w:szCs w:val="32"/>
          <w:highlight w:val="none"/>
          <w:lang w:val="en-US" w:eastAsia="zh-CN"/>
        </w:rPr>
        <w:t>390.33万元</w:t>
      </w:r>
      <w:r>
        <w:rPr>
          <w:rFonts w:hint="eastAsia" w:ascii="仿宋" w:hAnsi="仿宋" w:eastAsia="仿宋"/>
          <w:color w:val="auto"/>
          <w:sz w:val="32"/>
          <w:szCs w:val="32"/>
          <w:highlight w:val="none"/>
        </w:rPr>
        <w:t>，其中：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323.20</w:t>
      </w:r>
      <w:r>
        <w:rPr>
          <w:rFonts w:hint="eastAsia" w:ascii="仿宋" w:hAnsi="仿宋" w:eastAsia="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w:t>
      </w:r>
      <w:r>
        <w:rPr>
          <w:rFonts w:hint="eastAsia" w:ascii="仿宋" w:hAnsi="仿宋" w:eastAsia="仿宋"/>
          <w:color w:val="auto"/>
          <w:sz w:val="32"/>
          <w:szCs w:val="32"/>
          <w:highlight w:val="none"/>
          <w:lang w:eastAsia="zh-CN"/>
        </w:rPr>
        <w:t>助学金、</w:t>
      </w:r>
      <w:r>
        <w:rPr>
          <w:rFonts w:hint="eastAsia" w:ascii="仿宋" w:hAnsi="仿宋" w:eastAsia="仿宋"/>
          <w:color w:val="auto"/>
          <w:sz w:val="32"/>
          <w:szCs w:val="32"/>
          <w:highlight w:val="none"/>
        </w:rPr>
        <w:t>奖励金等。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67.13</w:t>
      </w:r>
      <w:r>
        <w:rPr>
          <w:rFonts w:hint="eastAsia" w:ascii="仿宋" w:hAnsi="仿宋" w:eastAsia="仿宋"/>
          <w:color w:val="auto"/>
          <w:sz w:val="32"/>
          <w:szCs w:val="32"/>
          <w:highlight w:val="none"/>
        </w:rPr>
        <w:t>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w:t>
      </w:r>
      <w:r>
        <w:rPr>
          <w:rFonts w:hint="eastAsia" w:ascii="仿宋" w:hAnsi="仿宋" w:eastAsia="仿宋"/>
          <w:color w:val="auto"/>
          <w:sz w:val="32"/>
          <w:szCs w:val="32"/>
          <w:highlight w:val="none"/>
          <w:lang w:val="en-US" w:eastAsia="zh-CN"/>
        </w:rPr>
        <w:t>0.55万元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94.83%</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0.55万元</w:t>
      </w:r>
      <w:r>
        <w:rPr>
          <w:rFonts w:hint="eastAsia" w:ascii="仿宋" w:hAnsi="仿宋" w:eastAsia="仿宋"/>
          <w:color w:val="auto"/>
          <w:sz w:val="32"/>
          <w:szCs w:val="32"/>
          <w:highlight w:val="none"/>
        </w:rPr>
        <w:t>，占100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lang w:val="en-US" w:eastAsia="zh-CN"/>
        </w:rPr>
        <w:t>0.55万元</w:t>
      </w:r>
      <w:r>
        <w:rPr>
          <w:rFonts w:hint="eastAsia" w:ascii="仿宋" w:hAnsi="仿宋" w:eastAsia="仿宋"/>
          <w:color w:val="auto"/>
          <w:sz w:val="32"/>
          <w:szCs w:val="32"/>
          <w:highlight w:val="none"/>
        </w:rPr>
        <w:t>，完成预算</w:t>
      </w:r>
      <w:r>
        <w:rPr>
          <w:rFonts w:hint="eastAsia" w:ascii="仿宋" w:hAnsi="仿宋" w:eastAsia="仿宋"/>
          <w:color w:val="auto"/>
          <w:sz w:val="32"/>
          <w:szCs w:val="32"/>
          <w:highlight w:val="none"/>
          <w:lang w:val="en-US" w:eastAsia="zh-CN"/>
        </w:rPr>
        <w:t>94.83%</w:t>
      </w:r>
      <w:r>
        <w:rPr>
          <w:rFonts w:hint="default" w:ascii="Times New Roman" w:hAnsi="Times New Roman" w:eastAsia="仿宋" w:cs="Times New Roman"/>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0.03万元</w:t>
      </w:r>
      <w:r>
        <w:rPr>
          <w:rFonts w:hint="eastAsia" w:ascii="仿宋_GB2312" w:eastAsia="仿宋_GB2312"/>
          <w:color w:val="auto"/>
          <w:sz w:val="32"/>
          <w:szCs w:val="32"/>
          <w:highlight w:val="none"/>
        </w:rPr>
        <w:t>，下降</w:t>
      </w:r>
      <w:r>
        <w:rPr>
          <w:rFonts w:hint="eastAsia" w:ascii="仿宋_GB2312" w:eastAsia="仿宋_GB2312"/>
          <w:color w:val="auto"/>
          <w:sz w:val="32"/>
          <w:szCs w:val="32"/>
          <w:highlight w:val="none"/>
          <w:lang w:val="en-US" w:eastAsia="zh-CN"/>
        </w:rPr>
        <w:t>5.17</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eastAsia="仿宋" w:cs="Times New Roman"/>
          <w:color w:val="auto"/>
          <w:sz w:val="32"/>
          <w:szCs w:val="32"/>
          <w:highlight w:val="none"/>
          <w:lang w:val="en-US" w:eastAsia="zh-CN"/>
        </w:rPr>
        <w:t>0.55万元</w:t>
      </w:r>
      <w:r>
        <w:rPr>
          <w:rFonts w:hint="default" w:ascii="Times New Roman" w:hAnsi="Times New Roman" w:eastAsia="仿宋" w:cs="Times New Roman"/>
          <w:color w:val="auto"/>
          <w:sz w:val="32"/>
          <w:szCs w:val="32"/>
          <w:highlight w:val="none"/>
        </w:rPr>
        <w:t>，主要用于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35</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118</w:t>
      </w:r>
      <w:r>
        <w:rPr>
          <w:rFonts w:hint="default" w:ascii="Times New Roman" w:hAnsi="Times New Roman" w:eastAsia="仿宋" w:cs="Times New Roman"/>
          <w:color w:val="auto"/>
          <w:sz w:val="32"/>
          <w:szCs w:val="32"/>
          <w:highlight w:val="none"/>
        </w:rPr>
        <w:t>人次（不包括陪同人员），共计支出</w:t>
      </w:r>
      <w:r>
        <w:rPr>
          <w:rFonts w:hint="eastAsia" w:eastAsia="仿宋" w:cs="Times New Roman"/>
          <w:color w:val="auto"/>
          <w:sz w:val="32"/>
          <w:szCs w:val="32"/>
          <w:highlight w:val="none"/>
          <w:lang w:val="en-US" w:eastAsia="zh-CN"/>
        </w:rPr>
        <w:t>0.55万元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0.1万元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交流0.15万元、</w:t>
      </w:r>
      <w:r>
        <w:rPr>
          <w:rFonts w:hint="eastAsia" w:ascii="仿宋_GB2312" w:eastAsia="仿宋_GB2312"/>
          <w:color w:val="auto"/>
          <w:sz w:val="32"/>
          <w:szCs w:val="32"/>
          <w:highlight w:val="none"/>
          <w:lang w:val="en-US" w:eastAsia="zh-CN"/>
        </w:rPr>
        <w:t>学生活动费及运动会学生用餐、交通费、体检费等0.3万元。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16"/>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对追加预算食堂改造项目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pStyle w:val="2"/>
        <w:spacing w:before="93"/>
        <w:rPr>
          <w:color w:val="auto"/>
          <w:highlight w:val="none"/>
        </w:rPr>
      </w:pP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7.教育（类）普通教育（款）其他普通教育（项）：指其他普通教育</w:t>
      </w:r>
      <w:r>
        <w:rPr>
          <w:rFonts w:hint="eastAsia" w:ascii="仿宋_GB2312" w:eastAsia="仿宋_GB2312"/>
          <w:color w:val="auto"/>
          <w:sz w:val="32"/>
          <w:szCs w:val="32"/>
          <w:highlight w:val="none"/>
          <w:lang w:eastAsia="zh-CN"/>
        </w:rPr>
        <w:t>支出</w:t>
      </w:r>
      <w:r>
        <w:rPr>
          <w:rFonts w:hint="eastAsia" w:ascii="仿宋_GB2312" w:eastAsia="仿宋_GB2312"/>
          <w:color w:val="auto"/>
          <w:sz w:val="32"/>
          <w:szCs w:val="32"/>
          <w:highlight w:val="none"/>
        </w:rPr>
        <w:t>。</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bookmarkStart w:id="53" w:name="_Toc15396618"/>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bookmarkStart w:id="67" w:name="_GoBack"/>
      <w:bookmarkEnd w:id="67"/>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2021年部门预算项目绩效目标自评</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lang w:eastAsia="zh-CN"/>
              </w:rPr>
              <w:t>（昭化镇大朝小学食堂改造项目）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360332</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广元市昭化区昭化镇大朝小学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130</w:t>
            </w:r>
          </w:p>
        </w:tc>
      </w:tr>
      <w:tr>
        <w:tblPrEx>
          <w:tblCellMar>
            <w:top w:w="0" w:type="dxa"/>
            <w:left w:w="108" w:type="dxa"/>
            <w:bottom w:w="0" w:type="dxa"/>
            <w:right w:w="108" w:type="dxa"/>
          </w:tblCellMar>
        </w:tblPrEx>
        <w:trPr>
          <w:gridAfter w:val="1"/>
          <w:wAfter w:w="236" w:type="dxa"/>
          <w:trHeight w:val="613"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130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1166"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lang w:eastAsia="zh-CN"/>
              </w:rPr>
              <w:t>食堂改造面积</w:t>
            </w:r>
            <w:r>
              <w:rPr>
                <w:rFonts w:hint="eastAsia" w:ascii="宋体" w:hAnsi="宋体" w:cs="宋体"/>
                <w:color w:val="auto"/>
                <w:sz w:val="22"/>
                <w:szCs w:val="22"/>
                <w:highlight w:val="none"/>
                <w:lang w:val="en-US" w:eastAsia="zh-CN"/>
              </w:rPr>
              <w:t>1700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0"/>
                <w:szCs w:val="20"/>
                <w:highlight w:val="none"/>
                <w:lang w:eastAsia="zh-CN"/>
              </w:rPr>
              <w:t>完成</w:t>
            </w:r>
            <w:r>
              <w:rPr>
                <w:rFonts w:hint="eastAsia" w:ascii="宋体" w:hAnsi="宋体" w:cs="宋体"/>
                <w:color w:val="auto"/>
                <w:sz w:val="20"/>
                <w:szCs w:val="20"/>
                <w:highlight w:val="none"/>
                <w:lang w:val="en-US" w:eastAsia="zh-CN"/>
              </w:rPr>
              <w:t>800</w:t>
            </w:r>
            <w:r>
              <w:rPr>
                <w:rFonts w:hint="default" w:ascii="宋体" w:hAnsi="宋体" w:cs="宋体"/>
                <w:color w:val="auto"/>
                <w:sz w:val="20"/>
                <w:szCs w:val="20"/>
                <w:highlight w:val="none"/>
              </w:rPr>
              <w:t>平方米</w:t>
            </w:r>
            <w:r>
              <w:rPr>
                <w:rFonts w:hint="eastAsia" w:ascii="宋体" w:hAnsi="宋体" w:cs="宋体"/>
                <w:color w:val="auto"/>
                <w:sz w:val="20"/>
                <w:szCs w:val="20"/>
                <w:highlight w:val="none"/>
                <w:lang w:eastAsia="zh-CN"/>
              </w:rPr>
              <w:t>的食堂改造，惠及</w:t>
            </w:r>
            <w:r>
              <w:rPr>
                <w:rFonts w:hint="eastAsia" w:ascii="宋体" w:hAnsi="宋体" w:cs="宋体"/>
                <w:color w:val="auto"/>
                <w:sz w:val="20"/>
                <w:szCs w:val="20"/>
                <w:highlight w:val="none"/>
                <w:lang w:val="en-US" w:eastAsia="zh-CN"/>
              </w:rPr>
              <w:t>47名学生，</w:t>
            </w:r>
            <w:r>
              <w:rPr>
                <w:rFonts w:hint="default" w:ascii="宋体" w:hAnsi="宋体" w:cs="宋体"/>
                <w:color w:val="auto"/>
                <w:sz w:val="20"/>
                <w:szCs w:val="20"/>
                <w:highlight w:val="none"/>
              </w:rPr>
              <w:t>改善</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学校办学条件和基础设施配套，提供</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高质量硬件设施设备，营造</w:t>
            </w:r>
            <w:r>
              <w:rPr>
                <w:rFonts w:hint="eastAsia" w:ascii="宋体" w:hAnsi="宋体" w:cs="宋体"/>
                <w:color w:val="auto"/>
                <w:sz w:val="20"/>
                <w:szCs w:val="20"/>
                <w:highlight w:val="none"/>
                <w:lang w:eastAsia="zh-CN"/>
              </w:rPr>
              <w:t>了</w:t>
            </w:r>
            <w:r>
              <w:rPr>
                <w:rFonts w:hint="default" w:ascii="宋体" w:hAnsi="宋体" w:cs="宋体"/>
                <w:color w:val="auto"/>
                <w:sz w:val="20"/>
                <w:szCs w:val="20"/>
                <w:highlight w:val="none"/>
              </w:rPr>
              <w:t>良好的学习氛围</w:t>
            </w:r>
            <w:r>
              <w:rPr>
                <w:rFonts w:hint="eastAsia" w:ascii="宋体" w:hAnsi="宋体" w:cs="宋体"/>
                <w:color w:val="auto"/>
                <w:sz w:val="20"/>
                <w:szCs w:val="20"/>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453"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1700m²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1700m²</w:t>
            </w:r>
          </w:p>
        </w:tc>
      </w:tr>
      <w:tr>
        <w:tblPrEx>
          <w:tblCellMar>
            <w:top w:w="0" w:type="dxa"/>
            <w:left w:w="108" w:type="dxa"/>
            <w:bottom w:w="0" w:type="dxa"/>
            <w:right w:w="108" w:type="dxa"/>
          </w:tblCellMar>
        </w:tblPrEx>
        <w:trPr>
          <w:gridAfter w:val="1"/>
          <w:wAfter w:w="236" w:type="dxa"/>
          <w:trHeight w:val="5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18"/>
                <w:szCs w:val="18"/>
                <w:highlight w:val="none"/>
                <w:lang w:eastAsia="zh-CN"/>
              </w:rPr>
              <w:t>食堂改造</w:t>
            </w:r>
            <w:r>
              <w:rPr>
                <w:rFonts w:hint="default" w:ascii="仿宋_GB2312" w:hAnsi="仿宋_GB2312" w:eastAsia="仿宋_GB2312" w:cs="仿宋_GB2312"/>
                <w:color w:val="auto"/>
                <w:sz w:val="18"/>
                <w:szCs w:val="18"/>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390"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食堂改造</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5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食堂改造建设周期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11个月</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11个月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食堂改造</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765元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491"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footerReference r:id="rId7" w:type="first"/>
      <w:footerReference r:id="rId6" w:type="default"/>
      <w:pgSz w:w="11906" w:h="16838"/>
      <w:pgMar w:top="1440" w:right="1800" w:bottom="1440" w:left="1800" w:header="851" w:footer="992" w:gutter="0"/>
      <w:pgNumType w:fmt="numberInDash" w:start="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default"/>
                              <w:lang w:val="en-US"/>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1"/>
                      <w:rPr>
                        <w:rFonts w:hint="default"/>
                        <w:lang w:val="en-US"/>
                      </w:rPr>
                    </w:pP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4054"/>
    <w:rsid w:val="038D3451"/>
    <w:rsid w:val="077961C6"/>
    <w:rsid w:val="099A2423"/>
    <w:rsid w:val="09BF1E8A"/>
    <w:rsid w:val="0A2032A3"/>
    <w:rsid w:val="0B8A37D8"/>
    <w:rsid w:val="0D766D04"/>
    <w:rsid w:val="0E6354DA"/>
    <w:rsid w:val="0EC353CF"/>
    <w:rsid w:val="0EC71F0D"/>
    <w:rsid w:val="107435F9"/>
    <w:rsid w:val="10C055FF"/>
    <w:rsid w:val="112C7A85"/>
    <w:rsid w:val="118107EC"/>
    <w:rsid w:val="11DB70C9"/>
    <w:rsid w:val="11DD6519"/>
    <w:rsid w:val="12910332"/>
    <w:rsid w:val="13BD7B2E"/>
    <w:rsid w:val="157E27B0"/>
    <w:rsid w:val="16BB723D"/>
    <w:rsid w:val="177D300F"/>
    <w:rsid w:val="18015F3F"/>
    <w:rsid w:val="1BE8440E"/>
    <w:rsid w:val="1D155CEE"/>
    <w:rsid w:val="1F636B23"/>
    <w:rsid w:val="20F57F95"/>
    <w:rsid w:val="21156B08"/>
    <w:rsid w:val="21791E98"/>
    <w:rsid w:val="228B7B4C"/>
    <w:rsid w:val="23066A21"/>
    <w:rsid w:val="23405992"/>
    <w:rsid w:val="240371BF"/>
    <w:rsid w:val="24D54B4E"/>
    <w:rsid w:val="25551BC9"/>
    <w:rsid w:val="25C741E6"/>
    <w:rsid w:val="264659B5"/>
    <w:rsid w:val="27842671"/>
    <w:rsid w:val="28942A08"/>
    <w:rsid w:val="28FA4A64"/>
    <w:rsid w:val="29FD04D3"/>
    <w:rsid w:val="2ABE7A3E"/>
    <w:rsid w:val="2B9652EF"/>
    <w:rsid w:val="2BAE4DE0"/>
    <w:rsid w:val="2BD15D21"/>
    <w:rsid w:val="2C0D4D5A"/>
    <w:rsid w:val="2D2B320F"/>
    <w:rsid w:val="2EAB7223"/>
    <w:rsid w:val="2EFA178C"/>
    <w:rsid w:val="30B46D73"/>
    <w:rsid w:val="319F7F4E"/>
    <w:rsid w:val="31E3199D"/>
    <w:rsid w:val="32E05DEF"/>
    <w:rsid w:val="353C0D20"/>
    <w:rsid w:val="355E2723"/>
    <w:rsid w:val="39711B99"/>
    <w:rsid w:val="39AE70AB"/>
    <w:rsid w:val="3C0C0783"/>
    <w:rsid w:val="3D4C3459"/>
    <w:rsid w:val="3F795B0E"/>
    <w:rsid w:val="3F9F3A96"/>
    <w:rsid w:val="41692A3A"/>
    <w:rsid w:val="45201144"/>
    <w:rsid w:val="462C5BD6"/>
    <w:rsid w:val="46A14816"/>
    <w:rsid w:val="493C27E9"/>
    <w:rsid w:val="496F39ED"/>
    <w:rsid w:val="49FF41D3"/>
    <w:rsid w:val="4A185DC8"/>
    <w:rsid w:val="4BE068DB"/>
    <w:rsid w:val="4BF6002B"/>
    <w:rsid w:val="4C667955"/>
    <w:rsid w:val="4ECE2238"/>
    <w:rsid w:val="4F9F38BD"/>
    <w:rsid w:val="4FD61684"/>
    <w:rsid w:val="502E0E28"/>
    <w:rsid w:val="503645ED"/>
    <w:rsid w:val="508F3649"/>
    <w:rsid w:val="51DB4B86"/>
    <w:rsid w:val="52CF5BE8"/>
    <w:rsid w:val="52FB5859"/>
    <w:rsid w:val="547F5A6B"/>
    <w:rsid w:val="55333C3E"/>
    <w:rsid w:val="558E2409"/>
    <w:rsid w:val="571B7CCD"/>
    <w:rsid w:val="58737E60"/>
    <w:rsid w:val="5A2E712E"/>
    <w:rsid w:val="5B1E7D8B"/>
    <w:rsid w:val="5B972445"/>
    <w:rsid w:val="5EDA0D81"/>
    <w:rsid w:val="5EEF25B2"/>
    <w:rsid w:val="60A2320D"/>
    <w:rsid w:val="64A80084"/>
    <w:rsid w:val="64CA39A1"/>
    <w:rsid w:val="65B126BB"/>
    <w:rsid w:val="676254A4"/>
    <w:rsid w:val="67C014F8"/>
    <w:rsid w:val="680E1188"/>
    <w:rsid w:val="683E7CBF"/>
    <w:rsid w:val="6C4A05C8"/>
    <w:rsid w:val="6C6E6699"/>
    <w:rsid w:val="6C9F2CF6"/>
    <w:rsid w:val="6EDA0CDC"/>
    <w:rsid w:val="6FF5603C"/>
    <w:rsid w:val="70B34644"/>
    <w:rsid w:val="72734D90"/>
    <w:rsid w:val="727D7081"/>
    <w:rsid w:val="72E456B5"/>
    <w:rsid w:val="74E366CA"/>
    <w:rsid w:val="75137DDD"/>
    <w:rsid w:val="79E7B28D"/>
    <w:rsid w:val="7AC82E51"/>
    <w:rsid w:val="7BFA24EA"/>
    <w:rsid w:val="7CAB154F"/>
    <w:rsid w:val="7F9F20EE"/>
    <w:rsid w:val="7FC76394"/>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505.99</c:v>
                </c:pt>
                <c:pt idx="1">
                  <c:v>520.33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505.99</c:v>
                </c:pt>
                <c:pt idx="1">
                  <c:v>520.33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manualLayout>
                  <c:x val="-0.10705730101623"/>
                  <c:y val="-0.17835511498735"/>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75.02</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0.0898072956834618"/>
                  <c:y val="0.105951044323742"/>
                </c:manualLayout>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24.98</a:t>
                    </a:r>
                    <a:r>
                      <a:t>%</a:t>
                    </a:r>
                  </a:p>
                </c:rich>
              </c:tx>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0.7502</c:v>
                </c:pt>
                <c:pt idx="1">
                  <c:v>0.2498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505.99</c:v>
                </c:pt>
                <c:pt idx="1">
                  <c:v>520.33</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505.99</c:v>
                </c:pt>
                <c:pt idx="1">
                  <c:v>520.33</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505.99</c:v>
                </c:pt>
                <c:pt idx="1">
                  <c:v>520.33</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18</Pages>
  <Words>5477</Words>
  <Characters>5873</Characters>
  <Lines>47</Lines>
  <Paragraphs>13</Paragraphs>
  <TotalTime>0</TotalTime>
  <ScaleCrop>false</ScaleCrop>
  <LinksUpToDate>false</LinksUpToDate>
  <CharactersWithSpaces>5928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2022-09-30T15:28:27Z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04E28630002844FA92374DAE11D7D9AF</vt:lpwstr>
  </property>
</Properties>
</file>