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1F95C">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7C22F882">
      <w:pPr>
        <w:spacing w:line="600" w:lineRule="exact"/>
        <w:jc w:val="center"/>
        <w:outlineLvl w:val="0"/>
        <w:rPr>
          <w:rFonts w:ascii="方正小标宋简体" w:hAnsi="宋体" w:eastAsia="方正小标宋简体"/>
          <w:color w:val="auto"/>
          <w:sz w:val="72"/>
          <w:szCs w:val="72"/>
          <w:highlight w:val="none"/>
        </w:rPr>
      </w:pPr>
    </w:p>
    <w:p w14:paraId="2825E6E6">
      <w:pPr>
        <w:spacing w:line="600" w:lineRule="exact"/>
        <w:jc w:val="center"/>
        <w:outlineLvl w:val="0"/>
        <w:rPr>
          <w:rFonts w:ascii="方正小标宋简体" w:hAnsi="宋体" w:eastAsia="方正小标宋简体"/>
          <w:color w:val="auto"/>
          <w:sz w:val="72"/>
          <w:szCs w:val="72"/>
          <w:highlight w:val="none"/>
        </w:rPr>
      </w:pPr>
    </w:p>
    <w:p w14:paraId="7C11C359">
      <w:pPr>
        <w:spacing w:line="600" w:lineRule="exact"/>
        <w:jc w:val="center"/>
        <w:outlineLvl w:val="0"/>
        <w:rPr>
          <w:rFonts w:ascii="方正小标宋简体" w:hAnsi="宋体" w:eastAsia="方正小标宋简体"/>
          <w:color w:val="auto"/>
          <w:sz w:val="72"/>
          <w:szCs w:val="72"/>
          <w:highlight w:val="none"/>
        </w:rPr>
      </w:pPr>
    </w:p>
    <w:p w14:paraId="762A881F">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597"/>
      <w:bookmarkStart w:id="2" w:name="_Toc15377425"/>
      <w:bookmarkStart w:id="3" w:name="_Toc15396475"/>
      <w:bookmarkStart w:id="4" w:name="_Toc15378441"/>
      <w:bookmarkStart w:id="5"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14:paraId="2B4F5215">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426"/>
      <w:bookmarkStart w:id="7" w:name="_Toc15396476"/>
      <w:bookmarkStart w:id="8" w:name="_Toc15377194"/>
      <w:bookmarkStart w:id="9" w:name="_Toc15396598"/>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w:t>
      </w:r>
      <w:bookmarkStart w:id="67" w:name="_GoBack"/>
      <w:bookmarkEnd w:id="67"/>
      <w:r>
        <w:rPr>
          <w:rFonts w:hint="eastAsia" w:ascii="方正小标宋_GBK" w:hAnsi="方正小标宋_GBK" w:eastAsia="方正小标宋_GBK" w:cs="方正小标宋_GBK"/>
          <w:color w:val="auto"/>
          <w:sz w:val="72"/>
          <w:szCs w:val="72"/>
          <w:highlight w:val="none"/>
        </w:rPr>
        <w:t>区</w:t>
      </w:r>
    </w:p>
    <w:p w14:paraId="08176226">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昭化</w:t>
      </w:r>
      <w:r>
        <w:rPr>
          <w:rFonts w:hint="eastAsia" w:ascii="方正小标宋_GBK" w:hAnsi="方正小标宋_GBK" w:eastAsia="方正小标宋_GBK" w:cs="方正小标宋_GBK"/>
          <w:color w:val="auto"/>
          <w:sz w:val="72"/>
          <w:szCs w:val="72"/>
          <w:highlight w:val="none"/>
        </w:rPr>
        <w:t>镇小学单位决算</w:t>
      </w:r>
      <w:bookmarkEnd w:id="6"/>
      <w:bookmarkEnd w:id="7"/>
      <w:bookmarkEnd w:id="8"/>
      <w:bookmarkEnd w:id="9"/>
      <w:bookmarkEnd w:id="10"/>
      <w:bookmarkEnd w:id="11"/>
    </w:p>
    <w:p w14:paraId="1ECFB112">
      <w:pPr>
        <w:widowControl/>
        <w:jc w:val="center"/>
        <w:rPr>
          <w:rFonts w:hint="eastAsia" w:ascii="黑体" w:hAnsi="黑体" w:eastAsia="黑体"/>
          <w:color w:val="auto"/>
          <w:sz w:val="48"/>
          <w:szCs w:val="48"/>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pPr>
    </w:p>
    <w:p w14:paraId="7ACB00FB">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14:paraId="55BBDA4B">
      <w:pPr>
        <w:pStyle w:val="13"/>
        <w:jc w:val="both"/>
        <w:rPr>
          <w:color w:val="auto"/>
          <w:highlight w:val="none"/>
        </w:rPr>
      </w:pPr>
    </w:p>
    <w:p w14:paraId="0944048D">
      <w:pPr>
        <w:rPr>
          <w:color w:val="auto"/>
          <w:highlight w:val="none"/>
        </w:rPr>
      </w:pPr>
    </w:p>
    <w:p w14:paraId="2305D963">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14:paraId="1B3692F8">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14:paraId="6810AAC7">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14:paraId="0E08F815">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11</w:t>
      </w:r>
    </w:p>
    <w:p w14:paraId="2E24D2CB">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11</w:t>
      </w:r>
    </w:p>
    <w:p w14:paraId="00B9E132">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11</w:t>
      </w:r>
    </w:p>
    <w:p w14:paraId="509793BB">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12</w:t>
      </w:r>
    </w:p>
    <w:p w14:paraId="0021BE03">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12</w:t>
      </w:r>
    </w:p>
    <w:p w14:paraId="253A6A83">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14:paraId="28DE1633">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14</w:t>
      </w:r>
    </w:p>
    <w:p w14:paraId="4151D263">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14</w:t>
      </w:r>
    </w:p>
    <w:p w14:paraId="4537CAD8">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14:paraId="323D4AA0">
      <w:pPr>
        <w:pStyle w:val="14"/>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16</w:t>
      </w:r>
    </w:p>
    <w:p w14:paraId="01D970C2">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17</w:t>
      </w:r>
    </w:p>
    <w:p w14:paraId="4C9CB9EE">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17</w:t>
      </w:r>
    </w:p>
    <w:p w14:paraId="2B0090B1">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14:paraId="4F686F88">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14:paraId="5E36500C">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23</w:t>
      </w:r>
    </w:p>
    <w:p w14:paraId="09F44D66">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3</w:t>
      </w:r>
    </w:p>
    <w:p w14:paraId="1888D703">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23</w:t>
      </w:r>
    </w:p>
    <w:p w14:paraId="478BE4F8">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23</w:t>
      </w:r>
    </w:p>
    <w:p w14:paraId="2E79AA3F">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23</w:t>
      </w:r>
    </w:p>
    <w:p w14:paraId="63FDE202">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23</w:t>
      </w:r>
    </w:p>
    <w:p w14:paraId="6BD130A6">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23</w:t>
      </w:r>
    </w:p>
    <w:p w14:paraId="7D5AA694">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23</w:t>
      </w:r>
    </w:p>
    <w:p w14:paraId="54FDD40B">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23</w:t>
      </w:r>
    </w:p>
    <w:p w14:paraId="3387E70F">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23</w:t>
      </w:r>
    </w:p>
    <w:p w14:paraId="278CF0C4">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23</w:t>
      </w:r>
    </w:p>
    <w:p w14:paraId="5421F531">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23</w:t>
      </w:r>
    </w:p>
    <w:p w14:paraId="0FDE8F34">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23</w:t>
      </w:r>
    </w:p>
    <w:p w14:paraId="0FD2685B">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23</w:t>
      </w:r>
    </w:p>
    <w:p w14:paraId="6A55718F">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23</w:t>
      </w:r>
      <w:r>
        <w:rPr>
          <w:rFonts w:ascii="仿宋" w:hAnsi="仿宋" w:eastAsia="仿宋"/>
          <w:b/>
          <w:color w:val="auto"/>
          <w:sz w:val="24"/>
          <w:highlight w:val="none"/>
        </w:rPr>
        <w:br w:type="page"/>
      </w:r>
    </w:p>
    <w:p w14:paraId="2B0DD9BC">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14:paraId="4798790B">
      <w:pPr>
        <w:widowControl/>
        <w:jc w:val="left"/>
        <w:rPr>
          <w:rFonts w:ascii="黑体" w:eastAsia="黑体"/>
          <w:color w:val="auto"/>
          <w:sz w:val="32"/>
          <w:szCs w:val="32"/>
          <w:highlight w:val="none"/>
        </w:rPr>
      </w:pPr>
    </w:p>
    <w:p w14:paraId="1897B03C">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14:paraId="3DE88E7F">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0746952C">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6D79972A">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691C7B87">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6BFD6360">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3723ACE1">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14:paraId="5910099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14:paraId="4A9DB76F">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14:paraId="4C5F87F0">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7B903387">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14:paraId="0B4FCA95">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0D89C635">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14:paraId="2B887A42">
      <w:pPr>
        <w:adjustRightInd w:val="0"/>
        <w:snapToGrid w:val="0"/>
        <w:spacing w:line="600" w:lineRule="exact"/>
        <w:ind w:firstLine="640"/>
        <w:rPr>
          <w:rFonts w:hint="eastAsia" w:ascii="仿宋" w:hAnsi="仿宋" w:eastAsia="仿宋" w:cs="仿宋"/>
          <w:b w:val="0"/>
          <w:bCs w:val="0"/>
          <w:color w:val="auto"/>
          <w:sz w:val="32"/>
          <w:szCs w:val="32"/>
          <w:highlight w:val="none"/>
        </w:rPr>
      </w:pPr>
      <w:bookmarkStart w:id="16" w:name="_Toc15377204"/>
      <w:bookmarkStart w:id="17" w:name="_Toc15396602"/>
      <w:r>
        <w:rPr>
          <w:rFonts w:hint="eastAsia" w:ascii="仿宋" w:hAnsi="仿宋" w:eastAsia="仿宋" w:cs="仿宋"/>
          <w:b w:val="0"/>
          <w:bCs w:val="0"/>
          <w:color w:val="auto"/>
          <w:sz w:val="32"/>
          <w:szCs w:val="32"/>
          <w:highlight w:val="none"/>
        </w:rPr>
        <w:t>本学年度，我校领导班子坚持以社会主义核心价值观为指导，围绕“为学生的终身发展打好基础”的办学思想，以教学常规为抓手，以课堂教学为切入点，依法治校、科学管理，较好的完成了各项目标任务。</w:t>
      </w:r>
    </w:p>
    <w:p w14:paraId="2285F968">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华文楷体" w:hAnsi="华文楷体" w:eastAsia="华文楷体" w:cs="华文楷体"/>
          <w:color w:val="auto"/>
          <w:kern w:val="2"/>
          <w:sz w:val="32"/>
          <w:szCs w:val="32"/>
          <w:highlight w:val="none"/>
          <w:lang w:val="en-US" w:eastAsia="zh-CN" w:bidi="ar-SA"/>
        </w:rPr>
        <w:t>（一）</w:t>
      </w:r>
      <w:r>
        <w:rPr>
          <w:rFonts w:hint="eastAsia" w:ascii="华文楷体" w:hAnsi="华文楷体" w:eastAsia="华文楷体" w:cs="华文楷体"/>
          <w:b w:val="0"/>
          <w:bCs w:val="0"/>
          <w:color w:val="auto"/>
          <w:sz w:val="32"/>
          <w:szCs w:val="32"/>
          <w:highlight w:val="none"/>
        </w:rPr>
        <w:t>抓实党建工作，支部堡垒和党员模范带头作用充分彰显</w:t>
      </w:r>
    </w:p>
    <w:p w14:paraId="3670D1BC">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支部书记带领支部班子加强党的自身建设，开展丰富多彩的党员主题实践教育活动，创新党建活动形式与内容，充分发挥党支部政治核心堡垒作用。落实专人抓党建，理顺党组织关系，弄清党员身份，理清党员关系，规范党员管理。注重培养年轻人，发展新党员，增强组织活力。按照组织生活工作条例，认真开展“三会一课”党建常规活动，结合党员活动日认真组织</w:t>
      </w:r>
      <w:r>
        <w:rPr>
          <w:rFonts w:hint="eastAsia" w:ascii="仿宋" w:hAnsi="仿宋" w:eastAsia="仿宋" w:cs="仿宋"/>
          <w:b w:val="0"/>
          <w:bCs w:val="0"/>
          <w:color w:val="auto"/>
          <w:sz w:val="32"/>
          <w:szCs w:val="32"/>
          <w:highlight w:val="none"/>
          <w:lang w:eastAsia="zh-CN"/>
        </w:rPr>
        <w:t>“不忘初心、牢记使命”主题教育</w:t>
      </w:r>
      <w:r>
        <w:rPr>
          <w:rFonts w:hint="eastAsia" w:ascii="仿宋" w:hAnsi="仿宋" w:eastAsia="仿宋" w:cs="仿宋"/>
          <w:b w:val="0"/>
          <w:bCs w:val="0"/>
          <w:color w:val="auto"/>
          <w:sz w:val="32"/>
          <w:szCs w:val="32"/>
          <w:highlight w:val="none"/>
        </w:rPr>
        <w:t>学习活动。扎实做好党史学习教育，开展丰富多彩的党员主题实践教育活动。如“喜迎二十大 欢庆六一节”、党员志愿服务、离退和困难党员看望慰问等。开展了党员一述三评活动，不合格党员评处活动等，充实了组织生活。把党建工作与教学工作紧密结合，争做“四讲四有”合格党员。党建工作围绕教育教学中心，开展党员教师指导青年教师、结对非党员教师、联系班级、助学留守儿童、帮扶贫困建卡户学生等工作。认真开展“学习强国”、“党史答题”学习教育活动，在活动中学习，在活动中提高，在活动中丰富党员生活。一年来，学校党建工作得到了系统党工委的认可，许立伟同志被区教育系统党工委评为优秀共产党员，张正杰同志被评为优秀党务工作者。</w:t>
      </w:r>
    </w:p>
    <w:p w14:paraId="3E8E3294">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（二）加强队伍建设，提高教师素质</w:t>
      </w:r>
    </w:p>
    <w:p w14:paraId="747C38FB">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加强师德师风建设，完善教师师德考核办法，学期初举行了全体教师公开师德宣誓活动，签订了师德师风承诺书，组织学习了党员干部八小时外的自我约束纪律要求，制定了师德师风建设年方案并逗硬执行，全年无违反教师职业道德“八不准”等事件发生。加强教师业务培训，按要求组织教师参加上级各种提高培训和教学大比武活动，参加远程教育学习，校内优质课竞教，信息化2.0能力提升培训等。设立校内教研日活动，分教研组开展校本教研，提高教师课堂教学水平。本年度组织了区级课题研修活动和阅读专场活动，取得很好的效果；12人次参加市区各类培训，2人次到省外培训，提高了我校教师的专业技术水平。2021年9月，马素蓉老师被授予广元市最美乡村教师称号，张锦屏老师被评为广元市优秀班主任，今年又推荐了赵玉洪老师为市优秀教师、张菊蓉老师为市优秀班主任。</w:t>
      </w:r>
    </w:p>
    <w:p w14:paraId="0479775F">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华文楷体" w:hAnsi="华文楷体" w:eastAsia="华文楷体" w:cs="华文楷体"/>
          <w:color w:val="auto"/>
          <w:kern w:val="2"/>
          <w:sz w:val="32"/>
          <w:szCs w:val="32"/>
          <w:highlight w:val="none"/>
          <w:lang w:val="en-US" w:eastAsia="zh-CN" w:bidi="ar-SA"/>
        </w:rPr>
        <w:t>（三）加强教育教学管理，提高教育质量</w:t>
      </w:r>
    </w:p>
    <w:p w14:paraId="2B688768">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教学工作是学校的中心工作，抓常规就是抓质量。严格按照区教育主管部门的“四个校园建设”的相关要求，抓好教学常规管理，突出过程实效，实行教导教科主任巡课制，持续做好管理干部推门听课活动，坚持“六认真”每半月一查，一月一通报。做实与元坝一小的结对工作，开展互进校园活动4次，进行课堂教学和德育管理研讨，促进了我校提升。坚持做好教师备课、学生作业展评活动，全年共进行4次，有效促进了教学工作。落实特色规划，抓好特色教育。坚持每天早晨10分钟国学经典诵读和大课间集体诵读，展示国学经典诵读成果，品味传统文化魅力。整合好乡村少年宫、课后延时服务活动，培养学生兴趣，丰富课余生活。结合校本课程，利用昭化古城广博的社会资源，组织学生参加了一系列社会实践活动，凸显昭化教育厚重的历史文化特色。除此之外，我校以活动为载体，开展校园科技创新和艺术教育等活动。2021年9月，张兴蓉老师被评为昭化区语文名师，王飞老师被评为广元市优秀教师，2021年10月，我校被评为广元市文明校园。</w:t>
      </w:r>
    </w:p>
    <w:p w14:paraId="1373DA16">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（四）坚持以研促教，提高课堂效益</w:t>
      </w:r>
    </w:p>
    <w:p w14:paraId="54444A9A">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扎实开展常规的教研活动，改造传统备课，突破传统上课模式，实化课后辅导。以教研组为单位，落实好校本教研活动，以“高效课堂”为着力点，鼓励青年骨干教师大胆进行探索，如课堂“合作学习”的探究等。在区教研室的指导下，我校区级课题梳理推进阶段性研究工作。教师积极撰写教育教学论文，前后有20多篇获奖或发表。2021年我校教师参加微课等竞赛，有15位教师获奖，其中许立伟老师获广元市一等奖。</w:t>
      </w:r>
    </w:p>
    <w:p w14:paraId="11B45592">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因校制宜，做实学生管理工作</w:t>
      </w:r>
    </w:p>
    <w:p w14:paraId="4E94C040">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以未成年人思想道德建设系列活动为主渠道，抓实学生行为习惯的养成；结合学校留守儿童之家、乡村少年宫等平台和区政府热水澡项目及学生心理咨询室等设施设备，做好留守儿童、问题学生和学困生的教育管理；积极开展课后延时服务活动，多次举办生活能力及学业发展类比赛，提高学生综合素质。2021年秋组织了校园运动会，组织了校园艺术节、读书节等活动。在2021年区科技节中有11名学生获奖，有6为教师获奖；在全区德育系列活动中先后有46名学生获奖。</w:t>
      </w:r>
    </w:p>
    <w:p w14:paraId="32C19B09">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（六）加强安全管理，营造和谐氛围</w:t>
      </w:r>
    </w:p>
    <w:p w14:paraId="49CB739F">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成立安全领导小组，制定安全应急预案，明确安全目标，落实安全责任，建立安全台账。以横向到边、纵向到底的安全工作网格，实行全员、全方位、全过程的安全管理，做到责任层层落实，信息及时互通反馈。按照上级文件和会议精神，结合学校实际，认真完善机制，健全制度，排除隐患，整改落实。开展了食堂安全、校门安全、建筑物安全3大专项整治活动，发现并整改了3个安全隐患问题。专项开展森林防火、防溺水安全教育活动，参与人员达1000余人。对食堂及安防从业人员进行了6次专业培训，实现校园监控无死角，安全管理无空区，全年无重大安全责任事故发生。在各级校园安全大检查中，获检查组好评。</w:t>
      </w:r>
    </w:p>
    <w:p w14:paraId="33F0510D">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（七）落实防控措施，取得良好成效</w:t>
      </w:r>
    </w:p>
    <w:p w14:paraId="537F78D4">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在上级主管部门和党委政府的强有力领导下，学校高度重视疫情防控工作，调整领导人员，重新修订两案九制，持续扎实开展排查工作，备齐备足防空物资，大力推进宣传教育，全力推进疫苗接种，做实校门管控、师生日常三检、校园消杀、突发异常情况处置等事务。全年学校无任何突发事故发生。</w:t>
      </w:r>
    </w:p>
    <w:p w14:paraId="52317368">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（八）抓好项目管理，改善办学条件</w:t>
      </w:r>
    </w:p>
    <w:p w14:paraId="2B885381">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在区教育局的领导下，全力推进昭化镇中心幼儿园项目建设，对照时间任务表，逐项落实前期各项工作任务，落实好几方责任主体职责，在安全保障的前提下，按质按量完成建设任务。现在已经完成竣工验收，正在推进设施设备采购工作。</w:t>
      </w:r>
    </w:p>
    <w:p w14:paraId="069C6CC0">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（九）做好营养膳食，落实教育民生</w:t>
      </w:r>
    </w:p>
    <w:p w14:paraId="11F1C92D">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营养餐试点工作在我校推行效果良好，在主管部门的高度重视下，学校积极运作，施行的“5+2”供餐模式，得到了上级领导的好评。坚持做到领导试餐，教师陪餐。</w:t>
      </w:r>
    </w:p>
    <w:p w14:paraId="2FFA8E4A">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（十）做好工会工作，确保教职工利益</w:t>
      </w:r>
    </w:p>
    <w:p w14:paraId="4E436726">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结合上级工会文件精神，积极组织在职教师参加昭化区教职工互助保障基金会，入会100%，上缴会员个人互助基金4300.00元，学校配套基金4300.00元。在相应的时间里，看望慰问了离退教师、生病教师12人次。“三八”妇女节，组织全体女教职工召开了座谈会。采用走出去、请进来的方式开展校际之间的交流学习活动2次，利用传统的清明、端午、五.一节对全体会员进行慰问，关爱每一个会员，充分体现组织的温暖。</w:t>
      </w:r>
    </w:p>
    <w:p w14:paraId="7295C631">
      <w:pPr>
        <w:adjustRightInd w:val="0"/>
        <w:snapToGrid w:val="0"/>
        <w:spacing w:line="600" w:lineRule="exact"/>
        <w:ind w:firstLine="640"/>
        <w:rPr>
          <w:rFonts w:hint="eastAsia" w:ascii="华文楷体" w:hAnsi="华文楷体" w:eastAsia="华文楷体" w:cs="华文楷体"/>
          <w:color w:val="auto"/>
          <w:kern w:val="2"/>
          <w:sz w:val="32"/>
          <w:szCs w:val="32"/>
          <w:highlight w:val="none"/>
          <w:lang w:val="en-US" w:eastAsia="zh-CN" w:bidi="ar-SA"/>
        </w:rPr>
      </w:pPr>
      <w:r>
        <w:rPr>
          <w:rFonts w:hint="eastAsia" w:ascii="华文楷体" w:hAnsi="华文楷体" w:eastAsia="华文楷体" w:cs="华文楷体"/>
          <w:color w:val="auto"/>
          <w:kern w:val="2"/>
          <w:sz w:val="32"/>
          <w:szCs w:val="32"/>
          <w:highlight w:val="none"/>
          <w:lang w:val="en-US" w:eastAsia="zh-CN" w:bidi="ar-SA"/>
        </w:rPr>
        <w:t>（十一）积极推进依法治校</w:t>
      </w:r>
    </w:p>
    <w:p w14:paraId="7A22F56F">
      <w:pPr>
        <w:adjustRightInd w:val="0"/>
        <w:snapToGrid w:val="0"/>
        <w:spacing w:line="600" w:lineRule="exact"/>
        <w:ind w:firstLine="64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认真执行广元市学校常规工作50条、昭化区学校常规管理30条，加强学校管理，努力建设“美丽校园、活力校园、质量校园、和谐校园”，规范办学行为，无违规违纪事件发生。认真贯彻执行农村义务教育经费保障机制，规范收费行为，无多收、乱收现象；严肃财经纪律，无账外账或小金库；严格执行经费预算，无新增债务；按程序做好经费开支，实行后勤主任、分管副校长、纪检委员审签，校长最后签字；做好贫困学生资助档案和贫困学生补助发放管理工作，让国家和我区的惠民政策落到实处。</w:t>
      </w:r>
    </w:p>
    <w:p w14:paraId="4004BE14">
      <w:pPr>
        <w:pStyle w:val="2"/>
        <w:rPr>
          <w:rFonts w:hint="eastAsia" w:ascii="仿宋" w:hAnsi="仿宋" w:eastAsia="仿宋" w:cs="仿宋"/>
          <w:b w:val="0"/>
          <w:bCs w:val="0"/>
          <w:color w:val="auto"/>
          <w:sz w:val="32"/>
          <w:szCs w:val="32"/>
          <w:highlight w:val="none"/>
        </w:rPr>
      </w:pPr>
    </w:p>
    <w:p w14:paraId="533835E5">
      <w:pPr>
        <w:pStyle w:val="2"/>
        <w:rPr>
          <w:rFonts w:hint="eastAsia" w:ascii="仿宋" w:hAnsi="仿宋" w:eastAsia="仿宋" w:cs="仿宋"/>
          <w:b w:val="0"/>
          <w:bCs w:val="0"/>
          <w:color w:val="auto"/>
          <w:sz w:val="32"/>
          <w:szCs w:val="32"/>
          <w:highlight w:val="none"/>
        </w:rPr>
      </w:pPr>
    </w:p>
    <w:p w14:paraId="1134232D">
      <w:pPr>
        <w:pStyle w:val="2"/>
        <w:rPr>
          <w:rFonts w:hint="eastAsia" w:ascii="仿宋" w:hAnsi="仿宋" w:eastAsia="仿宋" w:cs="仿宋"/>
          <w:b w:val="0"/>
          <w:bCs w:val="0"/>
          <w:color w:val="auto"/>
          <w:sz w:val="32"/>
          <w:szCs w:val="32"/>
          <w:highlight w:val="none"/>
        </w:rPr>
      </w:pPr>
    </w:p>
    <w:p w14:paraId="6FFDB99C">
      <w:pPr>
        <w:pStyle w:val="2"/>
        <w:rPr>
          <w:rFonts w:hint="eastAsia" w:ascii="仿宋" w:hAnsi="仿宋" w:eastAsia="仿宋" w:cs="仿宋"/>
          <w:b w:val="0"/>
          <w:bCs w:val="0"/>
          <w:color w:val="auto"/>
          <w:sz w:val="32"/>
          <w:szCs w:val="32"/>
          <w:highlight w:val="none"/>
        </w:rPr>
      </w:pPr>
    </w:p>
    <w:p w14:paraId="1AC7C2FA">
      <w:pPr>
        <w:pStyle w:val="2"/>
        <w:rPr>
          <w:rFonts w:hint="eastAsia" w:ascii="仿宋" w:hAnsi="仿宋" w:eastAsia="仿宋" w:cs="仿宋"/>
          <w:b w:val="0"/>
          <w:bCs w:val="0"/>
          <w:color w:val="auto"/>
          <w:sz w:val="32"/>
          <w:szCs w:val="32"/>
          <w:highlight w:val="none"/>
        </w:rPr>
      </w:pPr>
    </w:p>
    <w:p w14:paraId="7370D8D1">
      <w:pPr>
        <w:pStyle w:val="2"/>
        <w:rPr>
          <w:rFonts w:hint="eastAsia" w:ascii="仿宋" w:hAnsi="仿宋" w:eastAsia="仿宋" w:cs="仿宋"/>
          <w:b w:val="0"/>
          <w:bCs w:val="0"/>
          <w:color w:val="auto"/>
          <w:sz w:val="32"/>
          <w:szCs w:val="32"/>
          <w:highlight w:val="none"/>
        </w:rPr>
      </w:pPr>
    </w:p>
    <w:p w14:paraId="439C1E21">
      <w:pPr>
        <w:pStyle w:val="2"/>
        <w:rPr>
          <w:rFonts w:hint="eastAsia" w:ascii="仿宋" w:hAnsi="仿宋" w:eastAsia="仿宋" w:cs="仿宋"/>
          <w:b w:val="0"/>
          <w:bCs w:val="0"/>
          <w:color w:val="auto"/>
          <w:sz w:val="32"/>
          <w:szCs w:val="32"/>
          <w:highlight w:val="none"/>
        </w:rPr>
      </w:pPr>
    </w:p>
    <w:p w14:paraId="621B1B46">
      <w:pPr>
        <w:pStyle w:val="2"/>
        <w:rPr>
          <w:rFonts w:hint="eastAsia" w:ascii="仿宋" w:hAnsi="仿宋" w:eastAsia="仿宋" w:cs="仿宋"/>
          <w:b w:val="0"/>
          <w:bCs w:val="0"/>
          <w:color w:val="auto"/>
          <w:sz w:val="32"/>
          <w:szCs w:val="32"/>
          <w:highlight w:val="none"/>
        </w:rPr>
      </w:pPr>
    </w:p>
    <w:p w14:paraId="3C4A981B">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14:paraId="4A597383">
      <w:pPr>
        <w:rPr>
          <w:color w:val="auto"/>
          <w:highlight w:val="none"/>
        </w:rPr>
      </w:pPr>
    </w:p>
    <w:p w14:paraId="396A3A8A">
      <w:pPr>
        <w:pStyle w:val="28"/>
        <w:numPr>
          <w:ilvl w:val="0"/>
          <w:numId w:val="3"/>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14:paraId="26D22566">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1211.81</w:t>
      </w:r>
      <w:r>
        <w:rPr>
          <w:rFonts w:hint="eastAsia" w:ascii="仿宋" w:hAnsi="仿宋" w:eastAsia="仿宋"/>
          <w:color w:val="auto"/>
          <w:sz w:val="32"/>
          <w:szCs w:val="32"/>
          <w:highlight w:val="none"/>
        </w:rPr>
        <w:t>万元。与2020年相比，收、支总计各增加</w:t>
      </w:r>
      <w:r>
        <w:rPr>
          <w:rFonts w:hint="eastAsia" w:ascii="仿宋" w:hAnsi="仿宋" w:eastAsia="仿宋"/>
          <w:color w:val="auto"/>
          <w:sz w:val="32"/>
          <w:szCs w:val="32"/>
          <w:highlight w:val="none"/>
          <w:lang w:val="en-US" w:eastAsia="zh-CN"/>
        </w:rPr>
        <w:t>33.21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3BE1B46D">
      <w:pPr>
        <w:pStyle w:val="28"/>
        <w:numPr>
          <w:ilvl w:val="0"/>
          <w:numId w:val="3"/>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14:paraId="04BBEC41">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1211.81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1210.31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99.88</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0.12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578277A1">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4622B8BD">
      <w:pPr>
        <w:pStyle w:val="16"/>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14:paraId="7BDB5725">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1211.81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910.31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75.12</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301.50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2205BC3E">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14:paraId="2F723B05">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1211.81</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33.21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72A281F6">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70DC814E">
      <w:pPr>
        <w:spacing w:line="600" w:lineRule="exact"/>
        <w:ind w:firstLine="640" w:firstLineChars="200"/>
        <w:outlineLvl w:val="1"/>
        <w:rPr>
          <w:rStyle w:val="30"/>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14:paraId="094076CF">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14:paraId="336EC6BC">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1210.31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1175.60</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34.71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2.95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174278DE">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b/>
          <w:color w:val="auto"/>
          <w:sz w:val="32"/>
          <w:szCs w:val="32"/>
          <w:highlight w:val="none"/>
        </w:rPr>
        <w:t>（二）一般公共预算财政拨款支出决算结构情况</w:t>
      </w:r>
      <w:bookmarkEnd w:id="29"/>
    </w:p>
    <w:p w14:paraId="0CBFF300">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1210.31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1210.31</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1A01981E">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14:paraId="2EDF899D">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444"/>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1210.31万元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14:paraId="26A73D35">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910.31</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38BCAEDA">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eastAsia="zh-CN"/>
        </w:rPr>
        <w:t>普通教育</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其他普通教育</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300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134ED8FA">
      <w:pPr>
        <w:pStyle w:val="16"/>
        <w:rPr>
          <w:color w:val="auto"/>
          <w:highlight w:val="none"/>
        </w:rPr>
      </w:pPr>
    </w:p>
    <w:p w14:paraId="4DEB2A09">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14:paraId="5CB2AC6B">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910.31</w:t>
      </w:r>
      <w:r>
        <w:rPr>
          <w:rFonts w:hint="eastAsia" w:ascii="仿宋" w:hAnsi="仿宋" w:eastAsia="仿宋"/>
          <w:color w:val="auto"/>
          <w:sz w:val="32"/>
          <w:szCs w:val="32"/>
          <w:highlight w:val="none"/>
        </w:rPr>
        <w:t>万元，其中：</w:t>
      </w:r>
    </w:p>
    <w:p w14:paraId="7DE94AD8">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833.33</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其他社会保障缴费、住房公积金、其他工资福利支出、生活补助、奖励金、其他对个人和家庭的补助支出等。</w:t>
      </w:r>
    </w:p>
    <w:p w14:paraId="7A3648AF">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76.98</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0EB58EA2">
      <w:pPr>
        <w:spacing w:line="600" w:lineRule="exact"/>
        <w:ind w:firstLine="640"/>
        <w:outlineLvl w:val="1"/>
        <w:rPr>
          <w:rStyle w:val="30"/>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14:paraId="3A59220C">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14:paraId="01F4C0F7">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0.91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82.73</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0C6C646F">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14:paraId="5DCBE836">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0.91</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05566300">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0FD109F1">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686A253B">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14:paraId="4060A973">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7BE031E0">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55BC4BAE">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0.91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82.73</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0.1万元</w:t>
      </w:r>
      <w:r>
        <w:rPr>
          <w:rFonts w:hint="eastAsia" w:ascii="仿宋_GB2312" w:eastAsia="仿宋_GB2312"/>
          <w:color w:val="auto"/>
          <w:sz w:val="32"/>
          <w:szCs w:val="32"/>
          <w:highlight w:val="none"/>
        </w:rPr>
        <w:t>，下降</w:t>
      </w:r>
      <w:r>
        <w:rPr>
          <w:rFonts w:hint="eastAsia" w:ascii="仿宋_GB2312" w:eastAsia="仿宋_GB2312"/>
          <w:color w:val="auto"/>
          <w:sz w:val="32"/>
          <w:szCs w:val="32"/>
          <w:highlight w:val="none"/>
          <w:lang w:val="en-US" w:eastAsia="zh-CN"/>
        </w:rPr>
        <w:t>9.9</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55CDD85B">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0.91</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39</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175</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0.91</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交流0.3万元、</w:t>
      </w:r>
      <w:r>
        <w:rPr>
          <w:rFonts w:hint="eastAsia" w:ascii="仿宋_GB2312" w:eastAsia="仿宋_GB2312"/>
          <w:color w:val="auto"/>
          <w:sz w:val="32"/>
          <w:szCs w:val="32"/>
          <w:highlight w:val="none"/>
          <w:lang w:val="en-US" w:eastAsia="zh-CN"/>
        </w:rPr>
        <w:t>学生活动费及运动会学生用餐、交通费、体检费等0.41万元。</w:t>
      </w:r>
    </w:p>
    <w:p w14:paraId="1CD15C65">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439F8DE9">
      <w:pPr>
        <w:spacing w:line="600" w:lineRule="exact"/>
        <w:outlineLvl w:val="1"/>
        <w:rPr>
          <w:rFonts w:ascii="黑体" w:eastAsia="黑体"/>
          <w:color w:val="auto"/>
          <w:sz w:val="32"/>
          <w:szCs w:val="32"/>
          <w:highlight w:val="none"/>
        </w:rPr>
      </w:pPr>
      <w:bookmarkStart w:id="40" w:name="_Toc15377218"/>
      <w:bookmarkStart w:id="41" w:name="_Toc15396610"/>
    </w:p>
    <w:p w14:paraId="385D62DA">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14:paraId="713E8663">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0CA295EA">
      <w:pPr>
        <w:pStyle w:val="16"/>
        <w:rPr>
          <w:color w:val="auto"/>
          <w:highlight w:val="none"/>
        </w:rPr>
      </w:pPr>
    </w:p>
    <w:p w14:paraId="246E377B">
      <w:pPr>
        <w:numPr>
          <w:ilvl w:val="0"/>
          <w:numId w:val="4"/>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14:paraId="40B6B925">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2BF5DE34">
      <w:pPr>
        <w:spacing w:line="580" w:lineRule="exact"/>
        <w:rPr>
          <w:rFonts w:ascii="方正小标宋简体" w:hAnsi="方正小标宋简体" w:eastAsia="方正小标宋简体" w:cs="方正小标宋简体"/>
          <w:color w:val="auto"/>
          <w:sz w:val="44"/>
          <w:szCs w:val="44"/>
          <w:highlight w:val="none"/>
        </w:rPr>
      </w:pPr>
    </w:p>
    <w:p w14:paraId="62EE17B3">
      <w:pPr>
        <w:numPr>
          <w:ilvl w:val="0"/>
          <w:numId w:val="4"/>
        </w:numPr>
        <w:spacing w:line="600" w:lineRule="exact"/>
        <w:ind w:firstLine="640"/>
        <w:outlineLvl w:val="1"/>
        <w:rPr>
          <w:rStyle w:val="30"/>
          <w:rFonts w:ascii="黑体" w:hAnsi="黑体" w:eastAsia="黑体"/>
          <w:b w:val="0"/>
          <w:color w:val="auto"/>
          <w:highlight w:val="none"/>
        </w:rPr>
      </w:pPr>
      <w:bookmarkStart w:id="44" w:name="_Toc15377221"/>
      <w:bookmarkStart w:id="45" w:name="_Toc15396612"/>
      <w:r>
        <w:rPr>
          <w:rStyle w:val="30"/>
          <w:rFonts w:hint="eastAsia" w:ascii="黑体" w:hAnsi="黑体" w:eastAsia="黑体"/>
          <w:b w:val="0"/>
          <w:color w:val="auto"/>
          <w:highlight w:val="none"/>
        </w:rPr>
        <w:t>预算绩效管理情况</w:t>
      </w:r>
    </w:p>
    <w:p w14:paraId="39704AFD">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对追加预算乡村少年宫运行经费项目和运动场改造项目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28D9E707">
      <w:pPr>
        <w:pStyle w:val="2"/>
        <w:spacing w:before="93"/>
        <w:rPr>
          <w:color w:val="auto"/>
          <w:highlight w:val="none"/>
        </w:rPr>
      </w:pPr>
    </w:p>
    <w:p w14:paraId="475FDDA6">
      <w:pPr>
        <w:numPr>
          <w:ilvl w:val="0"/>
          <w:numId w:val="4"/>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14:paraId="6423ACA1">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14:paraId="1684B921">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299D3B98">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14:paraId="09798CF7">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639D6F6C">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14:paraId="7CE94116">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55AE8ED3">
      <w:pPr>
        <w:pStyle w:val="2"/>
        <w:spacing w:before="93"/>
        <w:rPr>
          <w:color w:val="auto"/>
          <w:highlight w:val="none"/>
        </w:rPr>
      </w:pPr>
    </w:p>
    <w:p w14:paraId="4AEB495B">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6A801E0C">
      <w:pPr>
        <w:numPr>
          <w:ilvl w:val="0"/>
          <w:numId w:val="5"/>
        </w:numPr>
        <w:spacing w:line="600" w:lineRule="exact"/>
        <w:ind w:firstLine="660" w:firstLineChars="150"/>
        <w:jc w:val="center"/>
        <w:outlineLvl w:val="0"/>
        <w:rPr>
          <w:rStyle w:val="29"/>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14:paraId="2E6DB4CF">
      <w:pPr>
        <w:spacing w:line="600" w:lineRule="exact"/>
        <w:jc w:val="left"/>
        <w:rPr>
          <w:rFonts w:ascii="宋体"/>
          <w:b/>
          <w:color w:val="auto"/>
          <w:sz w:val="44"/>
          <w:szCs w:val="44"/>
          <w:highlight w:val="none"/>
        </w:rPr>
      </w:pPr>
    </w:p>
    <w:p w14:paraId="1048BB22">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14EE409F">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0F515715">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FE71170">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516DAA8C">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8CD622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568D7DB5">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14:paraId="1A97D0D4">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其他支出（类）彩票公益金安排的支出（款）用于教育事业的彩票公益金支出（项）：指</w:t>
      </w:r>
      <w:r>
        <w:rPr>
          <w:rFonts w:hint="eastAsia" w:ascii="仿宋_GB2312" w:hAnsi="Calibri" w:eastAsia="仿宋_GB2312" w:cs="仿宋"/>
          <w:color w:val="auto"/>
          <w:kern w:val="0"/>
          <w:sz w:val="32"/>
          <w:szCs w:val="32"/>
          <w:highlight w:val="none"/>
          <w:lang w:val="en-US" w:eastAsia="zh-CN"/>
        </w:rPr>
        <w:t>用于教育事业的彩票公益金支出。</w:t>
      </w:r>
    </w:p>
    <w:p w14:paraId="1B5A0291">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14:paraId="686864D5">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14:paraId="016CE5DF">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4E1FF120">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66905E51">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5810462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04849AF4">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39ED0529">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14:paraId="206F585D">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F523FF7">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5C248D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4C1EFA61">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3A46F135">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D0FF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E065E">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18A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B98E">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广元市昭化区昭化镇小学</w:t>
            </w:r>
          </w:p>
        </w:tc>
      </w:tr>
      <w:tr w14:paraId="526D00CC">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464AF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1BA9DEB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468EB85F">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5DB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B75B9">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1BF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95C5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w:t>
            </w:r>
          </w:p>
        </w:tc>
      </w:tr>
      <w:tr w14:paraId="47F7119F">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25D72">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7F6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79DB4D0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590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F5CC">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1A586052">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0540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1.5</w:t>
            </w:r>
          </w:p>
        </w:tc>
      </w:tr>
      <w:tr w14:paraId="51E0E420">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A2B87">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7A0E">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4F80">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253D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438F1">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7410F2F8">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3FC75">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5EB6AA14">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A9E911">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F8EC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23957F68">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E00CE">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49FC1D7F">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55DF4E66">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38A455AE">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6F15CDB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6F58792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7A4C3C90">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5C99D">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6A1494B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ED2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56FEB076">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C1F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D257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2060CE51">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698385C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073D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7B4A6CA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E1A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C68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1767">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8F5B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5213227A">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4A53F03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CDB4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1AA6A5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8C5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1DCE475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805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A87D">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5107D2E9">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1824886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3B33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22EA21D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060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A86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7B14">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1BA04BAA">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538ECCE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C48F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80A3B8B">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329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94266">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74136">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16FC3A08">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64F847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1091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2A8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8F5B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28BE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E043">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65F96817">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28D0249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F427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167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9FD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3A5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AB4A">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1.5万元</w:t>
            </w:r>
          </w:p>
        </w:tc>
      </w:tr>
      <w:tr w14:paraId="3A4DCC8E">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500EF38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BD1A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3064331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095A236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545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F8F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BF6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7416E02A">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1771D217">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3D53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97007F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258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8175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7EF8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70C0ADC7">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43A7CD0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5027CF1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51B9484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613B80F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0FDD857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73F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546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AC6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14:paraId="231ABDB5">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231BF5E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69C11CD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1EA6D1F">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374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15D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1E38A">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4A01945F">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534A1EDC">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A93CCEF">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4B8A73F7">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14:paraId="39C579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（昭化镇小学运动场改造项目）</w:t>
            </w:r>
          </w:p>
        </w:tc>
        <w:tc>
          <w:tcPr>
            <w:tcW w:w="236" w:type="dxa"/>
            <w:tcBorders>
              <w:top w:val="nil"/>
              <w:left w:val="nil"/>
              <w:bottom w:val="nil"/>
              <w:right w:val="nil"/>
            </w:tcBorders>
            <w:shd w:val="clear" w:color="auto" w:fill="auto"/>
            <w:vAlign w:val="center"/>
          </w:tcPr>
          <w:p w14:paraId="766F6BE5">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312B2D5C">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518F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D72D1">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FE6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9A009">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广元市昭化区昭化镇小学</w:t>
            </w:r>
          </w:p>
        </w:tc>
      </w:tr>
      <w:tr w14:paraId="2D1794D9">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AA81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14CCA95A">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23EC82D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6645">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E04C">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D02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AAF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300</w:t>
            </w:r>
          </w:p>
        </w:tc>
      </w:tr>
      <w:tr w14:paraId="5F8F995E">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E6CFE">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CAB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1B1BB6A8">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5E9B7">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E05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62BDD3F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5CB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300</w:t>
            </w:r>
          </w:p>
        </w:tc>
      </w:tr>
      <w:tr w14:paraId="3306F7B5">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AC06E">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896D">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982B">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CCD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B347">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77505903">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8094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62A4248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FDDF2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41DD6">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10E15C93">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2BFFE">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3F9E84ED">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运动场面积</w:t>
            </w:r>
            <w:r>
              <w:rPr>
                <w:rFonts w:hint="eastAsia" w:ascii="宋体" w:hAnsi="宋体" w:cs="宋体"/>
                <w:color w:val="auto"/>
                <w:sz w:val="22"/>
                <w:szCs w:val="22"/>
                <w:highlight w:val="none"/>
                <w:lang w:val="en-US" w:eastAsia="zh-CN"/>
              </w:rPr>
              <w:t>6200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28CA4E6B">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6200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的运动场改造，惠及</w:t>
            </w:r>
            <w:r>
              <w:rPr>
                <w:rFonts w:hint="eastAsia" w:ascii="宋体" w:hAnsi="宋体" w:cs="宋体"/>
                <w:color w:val="auto"/>
                <w:sz w:val="22"/>
                <w:szCs w:val="22"/>
                <w:highlight w:val="none"/>
                <w:lang w:val="en-US" w:eastAsia="zh-CN"/>
              </w:rPr>
              <w:t>756名学生，</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14:paraId="187DAA39">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6D9332EF">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15ECD6FB">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59E70256">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240A">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4E4BA6FF">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859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3937873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46B76">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7A4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22C5524F">
        <w:tblPrEx>
          <w:tblCellMar>
            <w:top w:w="0" w:type="dxa"/>
            <w:left w:w="108" w:type="dxa"/>
            <w:bottom w:w="0" w:type="dxa"/>
            <w:right w:w="108" w:type="dxa"/>
          </w:tblCellMar>
        </w:tblPrEx>
        <w:trPr>
          <w:gridAfter w:val="1"/>
          <w:wAfter w:w="236" w:type="dxa"/>
          <w:trHeight w:val="487" w:hRule="atLeast"/>
        </w:trPr>
        <w:tc>
          <w:tcPr>
            <w:tcW w:w="1113" w:type="dxa"/>
            <w:vMerge w:val="continue"/>
            <w:tcBorders>
              <w:left w:val="single" w:color="000000" w:sz="4" w:space="0"/>
              <w:right w:val="single" w:color="000000" w:sz="4" w:space="0"/>
            </w:tcBorders>
            <w:shd w:val="clear" w:color="auto" w:fill="auto"/>
            <w:vAlign w:val="center"/>
          </w:tcPr>
          <w:p w14:paraId="50AFC83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28CE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6B025F9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BE1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ADAAC">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509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6200m²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FB7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6200m²</w:t>
            </w:r>
          </w:p>
        </w:tc>
      </w:tr>
      <w:tr w14:paraId="48E728D6">
        <w:tblPrEx>
          <w:tblCellMar>
            <w:top w:w="0" w:type="dxa"/>
            <w:left w:w="108" w:type="dxa"/>
            <w:bottom w:w="0" w:type="dxa"/>
            <w:right w:w="108" w:type="dxa"/>
          </w:tblCellMar>
        </w:tblPrEx>
        <w:trPr>
          <w:gridAfter w:val="1"/>
          <w:wAfter w:w="236" w:type="dxa"/>
          <w:trHeight w:val="90" w:hRule="atLeast"/>
        </w:trPr>
        <w:tc>
          <w:tcPr>
            <w:tcW w:w="1113" w:type="dxa"/>
            <w:vMerge w:val="continue"/>
            <w:tcBorders>
              <w:left w:val="single" w:color="000000" w:sz="4" w:space="0"/>
              <w:right w:val="single" w:color="000000" w:sz="4" w:space="0"/>
            </w:tcBorders>
            <w:shd w:val="clear" w:color="auto" w:fill="auto"/>
            <w:vAlign w:val="center"/>
          </w:tcPr>
          <w:p w14:paraId="6E418C0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F7FE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68D2F58">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1D66">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73A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33E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14:paraId="580945BD">
        <w:tblPrEx>
          <w:tblCellMar>
            <w:top w:w="0" w:type="dxa"/>
            <w:left w:w="108" w:type="dxa"/>
            <w:bottom w:w="0" w:type="dxa"/>
            <w:right w:w="108" w:type="dxa"/>
          </w:tblCellMar>
        </w:tblPrEx>
        <w:trPr>
          <w:gridAfter w:val="1"/>
          <w:wAfter w:w="236" w:type="dxa"/>
          <w:trHeight w:val="503" w:hRule="atLeast"/>
        </w:trPr>
        <w:tc>
          <w:tcPr>
            <w:tcW w:w="1113" w:type="dxa"/>
            <w:vMerge w:val="continue"/>
            <w:tcBorders>
              <w:left w:val="single" w:color="000000" w:sz="4" w:space="0"/>
              <w:right w:val="single" w:color="000000" w:sz="4" w:space="0"/>
            </w:tcBorders>
            <w:shd w:val="clear" w:color="auto" w:fill="auto"/>
            <w:vAlign w:val="center"/>
          </w:tcPr>
          <w:p w14:paraId="368A56B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F592A">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1512387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32F3">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588F">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D5F9">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3635B216">
        <w:tblPrEx>
          <w:tblCellMar>
            <w:top w:w="0" w:type="dxa"/>
            <w:left w:w="108" w:type="dxa"/>
            <w:bottom w:w="0" w:type="dxa"/>
            <w:right w:w="108" w:type="dxa"/>
          </w:tblCellMar>
        </w:tblPrEx>
        <w:trPr>
          <w:gridAfter w:val="1"/>
          <w:wAfter w:w="236" w:type="dxa"/>
          <w:trHeight w:val="655" w:hRule="atLeast"/>
        </w:trPr>
        <w:tc>
          <w:tcPr>
            <w:tcW w:w="1113" w:type="dxa"/>
            <w:vMerge w:val="continue"/>
            <w:tcBorders>
              <w:left w:val="single" w:color="000000" w:sz="4" w:space="0"/>
              <w:right w:val="single" w:color="000000" w:sz="4" w:space="0"/>
            </w:tcBorders>
            <w:shd w:val="clear" w:color="auto" w:fill="auto"/>
            <w:vAlign w:val="center"/>
          </w:tcPr>
          <w:p w14:paraId="76BD4BE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6442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04612A0">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A51A">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353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AB32">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14:paraId="4EB0B896">
        <w:tblPrEx>
          <w:tblCellMar>
            <w:top w:w="0" w:type="dxa"/>
            <w:left w:w="108" w:type="dxa"/>
            <w:bottom w:w="0" w:type="dxa"/>
            <w:right w:w="108" w:type="dxa"/>
          </w:tblCellMar>
        </w:tblPrEx>
        <w:trPr>
          <w:gridAfter w:val="1"/>
          <w:wAfter w:w="236" w:type="dxa"/>
          <w:trHeight w:val="681" w:hRule="atLeast"/>
        </w:trPr>
        <w:tc>
          <w:tcPr>
            <w:tcW w:w="1113" w:type="dxa"/>
            <w:vMerge w:val="continue"/>
            <w:tcBorders>
              <w:left w:val="single" w:color="000000" w:sz="4" w:space="0"/>
              <w:right w:val="single" w:color="000000" w:sz="4" w:space="0"/>
            </w:tcBorders>
            <w:shd w:val="clear" w:color="auto" w:fill="auto"/>
            <w:vAlign w:val="center"/>
          </w:tcPr>
          <w:p w14:paraId="44F709C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2365C">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14:paraId="55FAA7A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AD4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B839">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8185">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34DF869B">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6C99A83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62F5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1C8AF84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23F74">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运动场改造</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843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BDB3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484元</w:t>
            </w:r>
          </w:p>
        </w:tc>
      </w:tr>
      <w:tr w14:paraId="63D829FD">
        <w:tblPrEx>
          <w:tblCellMar>
            <w:top w:w="0" w:type="dxa"/>
            <w:left w:w="108" w:type="dxa"/>
            <w:bottom w:w="0" w:type="dxa"/>
            <w:right w:w="108" w:type="dxa"/>
          </w:tblCellMar>
        </w:tblPrEx>
        <w:trPr>
          <w:gridAfter w:val="1"/>
          <w:wAfter w:w="236" w:type="dxa"/>
          <w:trHeight w:val="569" w:hRule="atLeast"/>
        </w:trPr>
        <w:tc>
          <w:tcPr>
            <w:tcW w:w="1113" w:type="dxa"/>
            <w:vMerge w:val="continue"/>
            <w:tcBorders>
              <w:left w:val="single" w:color="000000" w:sz="4" w:space="0"/>
              <w:right w:val="single" w:color="000000" w:sz="4" w:space="0"/>
            </w:tcBorders>
            <w:shd w:val="clear" w:color="auto" w:fill="auto"/>
            <w:vAlign w:val="center"/>
          </w:tcPr>
          <w:p w14:paraId="4DC70E0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6C00B1D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7AEFE4C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3766E6A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BA7417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5296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0BFA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10C33DFF">
        <w:tblPrEx>
          <w:tblCellMar>
            <w:top w:w="0" w:type="dxa"/>
            <w:left w:w="108" w:type="dxa"/>
            <w:bottom w:w="0" w:type="dxa"/>
            <w:right w:w="108" w:type="dxa"/>
          </w:tblCellMar>
        </w:tblPrEx>
        <w:trPr>
          <w:gridAfter w:val="1"/>
          <w:wAfter w:w="236" w:type="dxa"/>
          <w:trHeight w:val="512" w:hRule="atLeast"/>
        </w:trPr>
        <w:tc>
          <w:tcPr>
            <w:tcW w:w="1113" w:type="dxa"/>
            <w:vMerge w:val="continue"/>
            <w:tcBorders>
              <w:left w:val="single" w:color="000000" w:sz="4" w:space="0"/>
              <w:right w:val="single" w:color="000000" w:sz="4" w:space="0"/>
            </w:tcBorders>
            <w:shd w:val="clear" w:color="auto" w:fill="auto"/>
            <w:vAlign w:val="center"/>
          </w:tcPr>
          <w:p w14:paraId="1CF4F9A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37AF2E99">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56279F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14:paraId="29237CB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1E2859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建设</w:t>
            </w:r>
            <w:r>
              <w:rPr>
                <w:rFonts w:hint="default" w:ascii="仿宋_GB2312" w:hAnsi="仿宋_GB2312" w:eastAsia="仿宋_GB2312" w:cs="仿宋_GB2312"/>
                <w:color w:val="auto"/>
                <w:sz w:val="20"/>
                <w:szCs w:val="20"/>
                <w:highlight w:val="none"/>
              </w:rPr>
              <w:t>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A22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982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56828511">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02EB252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2990F89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3B78E4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6C35863B">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0AE2">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72B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14:paraId="7FB1AAEF">
        <w:tblPrEx>
          <w:tblCellMar>
            <w:top w:w="0" w:type="dxa"/>
            <w:left w:w="108" w:type="dxa"/>
            <w:bottom w:w="0" w:type="dxa"/>
            <w:right w:w="108" w:type="dxa"/>
          </w:tblCellMar>
        </w:tblPrEx>
        <w:trPr>
          <w:gridAfter w:val="1"/>
          <w:wAfter w:w="236" w:type="dxa"/>
          <w:trHeight w:val="508" w:hRule="atLeast"/>
        </w:trPr>
        <w:tc>
          <w:tcPr>
            <w:tcW w:w="1113" w:type="dxa"/>
            <w:vMerge w:val="continue"/>
            <w:tcBorders>
              <w:left w:val="single" w:color="000000" w:sz="4" w:space="0"/>
              <w:right w:val="single" w:color="000000" w:sz="4" w:space="0"/>
            </w:tcBorders>
            <w:shd w:val="clear" w:color="auto" w:fill="auto"/>
            <w:vAlign w:val="center"/>
          </w:tcPr>
          <w:p w14:paraId="1D24CA8D">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235E3AA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7A41DB6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BFE68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450475C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B4E75">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3EA5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BD3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0C949005">
        <w:tblPrEx>
          <w:tblCellMar>
            <w:top w:w="0" w:type="dxa"/>
            <w:left w:w="108" w:type="dxa"/>
            <w:bottom w:w="0" w:type="dxa"/>
            <w:right w:w="108" w:type="dxa"/>
          </w:tblCellMar>
        </w:tblPrEx>
        <w:trPr>
          <w:gridAfter w:val="1"/>
          <w:wAfter w:w="236" w:type="dxa"/>
          <w:trHeight w:val="514"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7DF6A85B">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32A39B52">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DADAA4">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2B43">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6A71">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230E">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14:paraId="24A95E14">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14:paraId="4B2FCEC7">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14:paraId="55E8D710">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14:paraId="48EB5C82">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14:paraId="02AAC922">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14:paraId="68B53BAD">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14:paraId="1704AC1F">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14:paraId="2526E9B5">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14:paraId="53195E3B">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14:paraId="77B7760F">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14:paraId="7F1C791C">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14:paraId="0A5DEA7B">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14:paraId="3B732C4C">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14:paraId="725DE4CE">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14:paraId="4C2D9C01">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footerReference r:id="rId7" w:type="first"/>
      <w:footerReference r:id="rId6"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8ABFAE-6BEA-4590-8FD4-C533788033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1CF480C-FDF0-4E82-97BC-6312EE49A126}"/>
  </w:font>
  <w:font w:name="Cambria">
    <w:panose1 w:val="02040503050406030204"/>
    <w:charset w:val="00"/>
    <w:family w:val="roman"/>
    <w:pitch w:val="default"/>
    <w:sig w:usb0="E00006FF" w:usb1="420024FF" w:usb2="02000000" w:usb3="00000000" w:csb0="2000019F" w:csb1="00000000"/>
    <w:embedRegular r:id="rId3" w:fontKey="{8663D901-04EF-4FA7-9BA3-3027FEFF738D}"/>
  </w:font>
  <w:font w:name="仿宋_GB2312">
    <w:altName w:val="仿宋"/>
    <w:panose1 w:val="00000000000000000000"/>
    <w:charset w:val="86"/>
    <w:family w:val="modern"/>
    <w:pitch w:val="default"/>
    <w:sig w:usb0="00000000" w:usb1="00000000" w:usb2="00000000" w:usb3="00000000" w:csb0="00040000" w:csb1="00000000"/>
    <w:embedRegular r:id="rId4" w:fontKey="{769F6A6E-0821-42FB-8108-A6A627AB7401}"/>
  </w:font>
  <w:font w:name="仿宋">
    <w:panose1 w:val="02010609060101010101"/>
    <w:charset w:val="86"/>
    <w:family w:val="auto"/>
    <w:pitch w:val="default"/>
    <w:sig w:usb0="800002BF" w:usb1="38CF7CFA" w:usb2="00000016" w:usb3="00000000" w:csb0="00040001" w:csb1="00000000"/>
    <w:embedRegular r:id="rId5" w:fontKey="{DF8CAEF4-99EE-4327-B34A-E4F91BA86DCC}"/>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2BED7EB5-9A3B-4823-B107-2736C2885793}"/>
  </w:font>
  <w:font w:name="方正小标宋_GBK">
    <w:panose1 w:val="02000000000000000000"/>
    <w:charset w:val="86"/>
    <w:family w:val="auto"/>
    <w:pitch w:val="default"/>
    <w:sig w:usb0="A00002BF" w:usb1="38CF7CFA" w:usb2="00082016" w:usb3="00000000" w:csb0="00040001" w:csb1="00000000"/>
    <w:embedRegular r:id="rId7" w:fontKey="{B54F1598-C67B-430C-B1EE-09E961A1609E}"/>
  </w:font>
  <w:font w:name="华文楷体">
    <w:panose1 w:val="02010600040101010101"/>
    <w:charset w:val="86"/>
    <w:family w:val="auto"/>
    <w:pitch w:val="default"/>
    <w:sig w:usb0="00000287" w:usb1="080F0000" w:usb2="00000000" w:usb3="00000000" w:csb0="0004009F" w:csb1="DFD70000"/>
    <w:embedRegular r:id="rId8" w:fontKey="{355CB7DB-4EC3-4650-A988-AF3EC474F3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0D6C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1B30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43FCC8">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0643FCC8">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CB247">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29C65">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68129C65">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41604">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71C9BD">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0971C9BD">
                    <w:pPr>
                      <w:pStyle w:val="11"/>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CA2A2">
                          <w:pPr>
                            <w:pStyle w:val="11"/>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5BCA2A2">
                    <w:pPr>
                      <w:pStyle w:val="11"/>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7DDF8">
    <w:pPr>
      <w:pStyle w:val="12"/>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5366BBA"/>
    <w:multiLevelType w:val="singleLevel"/>
    <w:tmpl w:val="D5366BBA"/>
    <w:lvl w:ilvl="0" w:tentative="0">
      <w:start w:val="5"/>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4054"/>
    <w:rsid w:val="038D3451"/>
    <w:rsid w:val="07415BFD"/>
    <w:rsid w:val="077961C6"/>
    <w:rsid w:val="099A2423"/>
    <w:rsid w:val="09BF1E8A"/>
    <w:rsid w:val="0A2032A3"/>
    <w:rsid w:val="0B8A37D8"/>
    <w:rsid w:val="0D766D04"/>
    <w:rsid w:val="0E6354DA"/>
    <w:rsid w:val="0EC71F0D"/>
    <w:rsid w:val="0FA71355"/>
    <w:rsid w:val="10C055FF"/>
    <w:rsid w:val="112C7A85"/>
    <w:rsid w:val="118107EC"/>
    <w:rsid w:val="11DD6519"/>
    <w:rsid w:val="12910332"/>
    <w:rsid w:val="157E27B0"/>
    <w:rsid w:val="16BB723D"/>
    <w:rsid w:val="177D300F"/>
    <w:rsid w:val="18015F3F"/>
    <w:rsid w:val="1BCF600F"/>
    <w:rsid w:val="1BE8440E"/>
    <w:rsid w:val="1D155CEE"/>
    <w:rsid w:val="1E660163"/>
    <w:rsid w:val="1E8C1C92"/>
    <w:rsid w:val="20F57F95"/>
    <w:rsid w:val="21156B08"/>
    <w:rsid w:val="23066A21"/>
    <w:rsid w:val="240371BF"/>
    <w:rsid w:val="24D54B4E"/>
    <w:rsid w:val="25551BC9"/>
    <w:rsid w:val="25C741E6"/>
    <w:rsid w:val="27842671"/>
    <w:rsid w:val="28942A08"/>
    <w:rsid w:val="28FA4A64"/>
    <w:rsid w:val="29FD04D3"/>
    <w:rsid w:val="2ABE7A3E"/>
    <w:rsid w:val="2BAE4DE0"/>
    <w:rsid w:val="2BD15D21"/>
    <w:rsid w:val="2C0D4D5A"/>
    <w:rsid w:val="2D2B320F"/>
    <w:rsid w:val="2DB806C6"/>
    <w:rsid w:val="2EFA178C"/>
    <w:rsid w:val="2F035681"/>
    <w:rsid w:val="30B46D73"/>
    <w:rsid w:val="319F7F4E"/>
    <w:rsid w:val="31E3199D"/>
    <w:rsid w:val="32E05DEF"/>
    <w:rsid w:val="353C0D20"/>
    <w:rsid w:val="39AE70AB"/>
    <w:rsid w:val="3C0C0783"/>
    <w:rsid w:val="3E1B3ACC"/>
    <w:rsid w:val="3F795B0E"/>
    <w:rsid w:val="3F9F3A96"/>
    <w:rsid w:val="45201144"/>
    <w:rsid w:val="459B31D0"/>
    <w:rsid w:val="462C5BD6"/>
    <w:rsid w:val="46A14816"/>
    <w:rsid w:val="493C27E9"/>
    <w:rsid w:val="4944794C"/>
    <w:rsid w:val="496F39ED"/>
    <w:rsid w:val="49FF41D3"/>
    <w:rsid w:val="4A185DC8"/>
    <w:rsid w:val="4A413317"/>
    <w:rsid w:val="4BE068DB"/>
    <w:rsid w:val="4BF6002B"/>
    <w:rsid w:val="4ECE2238"/>
    <w:rsid w:val="4F9F38BD"/>
    <w:rsid w:val="4FD61684"/>
    <w:rsid w:val="503645ED"/>
    <w:rsid w:val="508F3649"/>
    <w:rsid w:val="51DB4B86"/>
    <w:rsid w:val="52CF5BE8"/>
    <w:rsid w:val="52FB5859"/>
    <w:rsid w:val="53403A04"/>
    <w:rsid w:val="53DC50DF"/>
    <w:rsid w:val="54531D4B"/>
    <w:rsid w:val="547F5A6B"/>
    <w:rsid w:val="54D66B5F"/>
    <w:rsid w:val="55333C3E"/>
    <w:rsid w:val="558E2409"/>
    <w:rsid w:val="571B7CCD"/>
    <w:rsid w:val="58737E60"/>
    <w:rsid w:val="5A15183E"/>
    <w:rsid w:val="5B1E7D8B"/>
    <w:rsid w:val="5BE41A30"/>
    <w:rsid w:val="5EEF25B2"/>
    <w:rsid w:val="60A2320D"/>
    <w:rsid w:val="60FB1483"/>
    <w:rsid w:val="64A80084"/>
    <w:rsid w:val="64CA39A1"/>
    <w:rsid w:val="65B126BB"/>
    <w:rsid w:val="6B842554"/>
    <w:rsid w:val="6C4A05C8"/>
    <w:rsid w:val="6C6E6699"/>
    <w:rsid w:val="6C783B29"/>
    <w:rsid w:val="6C9F2CF6"/>
    <w:rsid w:val="6EDA0CDC"/>
    <w:rsid w:val="72734D90"/>
    <w:rsid w:val="727D7081"/>
    <w:rsid w:val="72E456B5"/>
    <w:rsid w:val="74E366CA"/>
    <w:rsid w:val="75137DDD"/>
    <w:rsid w:val="79964965"/>
    <w:rsid w:val="79E7B28D"/>
    <w:rsid w:val="7AC82E51"/>
    <w:rsid w:val="7BE27D1D"/>
    <w:rsid w:val="7BFA24EA"/>
    <w:rsid w:val="7CA13CD8"/>
    <w:rsid w:val="7CAB154F"/>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1178.6</c:v>
                </c:pt>
                <c:pt idx="1">
                  <c:v>1211.81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1178.6</c:v>
                </c:pt>
                <c:pt idx="1">
                  <c:v>1211.81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9892adfa-62ea-423e-ab57-da8d83bd1291}"/>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0.9988</c:v>
                </c:pt>
                <c:pt idx="1">
                  <c:v>0.0012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8149791-1caf-443f-b87a-1ea861262b9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75.12</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24.88</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0.7512</c:v>
                </c:pt>
                <c:pt idx="1">
                  <c:v>0.2488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9eba755e-597d-4c9f-93f3-74d915927ec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1178.6</c:v>
                </c:pt>
                <c:pt idx="1">
                  <c:v>1211.81</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1178.6</c:v>
                </c:pt>
                <c:pt idx="1">
                  <c:v>1211.81</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f42e55dc-368c-4498-8f10-64aa077a93cf}"/>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1175.6</c:v>
                </c:pt>
                <c:pt idx="1">
                  <c:v>1210.31</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d0b6a4c-fd81-4bb6-bf7d-5c6b996698ea}"/>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b4732de-c4d7-4529-a99a-68d4460f4573}"/>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82a2e5e1-496a-4240-a939-70f82ffbc222}"/>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23</Pages>
  <Words>7848</Words>
  <Characters>8352</Characters>
  <Lines>47</Lines>
  <Paragraphs>13</Paragraphs>
  <TotalTime>6</TotalTime>
  <ScaleCrop>false</ScaleCrop>
  <LinksUpToDate>false</LinksUpToDate>
  <CharactersWithSpaces>8412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2025-01-06T04:30:10Z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571F1544BFB3459E9C3DE87EB0B14AA5</vt:lpwstr>
  </property>
  <property fmtid="{D5CDD505-2E9C-101B-9397-08002B2CF9AE}" pid="4" name="KSOTemplateDocerSaveRecord">
    <vt:lpwstr>eyJoZGlkIjoiMGVhYTg4NGNkZWJkODFjNzcyZDRjM2M4Y2UzNjI5ZmUiLCJ1c2VySWQiOiI2MTE2MzEwMDYifQ==</vt:lpwstr>
  </property>
</Properties>
</file>