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6A4FDC">
      <w:pPr>
        <w:spacing w:line="600" w:lineRule="exact"/>
        <w:jc w:val="center"/>
        <w:outlineLvl w:val="0"/>
        <w:rPr>
          <w:rFonts w:ascii="方正小标宋简体" w:hAnsi="宋体" w:eastAsia="方正小标宋简体"/>
          <w:color w:val="auto"/>
          <w:sz w:val="72"/>
          <w:szCs w:val="72"/>
          <w:highlight w:val="none"/>
        </w:rPr>
      </w:pPr>
      <w:bookmarkStart w:id="0" w:name="_Toc15306267"/>
    </w:p>
    <w:p w14:paraId="18CFEC6C">
      <w:pPr>
        <w:spacing w:line="600" w:lineRule="exact"/>
        <w:jc w:val="center"/>
        <w:outlineLvl w:val="0"/>
        <w:rPr>
          <w:rFonts w:ascii="方正小标宋简体" w:hAnsi="宋体" w:eastAsia="方正小标宋简体"/>
          <w:color w:val="auto"/>
          <w:sz w:val="72"/>
          <w:szCs w:val="72"/>
          <w:highlight w:val="none"/>
        </w:rPr>
      </w:pPr>
    </w:p>
    <w:p w14:paraId="62F40F13">
      <w:pPr>
        <w:spacing w:line="600" w:lineRule="exact"/>
        <w:jc w:val="center"/>
        <w:outlineLvl w:val="0"/>
        <w:rPr>
          <w:rFonts w:ascii="方正小标宋简体" w:hAnsi="宋体" w:eastAsia="方正小标宋简体"/>
          <w:color w:val="auto"/>
          <w:sz w:val="72"/>
          <w:szCs w:val="72"/>
          <w:highlight w:val="none"/>
        </w:rPr>
      </w:pPr>
    </w:p>
    <w:p w14:paraId="147F56B0">
      <w:pPr>
        <w:spacing w:line="600" w:lineRule="exact"/>
        <w:jc w:val="center"/>
        <w:outlineLvl w:val="0"/>
        <w:rPr>
          <w:rFonts w:ascii="方正小标宋简体" w:hAnsi="宋体" w:eastAsia="方正小标宋简体"/>
          <w:color w:val="auto"/>
          <w:sz w:val="72"/>
          <w:szCs w:val="72"/>
          <w:highlight w:val="none"/>
        </w:rPr>
      </w:pPr>
    </w:p>
    <w:p w14:paraId="55FB601F">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77193"/>
      <w:bookmarkStart w:id="2" w:name="_Toc3699"/>
      <w:bookmarkStart w:id="3" w:name="_Toc15396475"/>
      <w:bookmarkStart w:id="4" w:name="_Toc15377425"/>
      <w:bookmarkStart w:id="5" w:name="_Toc15396597"/>
      <w:bookmarkStart w:id="6" w:name="_Toc18193"/>
      <w:bookmarkStart w:id="7" w:name="_Toc15378441"/>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bookmarkEnd w:id="6"/>
      <w:bookmarkEnd w:id="7"/>
    </w:p>
    <w:p w14:paraId="5D1D2BD8">
      <w:pPr>
        <w:adjustRightInd w:val="0"/>
        <w:snapToGrid w:val="0"/>
        <w:spacing w:line="360" w:lineRule="auto"/>
        <w:jc w:val="center"/>
        <w:outlineLvl w:val="0"/>
        <w:rPr>
          <w:rFonts w:hint="eastAsia" w:ascii="方正小标宋_GBK" w:hAnsi="方正小标宋_GBK" w:eastAsia="方正小标宋_GBK" w:cs="方正小标宋_GBK"/>
          <w:color w:val="auto"/>
          <w:sz w:val="72"/>
          <w:szCs w:val="72"/>
          <w:highlight w:val="none"/>
        </w:rPr>
      </w:pPr>
      <w:bookmarkStart w:id="8" w:name="_Toc20402"/>
      <w:bookmarkStart w:id="9" w:name="_Toc15377194"/>
      <w:bookmarkStart w:id="10" w:name="_Toc8567"/>
      <w:bookmarkStart w:id="11" w:name="_Toc15396476"/>
      <w:bookmarkStart w:id="12" w:name="_Toc15396598"/>
      <w:bookmarkStart w:id="13" w:name="_Toc15377426"/>
      <w:bookmarkStart w:id="14" w:name="_Toc15378442"/>
      <w:r>
        <w:rPr>
          <w:rFonts w:hint="eastAsia" w:ascii="方正小标宋_GBK" w:hAnsi="方正小标宋_GBK" w:eastAsia="方正小标宋_GBK" w:cs="方正小标宋_GBK"/>
          <w:color w:val="auto"/>
          <w:sz w:val="72"/>
          <w:szCs w:val="72"/>
          <w:highlight w:val="none"/>
        </w:rPr>
        <w:t>四川省</w:t>
      </w:r>
      <w:bookmarkEnd w:id="0"/>
      <w:bookmarkStart w:id="15" w:name="_Toc15306268"/>
      <w:r>
        <w:rPr>
          <w:rFonts w:hint="eastAsia" w:ascii="方正小标宋_GBK" w:hAnsi="方正小标宋_GBK" w:eastAsia="方正小标宋_GBK" w:cs="方正小标宋_GBK"/>
          <w:color w:val="auto"/>
          <w:sz w:val="72"/>
          <w:szCs w:val="72"/>
          <w:highlight w:val="none"/>
        </w:rPr>
        <w:t>广元市昭化区</w:t>
      </w:r>
    </w:p>
    <w:p w14:paraId="6008DEBC">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r>
        <w:rPr>
          <w:rFonts w:hint="eastAsia" w:ascii="方正小标宋_GBK" w:hAnsi="方正小标宋_GBK" w:eastAsia="方正小标宋_GBK" w:cs="方正小标宋_GBK"/>
          <w:color w:val="auto"/>
          <w:sz w:val="72"/>
          <w:szCs w:val="72"/>
          <w:highlight w:val="none"/>
        </w:rPr>
        <w:t>虎跳镇</w:t>
      </w:r>
      <w:r>
        <w:rPr>
          <w:rFonts w:hint="eastAsia" w:ascii="方正小标宋_GBK" w:hAnsi="方正小标宋_GBK" w:eastAsia="方正小标宋_GBK" w:cs="方正小标宋_GBK"/>
          <w:color w:val="auto"/>
          <w:sz w:val="72"/>
          <w:szCs w:val="72"/>
          <w:highlight w:val="none"/>
          <w:lang w:eastAsia="zh-CN"/>
        </w:rPr>
        <w:t>丁家</w:t>
      </w:r>
      <w:r>
        <w:rPr>
          <w:rFonts w:hint="eastAsia" w:ascii="方正小标宋_GBK" w:hAnsi="方正小标宋_GBK" w:eastAsia="方正小标宋_GBK" w:cs="方正小标宋_GBK"/>
          <w:color w:val="auto"/>
          <w:sz w:val="72"/>
          <w:szCs w:val="72"/>
          <w:highlight w:val="none"/>
        </w:rPr>
        <w:t>小学单位决算</w:t>
      </w:r>
      <w:bookmarkEnd w:id="8"/>
      <w:bookmarkEnd w:id="9"/>
      <w:bookmarkEnd w:id="10"/>
      <w:bookmarkEnd w:id="11"/>
      <w:bookmarkEnd w:id="12"/>
      <w:bookmarkEnd w:id="13"/>
      <w:bookmarkEnd w:id="14"/>
      <w:bookmarkEnd w:id="15"/>
    </w:p>
    <w:p w14:paraId="770F971E">
      <w:pPr>
        <w:widowControl/>
        <w:jc w:val="center"/>
        <w:rPr>
          <w:rFonts w:ascii="方正小标宋简体" w:hAnsi="宋体" w:eastAsia="方正小标宋简体"/>
          <w:color w:val="auto"/>
          <w:sz w:val="36"/>
          <w:szCs w:val="36"/>
          <w:highlight w:val="none"/>
        </w:rPr>
      </w:pPr>
      <w:r>
        <w:rPr>
          <w:rFonts w:ascii="方正小标宋简体" w:hAnsi="宋体" w:eastAsia="方正小标宋简体"/>
          <w:color w:val="auto"/>
          <w:sz w:val="36"/>
          <w:szCs w:val="36"/>
          <w:highlight w:val="none"/>
        </w:rPr>
        <w:br w:type="page"/>
      </w:r>
    </w:p>
    <w:p w14:paraId="0BD3112B">
      <w:pPr>
        <w:widowControl/>
        <w:jc w:val="center"/>
        <w:rPr>
          <w:rFonts w:ascii="黑体" w:hAnsi="黑体" w:eastAsia="黑体"/>
          <w:color w:val="auto"/>
          <w:sz w:val="48"/>
          <w:szCs w:val="48"/>
          <w:highlight w:val="none"/>
        </w:rPr>
      </w:pPr>
      <w:r>
        <w:rPr>
          <w:rFonts w:hint="eastAsia" w:ascii="黑体" w:hAnsi="黑体" w:eastAsia="黑体"/>
          <w:color w:val="auto"/>
          <w:sz w:val="48"/>
          <w:szCs w:val="48"/>
          <w:highlight w:val="none"/>
        </w:rPr>
        <w:t>目录</w:t>
      </w:r>
    </w:p>
    <w:p w14:paraId="293AB072">
      <w:pPr>
        <w:pStyle w:val="13"/>
        <w:tabs>
          <w:tab w:val="right" w:leader="dot" w:pos="8306"/>
          <w:tab w:val="clear" w:pos="8296"/>
        </w:tabs>
        <w:rPr>
          <w:color w:val="auto"/>
          <w:highlight w:val="none"/>
        </w:rPr>
      </w:pPr>
      <w:r>
        <w:rPr>
          <w:color w:val="auto"/>
          <w:highlight w:val="none"/>
        </w:rPr>
        <w:fldChar w:fldCharType="begin"/>
      </w:r>
      <w:r>
        <w:rPr>
          <w:color w:val="auto"/>
          <w:highlight w:val="none"/>
        </w:rPr>
        <w:instrText xml:space="preserve">TOC \o "1-2" \h \u </w:instrText>
      </w:r>
      <w:r>
        <w:rPr>
          <w:color w:val="auto"/>
          <w:highlight w:val="none"/>
        </w:rPr>
        <w:fldChar w:fldCharType="separate"/>
      </w:r>
    </w:p>
    <w:p w14:paraId="385E963E">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fldChar w:fldCharType="begin"/>
      </w:r>
      <w:r>
        <w:rPr>
          <w:rFonts w:hint="eastAsia" w:ascii="仿宋" w:hAnsi="仿宋" w:eastAsia="仿宋" w:cs="仿宋"/>
          <w:color w:val="auto"/>
          <w:sz w:val="36"/>
          <w:szCs w:val="36"/>
          <w:highlight w:val="none"/>
        </w:rPr>
        <w:instrText xml:space="preserve"> HYPERLINK \l _Toc26993 </w:instrText>
      </w:r>
      <w:r>
        <w:rPr>
          <w:rFonts w:hint="eastAsia" w:ascii="仿宋" w:hAnsi="仿宋" w:eastAsia="仿宋" w:cs="仿宋"/>
          <w:color w:val="auto"/>
          <w:sz w:val="36"/>
          <w:szCs w:val="36"/>
          <w:highlight w:val="none"/>
        </w:rPr>
        <w:fldChar w:fldCharType="separate"/>
      </w:r>
      <w:r>
        <w:rPr>
          <w:rFonts w:hint="eastAsia" w:ascii="仿宋" w:hAnsi="仿宋" w:eastAsia="仿宋" w:cs="仿宋"/>
          <w:color w:val="auto"/>
          <w:sz w:val="36"/>
          <w:szCs w:val="36"/>
          <w:highlight w:val="none"/>
        </w:rPr>
        <w:t>第一部分 单位概况</w:t>
      </w:r>
      <w:r>
        <w:rPr>
          <w:rFonts w:hint="eastAsia" w:ascii="仿宋" w:hAnsi="仿宋" w:eastAsia="仿宋" w:cs="仿宋"/>
          <w:color w:val="auto"/>
          <w:sz w:val="36"/>
          <w:szCs w:val="36"/>
          <w:highlight w:val="none"/>
        </w:rPr>
        <w:tab/>
      </w:r>
      <w:r>
        <w:rPr>
          <w:rFonts w:hint="eastAsia" w:ascii="仿宋" w:hAnsi="仿宋" w:eastAsia="仿宋" w:cs="仿宋"/>
          <w:color w:val="auto"/>
          <w:sz w:val="36"/>
          <w:szCs w:val="36"/>
          <w:highlight w:val="none"/>
        </w:rPr>
        <w:fldChar w:fldCharType="begin"/>
      </w:r>
      <w:r>
        <w:rPr>
          <w:rFonts w:hint="eastAsia" w:ascii="仿宋" w:hAnsi="仿宋" w:eastAsia="仿宋" w:cs="仿宋"/>
          <w:color w:val="auto"/>
          <w:sz w:val="36"/>
          <w:szCs w:val="36"/>
          <w:highlight w:val="none"/>
        </w:rPr>
        <w:instrText xml:space="preserve"> PAGEREF _Toc26993 </w:instrText>
      </w:r>
      <w:r>
        <w:rPr>
          <w:rFonts w:hint="eastAsia" w:ascii="仿宋" w:hAnsi="仿宋" w:eastAsia="仿宋" w:cs="仿宋"/>
          <w:color w:val="auto"/>
          <w:sz w:val="36"/>
          <w:szCs w:val="36"/>
          <w:highlight w:val="none"/>
        </w:rPr>
        <w:fldChar w:fldCharType="separate"/>
      </w:r>
      <w:r>
        <w:rPr>
          <w:rFonts w:hint="eastAsia" w:ascii="仿宋" w:hAnsi="仿宋" w:eastAsia="仿宋" w:cs="仿宋"/>
          <w:color w:val="auto"/>
          <w:sz w:val="36"/>
          <w:szCs w:val="36"/>
          <w:highlight w:val="none"/>
        </w:rPr>
        <w:t>4</w:t>
      </w:r>
      <w:r>
        <w:rPr>
          <w:rFonts w:hint="eastAsia" w:ascii="仿宋" w:hAnsi="仿宋" w:eastAsia="仿宋" w:cs="仿宋"/>
          <w:color w:val="auto"/>
          <w:sz w:val="36"/>
          <w:szCs w:val="36"/>
          <w:highlight w:val="none"/>
        </w:rPr>
        <w:fldChar w:fldCharType="end"/>
      </w:r>
      <w:r>
        <w:rPr>
          <w:rFonts w:hint="eastAsia" w:ascii="仿宋" w:hAnsi="仿宋" w:eastAsia="仿宋" w:cs="仿宋"/>
          <w:color w:val="auto"/>
          <w:sz w:val="36"/>
          <w:szCs w:val="36"/>
          <w:highlight w:val="none"/>
        </w:rPr>
        <w:fldChar w:fldCharType="end"/>
      </w:r>
    </w:p>
    <w:p w14:paraId="7597E9D4">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_Toc27377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一、 职能简介</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PAGEREF _Toc27377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4</w:t>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fldChar w:fldCharType="end"/>
      </w:r>
    </w:p>
    <w:p w14:paraId="5F0452F5">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_Toc32086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二、2021年重点工作完成情况</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PAGEREF _Toc32086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5</w:t>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fldChar w:fldCharType="end"/>
      </w:r>
    </w:p>
    <w:p w14:paraId="17A3B557">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fldChar w:fldCharType="begin"/>
      </w:r>
      <w:r>
        <w:rPr>
          <w:rFonts w:hint="eastAsia" w:ascii="仿宋" w:hAnsi="仿宋" w:eastAsia="仿宋" w:cs="仿宋"/>
          <w:color w:val="auto"/>
          <w:sz w:val="36"/>
          <w:szCs w:val="36"/>
          <w:highlight w:val="none"/>
        </w:rPr>
        <w:instrText xml:space="preserve"> HYPERLINK \l _Toc22510 </w:instrText>
      </w:r>
      <w:r>
        <w:rPr>
          <w:rFonts w:hint="eastAsia" w:ascii="仿宋" w:hAnsi="仿宋" w:eastAsia="仿宋" w:cs="仿宋"/>
          <w:color w:val="auto"/>
          <w:sz w:val="36"/>
          <w:szCs w:val="36"/>
          <w:highlight w:val="none"/>
        </w:rPr>
        <w:fldChar w:fldCharType="separate"/>
      </w:r>
      <w:r>
        <w:rPr>
          <w:rFonts w:hint="eastAsia" w:ascii="仿宋" w:hAnsi="仿宋" w:eastAsia="仿宋" w:cs="仿宋"/>
          <w:color w:val="auto"/>
          <w:sz w:val="36"/>
          <w:szCs w:val="36"/>
          <w:highlight w:val="none"/>
        </w:rPr>
        <w:t>第二部分 2021年度单位决算情况说明</w:t>
      </w:r>
      <w:r>
        <w:rPr>
          <w:rFonts w:hint="eastAsia" w:ascii="仿宋" w:hAnsi="仿宋" w:eastAsia="仿宋" w:cs="仿宋"/>
          <w:color w:val="auto"/>
          <w:sz w:val="36"/>
          <w:szCs w:val="36"/>
          <w:highlight w:val="none"/>
        </w:rPr>
        <w:tab/>
      </w:r>
      <w:r>
        <w:rPr>
          <w:rFonts w:hint="eastAsia" w:ascii="仿宋" w:hAnsi="仿宋" w:eastAsia="仿宋" w:cs="仿宋"/>
          <w:color w:val="auto"/>
          <w:sz w:val="36"/>
          <w:szCs w:val="36"/>
          <w:highlight w:val="none"/>
        </w:rPr>
        <w:fldChar w:fldCharType="begin"/>
      </w:r>
      <w:r>
        <w:rPr>
          <w:rFonts w:hint="eastAsia" w:ascii="仿宋" w:hAnsi="仿宋" w:eastAsia="仿宋" w:cs="仿宋"/>
          <w:color w:val="auto"/>
          <w:sz w:val="36"/>
          <w:szCs w:val="36"/>
          <w:highlight w:val="none"/>
        </w:rPr>
        <w:instrText xml:space="preserve"> PAGEREF _Toc22510 </w:instrText>
      </w:r>
      <w:r>
        <w:rPr>
          <w:rFonts w:hint="eastAsia" w:ascii="仿宋" w:hAnsi="仿宋" w:eastAsia="仿宋" w:cs="仿宋"/>
          <w:color w:val="auto"/>
          <w:sz w:val="36"/>
          <w:szCs w:val="36"/>
          <w:highlight w:val="none"/>
        </w:rPr>
        <w:fldChar w:fldCharType="separate"/>
      </w:r>
      <w:r>
        <w:rPr>
          <w:rFonts w:hint="eastAsia" w:ascii="仿宋" w:hAnsi="仿宋" w:eastAsia="仿宋" w:cs="仿宋"/>
          <w:color w:val="auto"/>
          <w:sz w:val="36"/>
          <w:szCs w:val="36"/>
          <w:highlight w:val="none"/>
        </w:rPr>
        <w:t>10</w:t>
      </w:r>
      <w:r>
        <w:rPr>
          <w:rFonts w:hint="eastAsia" w:ascii="仿宋" w:hAnsi="仿宋" w:eastAsia="仿宋" w:cs="仿宋"/>
          <w:color w:val="auto"/>
          <w:sz w:val="36"/>
          <w:szCs w:val="36"/>
          <w:highlight w:val="none"/>
        </w:rPr>
        <w:fldChar w:fldCharType="end"/>
      </w:r>
      <w:r>
        <w:rPr>
          <w:rFonts w:hint="eastAsia" w:ascii="仿宋" w:hAnsi="仿宋" w:eastAsia="仿宋" w:cs="仿宋"/>
          <w:color w:val="auto"/>
          <w:sz w:val="36"/>
          <w:szCs w:val="36"/>
          <w:highlight w:val="none"/>
        </w:rPr>
        <w:fldChar w:fldCharType="end"/>
      </w:r>
    </w:p>
    <w:p w14:paraId="3B925EB9">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_Toc20351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一、 收入支出决算总体情况说明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PAGEREF _Toc20351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10</w:t>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fldChar w:fldCharType="end"/>
      </w:r>
    </w:p>
    <w:p w14:paraId="67084322">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_Toc31656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二、 收</w:t>
      </w:r>
      <w:r>
        <w:rPr>
          <w:rFonts w:hint="eastAsia" w:ascii="仿宋" w:hAnsi="仿宋" w:eastAsia="仿宋" w:cs="仿宋"/>
          <w:bCs/>
          <w:color w:val="auto"/>
          <w:sz w:val="32"/>
          <w:szCs w:val="32"/>
          <w:highlight w:val="none"/>
        </w:rPr>
        <w:t>入决算情况说明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PAGEREF _Toc31656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10</w:t>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fldChar w:fldCharType="end"/>
      </w:r>
    </w:p>
    <w:p w14:paraId="3206E36C">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_Toc19443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lang w:eastAsia="zh-CN"/>
        </w:rPr>
        <w:t>三、</w:t>
      </w:r>
      <w:r>
        <w:rPr>
          <w:rFonts w:hint="eastAsia" w:ascii="仿宋" w:hAnsi="仿宋" w:eastAsia="仿宋" w:cs="仿宋"/>
          <w:color w:val="auto"/>
          <w:sz w:val="32"/>
          <w:szCs w:val="32"/>
          <w:highlight w:val="none"/>
        </w:rPr>
        <w:t>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PAGEREF _Toc19443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11</w:t>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fldChar w:fldCharType="end"/>
      </w:r>
    </w:p>
    <w:p w14:paraId="28E1350B">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_Toc20681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四、财政拨款收入支出决算总体情况说明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PAGEREF _Toc20681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11</w:t>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fldChar w:fldCharType="end"/>
      </w:r>
    </w:p>
    <w:p w14:paraId="4D4DEEEB">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_Toc9977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五、一般公共预算财政拨款支出决算情况说明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PAGEREF _Toc9977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12</w:t>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fldChar w:fldCharType="end"/>
      </w:r>
    </w:p>
    <w:p w14:paraId="14BE9F64">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_Toc23730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六、一般公共预算财政拨款基本支出决算情况说明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PAGEREF _Toc23730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13</w:t>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fldChar w:fldCharType="end"/>
      </w:r>
    </w:p>
    <w:p w14:paraId="46612929">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_Toc17046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七、“三公”经费财政拨款支出决算情况说明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PAGEREF _Toc17046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14</w:t>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fldChar w:fldCharType="end"/>
      </w:r>
    </w:p>
    <w:p w14:paraId="72388E3B">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_Toc11249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八、政府性基金预算支出决算情况说明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PAGEREF _Toc11249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16</w:t>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fldChar w:fldCharType="end"/>
      </w:r>
    </w:p>
    <w:p w14:paraId="44D9AEE3">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_Toc20033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九、 国有资本经营预算支出决算情况说明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PAGEREF _Toc20033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16</w:t>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fldChar w:fldCharType="end"/>
      </w:r>
    </w:p>
    <w:p w14:paraId="13E9FDA2">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_Toc32223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十、 预算绩效管理情况</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PAGEREF _Toc32223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16</w:t>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fldChar w:fldCharType="end"/>
      </w:r>
    </w:p>
    <w:p w14:paraId="6CE9D88B">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_Toc22090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十一、 其他重要事项的情况说明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PAGEREF _Toc22090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16</w:t>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fldChar w:fldCharType="end"/>
      </w:r>
    </w:p>
    <w:p w14:paraId="0F4B6C16">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fldChar w:fldCharType="begin"/>
      </w:r>
      <w:r>
        <w:rPr>
          <w:rFonts w:hint="eastAsia" w:ascii="仿宋" w:hAnsi="仿宋" w:eastAsia="仿宋" w:cs="仿宋"/>
          <w:color w:val="auto"/>
          <w:sz w:val="36"/>
          <w:szCs w:val="36"/>
          <w:highlight w:val="none"/>
        </w:rPr>
        <w:instrText xml:space="preserve"> HYPERLINK \l _Toc22117 </w:instrText>
      </w:r>
      <w:r>
        <w:rPr>
          <w:rFonts w:hint="eastAsia" w:ascii="仿宋" w:hAnsi="仿宋" w:eastAsia="仿宋" w:cs="仿宋"/>
          <w:color w:val="auto"/>
          <w:sz w:val="36"/>
          <w:szCs w:val="36"/>
          <w:highlight w:val="none"/>
        </w:rPr>
        <w:fldChar w:fldCharType="separate"/>
      </w:r>
      <w:r>
        <w:rPr>
          <w:rFonts w:hint="eastAsia" w:ascii="仿宋" w:hAnsi="仿宋" w:eastAsia="仿宋" w:cs="仿宋"/>
          <w:color w:val="auto"/>
          <w:sz w:val="36"/>
          <w:szCs w:val="36"/>
          <w:highlight w:val="none"/>
        </w:rPr>
        <w:t>第三部分 名词解释</w:t>
      </w:r>
      <w:r>
        <w:rPr>
          <w:rFonts w:hint="eastAsia" w:ascii="仿宋" w:hAnsi="仿宋" w:eastAsia="仿宋" w:cs="仿宋"/>
          <w:color w:val="auto"/>
          <w:sz w:val="36"/>
          <w:szCs w:val="36"/>
          <w:highlight w:val="none"/>
        </w:rPr>
        <w:tab/>
      </w:r>
      <w:r>
        <w:rPr>
          <w:rFonts w:hint="eastAsia" w:ascii="仿宋" w:hAnsi="仿宋" w:eastAsia="仿宋" w:cs="仿宋"/>
          <w:color w:val="auto"/>
          <w:sz w:val="36"/>
          <w:szCs w:val="36"/>
          <w:highlight w:val="none"/>
        </w:rPr>
        <w:fldChar w:fldCharType="begin"/>
      </w:r>
      <w:r>
        <w:rPr>
          <w:rFonts w:hint="eastAsia" w:ascii="仿宋" w:hAnsi="仿宋" w:eastAsia="仿宋" w:cs="仿宋"/>
          <w:color w:val="auto"/>
          <w:sz w:val="36"/>
          <w:szCs w:val="36"/>
          <w:highlight w:val="none"/>
        </w:rPr>
        <w:instrText xml:space="preserve"> PAGEREF _Toc22117 </w:instrText>
      </w:r>
      <w:r>
        <w:rPr>
          <w:rFonts w:hint="eastAsia" w:ascii="仿宋" w:hAnsi="仿宋" w:eastAsia="仿宋" w:cs="仿宋"/>
          <w:color w:val="auto"/>
          <w:sz w:val="36"/>
          <w:szCs w:val="36"/>
          <w:highlight w:val="none"/>
        </w:rPr>
        <w:fldChar w:fldCharType="separate"/>
      </w:r>
      <w:r>
        <w:rPr>
          <w:rFonts w:hint="eastAsia" w:ascii="仿宋" w:hAnsi="仿宋" w:eastAsia="仿宋" w:cs="仿宋"/>
          <w:color w:val="auto"/>
          <w:sz w:val="36"/>
          <w:szCs w:val="36"/>
          <w:highlight w:val="none"/>
        </w:rPr>
        <w:t>18</w:t>
      </w:r>
      <w:r>
        <w:rPr>
          <w:rFonts w:hint="eastAsia" w:ascii="仿宋" w:hAnsi="仿宋" w:eastAsia="仿宋" w:cs="仿宋"/>
          <w:color w:val="auto"/>
          <w:sz w:val="36"/>
          <w:szCs w:val="36"/>
          <w:highlight w:val="none"/>
        </w:rPr>
        <w:fldChar w:fldCharType="end"/>
      </w:r>
      <w:r>
        <w:rPr>
          <w:rFonts w:hint="eastAsia" w:ascii="仿宋" w:hAnsi="仿宋" w:eastAsia="仿宋" w:cs="仿宋"/>
          <w:color w:val="auto"/>
          <w:sz w:val="36"/>
          <w:szCs w:val="36"/>
          <w:highlight w:val="none"/>
        </w:rPr>
        <w:fldChar w:fldCharType="end"/>
      </w:r>
    </w:p>
    <w:p w14:paraId="4D6187FF">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fldChar w:fldCharType="begin"/>
      </w:r>
      <w:r>
        <w:rPr>
          <w:rFonts w:hint="eastAsia" w:ascii="仿宋" w:hAnsi="仿宋" w:eastAsia="仿宋" w:cs="仿宋"/>
          <w:color w:val="auto"/>
          <w:sz w:val="36"/>
          <w:szCs w:val="36"/>
          <w:highlight w:val="none"/>
        </w:rPr>
        <w:instrText xml:space="preserve"> HYPERLINK \l _Toc15467 </w:instrText>
      </w:r>
      <w:r>
        <w:rPr>
          <w:rFonts w:hint="eastAsia" w:ascii="仿宋" w:hAnsi="仿宋" w:eastAsia="仿宋" w:cs="仿宋"/>
          <w:color w:val="auto"/>
          <w:sz w:val="36"/>
          <w:szCs w:val="36"/>
          <w:highlight w:val="none"/>
        </w:rPr>
        <w:fldChar w:fldCharType="separate"/>
      </w:r>
      <w:r>
        <w:rPr>
          <w:rFonts w:hint="eastAsia" w:ascii="仿宋" w:hAnsi="仿宋" w:eastAsia="仿宋" w:cs="仿宋"/>
          <w:color w:val="auto"/>
          <w:sz w:val="36"/>
          <w:szCs w:val="36"/>
          <w:highlight w:val="none"/>
        </w:rPr>
        <w:t>第四部分 附件</w:t>
      </w:r>
      <w:r>
        <w:rPr>
          <w:rFonts w:hint="eastAsia" w:ascii="仿宋" w:hAnsi="仿宋" w:eastAsia="仿宋" w:cs="仿宋"/>
          <w:color w:val="auto"/>
          <w:sz w:val="36"/>
          <w:szCs w:val="36"/>
          <w:highlight w:val="none"/>
        </w:rPr>
        <w:tab/>
      </w:r>
      <w:r>
        <w:rPr>
          <w:rFonts w:hint="eastAsia" w:ascii="仿宋" w:hAnsi="仿宋" w:eastAsia="仿宋" w:cs="仿宋"/>
          <w:color w:val="auto"/>
          <w:sz w:val="36"/>
          <w:szCs w:val="36"/>
          <w:highlight w:val="none"/>
        </w:rPr>
        <w:fldChar w:fldCharType="begin"/>
      </w:r>
      <w:r>
        <w:rPr>
          <w:rFonts w:hint="eastAsia" w:ascii="仿宋" w:hAnsi="仿宋" w:eastAsia="仿宋" w:cs="仿宋"/>
          <w:color w:val="auto"/>
          <w:sz w:val="36"/>
          <w:szCs w:val="36"/>
          <w:highlight w:val="none"/>
        </w:rPr>
        <w:instrText xml:space="preserve"> PAGEREF _Toc15467 </w:instrText>
      </w:r>
      <w:r>
        <w:rPr>
          <w:rFonts w:hint="eastAsia" w:ascii="仿宋" w:hAnsi="仿宋" w:eastAsia="仿宋" w:cs="仿宋"/>
          <w:color w:val="auto"/>
          <w:sz w:val="36"/>
          <w:szCs w:val="36"/>
          <w:highlight w:val="none"/>
        </w:rPr>
        <w:fldChar w:fldCharType="separate"/>
      </w:r>
      <w:r>
        <w:rPr>
          <w:rFonts w:hint="eastAsia" w:ascii="仿宋" w:hAnsi="仿宋" w:eastAsia="仿宋" w:cs="仿宋"/>
          <w:color w:val="auto"/>
          <w:sz w:val="36"/>
          <w:szCs w:val="36"/>
          <w:highlight w:val="none"/>
        </w:rPr>
        <w:t>20</w:t>
      </w:r>
      <w:r>
        <w:rPr>
          <w:rFonts w:hint="eastAsia" w:ascii="仿宋" w:hAnsi="仿宋" w:eastAsia="仿宋" w:cs="仿宋"/>
          <w:color w:val="auto"/>
          <w:sz w:val="36"/>
          <w:szCs w:val="36"/>
          <w:highlight w:val="none"/>
        </w:rPr>
        <w:fldChar w:fldCharType="end"/>
      </w:r>
      <w:r>
        <w:rPr>
          <w:rFonts w:hint="eastAsia" w:ascii="仿宋" w:hAnsi="仿宋" w:eastAsia="仿宋" w:cs="仿宋"/>
          <w:color w:val="auto"/>
          <w:sz w:val="36"/>
          <w:szCs w:val="36"/>
          <w:highlight w:val="none"/>
        </w:rPr>
        <w:fldChar w:fldCharType="end"/>
      </w:r>
    </w:p>
    <w:p w14:paraId="3DD7CB30">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fldChar w:fldCharType="begin"/>
      </w:r>
      <w:r>
        <w:rPr>
          <w:rFonts w:hint="eastAsia" w:ascii="仿宋" w:hAnsi="仿宋" w:eastAsia="仿宋" w:cs="仿宋"/>
          <w:color w:val="auto"/>
          <w:sz w:val="36"/>
          <w:szCs w:val="36"/>
          <w:highlight w:val="none"/>
        </w:rPr>
        <w:instrText xml:space="preserve"> HYPERLINK \l _Toc4103 </w:instrText>
      </w:r>
      <w:r>
        <w:rPr>
          <w:rFonts w:hint="eastAsia" w:ascii="仿宋" w:hAnsi="仿宋" w:eastAsia="仿宋" w:cs="仿宋"/>
          <w:color w:val="auto"/>
          <w:sz w:val="36"/>
          <w:szCs w:val="36"/>
          <w:highlight w:val="none"/>
        </w:rPr>
        <w:fldChar w:fldCharType="separate"/>
      </w:r>
      <w:r>
        <w:rPr>
          <w:rFonts w:hint="eastAsia" w:ascii="仿宋" w:hAnsi="仿宋" w:eastAsia="仿宋" w:cs="仿宋"/>
          <w:color w:val="auto"/>
          <w:sz w:val="36"/>
          <w:szCs w:val="36"/>
          <w:highlight w:val="none"/>
        </w:rPr>
        <w:t>第五部分 附表</w:t>
      </w:r>
      <w:r>
        <w:rPr>
          <w:rFonts w:hint="eastAsia" w:ascii="仿宋" w:hAnsi="仿宋" w:eastAsia="仿宋" w:cs="仿宋"/>
          <w:color w:val="auto"/>
          <w:sz w:val="36"/>
          <w:szCs w:val="36"/>
          <w:highlight w:val="none"/>
        </w:rPr>
        <w:tab/>
      </w:r>
      <w:r>
        <w:rPr>
          <w:rFonts w:hint="eastAsia" w:ascii="仿宋" w:hAnsi="仿宋" w:eastAsia="仿宋" w:cs="仿宋"/>
          <w:color w:val="auto"/>
          <w:sz w:val="36"/>
          <w:szCs w:val="36"/>
          <w:highlight w:val="none"/>
        </w:rPr>
        <w:fldChar w:fldCharType="begin"/>
      </w:r>
      <w:r>
        <w:rPr>
          <w:rFonts w:hint="eastAsia" w:ascii="仿宋" w:hAnsi="仿宋" w:eastAsia="仿宋" w:cs="仿宋"/>
          <w:color w:val="auto"/>
          <w:sz w:val="36"/>
          <w:szCs w:val="36"/>
          <w:highlight w:val="none"/>
        </w:rPr>
        <w:instrText xml:space="preserve"> PAGEREF _Toc4103 </w:instrText>
      </w:r>
      <w:r>
        <w:rPr>
          <w:rFonts w:hint="eastAsia" w:ascii="仿宋" w:hAnsi="仿宋" w:eastAsia="仿宋" w:cs="仿宋"/>
          <w:color w:val="auto"/>
          <w:sz w:val="36"/>
          <w:szCs w:val="36"/>
          <w:highlight w:val="none"/>
        </w:rPr>
        <w:fldChar w:fldCharType="separate"/>
      </w:r>
      <w:r>
        <w:rPr>
          <w:rFonts w:hint="eastAsia" w:ascii="仿宋" w:hAnsi="仿宋" w:eastAsia="仿宋" w:cs="仿宋"/>
          <w:color w:val="auto"/>
          <w:sz w:val="36"/>
          <w:szCs w:val="36"/>
          <w:highlight w:val="none"/>
        </w:rPr>
        <w:t>20</w:t>
      </w:r>
      <w:r>
        <w:rPr>
          <w:rFonts w:hint="eastAsia" w:ascii="仿宋" w:hAnsi="仿宋" w:eastAsia="仿宋" w:cs="仿宋"/>
          <w:color w:val="auto"/>
          <w:sz w:val="36"/>
          <w:szCs w:val="36"/>
          <w:highlight w:val="none"/>
        </w:rPr>
        <w:fldChar w:fldCharType="end"/>
      </w:r>
      <w:r>
        <w:rPr>
          <w:rFonts w:hint="eastAsia" w:ascii="仿宋" w:hAnsi="仿宋" w:eastAsia="仿宋" w:cs="仿宋"/>
          <w:color w:val="auto"/>
          <w:sz w:val="36"/>
          <w:szCs w:val="36"/>
          <w:highlight w:val="none"/>
        </w:rPr>
        <w:fldChar w:fldCharType="end"/>
      </w:r>
    </w:p>
    <w:p w14:paraId="22B66D92">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_Toc6685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一、收</w:t>
      </w:r>
      <w:r>
        <w:rPr>
          <w:rFonts w:hint="eastAsia" w:ascii="仿宋" w:hAnsi="仿宋" w:eastAsia="仿宋" w:cs="仿宋"/>
          <w:bCs w:val="0"/>
          <w:color w:val="auto"/>
          <w:sz w:val="28"/>
          <w:szCs w:val="28"/>
          <w:highlight w:val="none"/>
        </w:rPr>
        <w:t>入支出决算总表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_Toc6685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10BE508C">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_Toc27468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二、收</w:t>
      </w:r>
      <w:r>
        <w:rPr>
          <w:rFonts w:hint="eastAsia" w:ascii="仿宋" w:hAnsi="仿宋" w:eastAsia="仿宋" w:cs="仿宋"/>
          <w:bCs w:val="0"/>
          <w:color w:val="auto"/>
          <w:sz w:val="28"/>
          <w:szCs w:val="28"/>
          <w:highlight w:val="none"/>
        </w:rPr>
        <w:t>入决算表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_Toc27468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02A26A40">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_Toc28376 </w:instrText>
      </w:r>
      <w:r>
        <w:rPr>
          <w:rFonts w:hint="eastAsia" w:ascii="仿宋" w:hAnsi="仿宋" w:eastAsia="仿宋" w:cs="仿宋"/>
          <w:color w:val="auto"/>
          <w:sz w:val="28"/>
          <w:szCs w:val="28"/>
          <w:highlight w:val="none"/>
        </w:rPr>
        <w:fldChar w:fldCharType="separate"/>
      </w:r>
      <w:r>
        <w:rPr>
          <w:rFonts w:hint="eastAsia" w:ascii="仿宋" w:hAnsi="仿宋" w:eastAsia="仿宋" w:cs="仿宋"/>
          <w:bCs w:val="0"/>
          <w:color w:val="auto"/>
          <w:sz w:val="28"/>
          <w:szCs w:val="28"/>
          <w:highlight w:val="none"/>
        </w:rPr>
        <w:t>三、</w:t>
      </w:r>
      <w:r>
        <w:rPr>
          <w:rFonts w:hint="eastAsia" w:ascii="仿宋" w:hAnsi="仿宋" w:eastAsia="仿宋" w:cs="仿宋"/>
          <w:color w:val="auto"/>
          <w:sz w:val="28"/>
          <w:szCs w:val="28"/>
          <w:highlight w:val="none"/>
        </w:rPr>
        <w:t>支</w:t>
      </w:r>
      <w:r>
        <w:rPr>
          <w:rFonts w:hint="eastAsia" w:ascii="仿宋" w:hAnsi="仿宋" w:eastAsia="仿宋" w:cs="仿宋"/>
          <w:bCs w:val="0"/>
          <w:color w:val="auto"/>
          <w:sz w:val="28"/>
          <w:szCs w:val="28"/>
          <w:highlight w:val="none"/>
        </w:rPr>
        <w:t>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_Toc28376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2E46F399">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_Toc28315 </w:instrText>
      </w:r>
      <w:r>
        <w:rPr>
          <w:rFonts w:hint="eastAsia" w:ascii="仿宋" w:hAnsi="仿宋" w:eastAsia="仿宋" w:cs="仿宋"/>
          <w:color w:val="auto"/>
          <w:sz w:val="28"/>
          <w:szCs w:val="28"/>
          <w:highlight w:val="none"/>
        </w:rPr>
        <w:fldChar w:fldCharType="separate"/>
      </w:r>
      <w:r>
        <w:rPr>
          <w:rFonts w:hint="eastAsia" w:ascii="仿宋" w:hAnsi="仿宋" w:eastAsia="仿宋" w:cs="仿宋"/>
          <w:bCs w:val="0"/>
          <w:color w:val="auto"/>
          <w:sz w:val="28"/>
          <w:szCs w:val="28"/>
          <w:highlight w:val="none"/>
        </w:rPr>
        <w:t>四、</w:t>
      </w:r>
      <w:r>
        <w:rPr>
          <w:rFonts w:hint="eastAsia" w:ascii="仿宋" w:hAnsi="仿宋" w:eastAsia="仿宋" w:cs="仿宋"/>
          <w:color w:val="auto"/>
          <w:sz w:val="28"/>
          <w:szCs w:val="28"/>
          <w:highlight w:val="none"/>
        </w:rPr>
        <w:t>财</w:t>
      </w:r>
      <w:r>
        <w:rPr>
          <w:rFonts w:hint="eastAsia" w:ascii="仿宋" w:hAnsi="仿宋" w:eastAsia="仿宋" w:cs="仿宋"/>
          <w:bCs w:val="0"/>
          <w:color w:val="auto"/>
          <w:sz w:val="28"/>
          <w:szCs w:val="28"/>
          <w:highlight w:val="none"/>
        </w:rPr>
        <w:t>政拨款收入支出决算总表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_Toc28315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0AA33126">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_Toc16651 </w:instrText>
      </w:r>
      <w:r>
        <w:rPr>
          <w:rFonts w:hint="eastAsia" w:ascii="仿宋" w:hAnsi="仿宋" w:eastAsia="仿宋" w:cs="仿宋"/>
          <w:color w:val="auto"/>
          <w:sz w:val="28"/>
          <w:szCs w:val="28"/>
          <w:highlight w:val="none"/>
        </w:rPr>
        <w:fldChar w:fldCharType="separate"/>
      </w:r>
      <w:r>
        <w:rPr>
          <w:rFonts w:hint="eastAsia" w:ascii="仿宋" w:hAnsi="仿宋" w:eastAsia="仿宋" w:cs="仿宋"/>
          <w:bCs w:val="0"/>
          <w:color w:val="auto"/>
          <w:sz w:val="28"/>
          <w:szCs w:val="28"/>
          <w:highlight w:val="none"/>
        </w:rPr>
        <w:t>五、</w:t>
      </w:r>
      <w:r>
        <w:rPr>
          <w:rFonts w:hint="eastAsia" w:ascii="仿宋" w:hAnsi="仿宋" w:eastAsia="仿宋" w:cs="仿宋"/>
          <w:color w:val="auto"/>
          <w:sz w:val="28"/>
          <w:szCs w:val="28"/>
          <w:highlight w:val="none"/>
        </w:rPr>
        <w:t>财</w:t>
      </w:r>
      <w:r>
        <w:rPr>
          <w:rFonts w:hint="eastAsia" w:ascii="仿宋" w:hAnsi="仿宋" w:eastAsia="仿宋" w:cs="仿宋"/>
          <w:bCs w:val="0"/>
          <w:color w:val="auto"/>
          <w:sz w:val="28"/>
          <w:szCs w:val="28"/>
          <w:highlight w:val="none"/>
        </w:rPr>
        <w:t>政拨款支出决算明细表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_Toc16651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3C99D800">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_Toc16830 </w:instrText>
      </w:r>
      <w:r>
        <w:rPr>
          <w:rFonts w:hint="eastAsia" w:ascii="仿宋" w:hAnsi="仿宋" w:eastAsia="仿宋" w:cs="仿宋"/>
          <w:color w:val="auto"/>
          <w:sz w:val="28"/>
          <w:szCs w:val="28"/>
          <w:highlight w:val="none"/>
        </w:rPr>
        <w:fldChar w:fldCharType="separate"/>
      </w:r>
      <w:r>
        <w:rPr>
          <w:rFonts w:hint="eastAsia" w:ascii="仿宋" w:hAnsi="仿宋" w:eastAsia="仿宋" w:cs="仿宋"/>
          <w:bCs w:val="0"/>
          <w:color w:val="auto"/>
          <w:sz w:val="28"/>
          <w:szCs w:val="28"/>
          <w:highlight w:val="none"/>
        </w:rPr>
        <w:t>六、</w:t>
      </w:r>
      <w:r>
        <w:rPr>
          <w:rFonts w:hint="eastAsia" w:ascii="仿宋" w:hAnsi="仿宋" w:eastAsia="仿宋" w:cs="仿宋"/>
          <w:color w:val="auto"/>
          <w:sz w:val="28"/>
          <w:szCs w:val="28"/>
          <w:highlight w:val="none"/>
        </w:rPr>
        <w:t>一</w:t>
      </w:r>
      <w:r>
        <w:rPr>
          <w:rFonts w:hint="eastAsia" w:ascii="仿宋" w:hAnsi="仿宋" w:eastAsia="仿宋" w:cs="仿宋"/>
          <w:bCs w:val="0"/>
          <w:color w:val="auto"/>
          <w:sz w:val="28"/>
          <w:szCs w:val="28"/>
          <w:highlight w:val="none"/>
        </w:rPr>
        <w:t>般公共预算财政拨款支出决算表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_Toc16830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3C1ABBD3">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_Toc20491 </w:instrText>
      </w:r>
      <w:r>
        <w:rPr>
          <w:rFonts w:hint="eastAsia" w:ascii="仿宋" w:hAnsi="仿宋" w:eastAsia="仿宋" w:cs="仿宋"/>
          <w:color w:val="auto"/>
          <w:sz w:val="28"/>
          <w:szCs w:val="28"/>
          <w:highlight w:val="none"/>
        </w:rPr>
        <w:fldChar w:fldCharType="separate"/>
      </w:r>
      <w:r>
        <w:rPr>
          <w:rFonts w:hint="eastAsia" w:ascii="仿宋" w:hAnsi="仿宋" w:eastAsia="仿宋" w:cs="仿宋"/>
          <w:bCs w:val="0"/>
          <w:color w:val="auto"/>
          <w:sz w:val="28"/>
          <w:szCs w:val="28"/>
          <w:highlight w:val="none"/>
        </w:rPr>
        <w:t>七、</w:t>
      </w:r>
      <w:r>
        <w:rPr>
          <w:rFonts w:hint="eastAsia" w:ascii="仿宋" w:hAnsi="仿宋" w:eastAsia="仿宋" w:cs="仿宋"/>
          <w:color w:val="auto"/>
          <w:sz w:val="28"/>
          <w:szCs w:val="28"/>
          <w:highlight w:val="none"/>
        </w:rPr>
        <w:t>一</w:t>
      </w:r>
      <w:r>
        <w:rPr>
          <w:rFonts w:hint="eastAsia" w:ascii="仿宋" w:hAnsi="仿宋" w:eastAsia="仿宋" w:cs="仿宋"/>
          <w:bCs w:val="0"/>
          <w:color w:val="auto"/>
          <w:sz w:val="28"/>
          <w:szCs w:val="28"/>
          <w:highlight w:val="none"/>
        </w:rPr>
        <w:t>般公共预算财政拨款支出决算明细表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_Toc20491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5A0BE6DA">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_Toc19108 </w:instrText>
      </w:r>
      <w:r>
        <w:rPr>
          <w:rFonts w:hint="eastAsia" w:ascii="仿宋" w:hAnsi="仿宋" w:eastAsia="仿宋" w:cs="仿宋"/>
          <w:color w:val="auto"/>
          <w:sz w:val="28"/>
          <w:szCs w:val="28"/>
          <w:highlight w:val="none"/>
        </w:rPr>
        <w:fldChar w:fldCharType="separate"/>
      </w:r>
      <w:r>
        <w:rPr>
          <w:rFonts w:hint="eastAsia" w:ascii="仿宋" w:hAnsi="仿宋" w:eastAsia="仿宋" w:cs="仿宋"/>
          <w:bCs w:val="0"/>
          <w:color w:val="auto"/>
          <w:sz w:val="28"/>
          <w:szCs w:val="28"/>
          <w:highlight w:val="none"/>
        </w:rPr>
        <w:t>八、</w:t>
      </w:r>
      <w:r>
        <w:rPr>
          <w:rFonts w:hint="eastAsia" w:ascii="仿宋" w:hAnsi="仿宋" w:eastAsia="仿宋" w:cs="仿宋"/>
          <w:color w:val="auto"/>
          <w:sz w:val="28"/>
          <w:szCs w:val="28"/>
          <w:highlight w:val="none"/>
        </w:rPr>
        <w:t>一</w:t>
      </w:r>
      <w:r>
        <w:rPr>
          <w:rFonts w:hint="eastAsia" w:ascii="仿宋" w:hAnsi="仿宋" w:eastAsia="仿宋" w:cs="仿宋"/>
          <w:bCs w:val="0"/>
          <w:color w:val="auto"/>
          <w:sz w:val="28"/>
          <w:szCs w:val="28"/>
          <w:highlight w:val="none"/>
        </w:rPr>
        <w:t>般公共预算财政拨款基本支出决算表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_Toc19108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3A4E0AA8">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_Toc9806 </w:instrText>
      </w:r>
      <w:r>
        <w:rPr>
          <w:rFonts w:hint="eastAsia" w:ascii="仿宋" w:hAnsi="仿宋" w:eastAsia="仿宋" w:cs="仿宋"/>
          <w:color w:val="auto"/>
          <w:sz w:val="28"/>
          <w:szCs w:val="28"/>
          <w:highlight w:val="none"/>
        </w:rPr>
        <w:fldChar w:fldCharType="separate"/>
      </w:r>
      <w:r>
        <w:rPr>
          <w:rFonts w:hint="eastAsia" w:ascii="仿宋" w:hAnsi="仿宋" w:eastAsia="仿宋" w:cs="仿宋"/>
          <w:bCs w:val="0"/>
          <w:color w:val="auto"/>
          <w:sz w:val="28"/>
          <w:szCs w:val="28"/>
          <w:highlight w:val="none"/>
        </w:rPr>
        <w:t>九、</w:t>
      </w:r>
      <w:r>
        <w:rPr>
          <w:rFonts w:hint="eastAsia" w:ascii="仿宋" w:hAnsi="仿宋" w:eastAsia="仿宋" w:cs="仿宋"/>
          <w:color w:val="auto"/>
          <w:sz w:val="28"/>
          <w:szCs w:val="28"/>
          <w:highlight w:val="none"/>
        </w:rPr>
        <w:t>一</w:t>
      </w:r>
      <w:r>
        <w:rPr>
          <w:rFonts w:hint="eastAsia" w:ascii="仿宋" w:hAnsi="仿宋" w:eastAsia="仿宋" w:cs="仿宋"/>
          <w:bCs w:val="0"/>
          <w:color w:val="auto"/>
          <w:sz w:val="28"/>
          <w:szCs w:val="28"/>
          <w:highlight w:val="none"/>
        </w:rPr>
        <w:t>般公共预算财政拨款项目支出决算表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_Toc9806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6B87217C">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_Toc15647 </w:instrText>
      </w:r>
      <w:r>
        <w:rPr>
          <w:rFonts w:hint="eastAsia" w:ascii="仿宋" w:hAnsi="仿宋" w:eastAsia="仿宋" w:cs="仿宋"/>
          <w:color w:val="auto"/>
          <w:sz w:val="28"/>
          <w:szCs w:val="28"/>
          <w:highlight w:val="none"/>
        </w:rPr>
        <w:fldChar w:fldCharType="separate"/>
      </w:r>
      <w:r>
        <w:rPr>
          <w:rFonts w:hint="eastAsia" w:ascii="仿宋" w:hAnsi="仿宋" w:eastAsia="仿宋" w:cs="仿宋"/>
          <w:bCs w:val="0"/>
          <w:color w:val="auto"/>
          <w:sz w:val="28"/>
          <w:szCs w:val="28"/>
          <w:highlight w:val="none"/>
        </w:rPr>
        <w:t>十、</w:t>
      </w:r>
      <w:r>
        <w:rPr>
          <w:rFonts w:hint="eastAsia" w:ascii="仿宋" w:hAnsi="仿宋" w:eastAsia="仿宋" w:cs="仿宋"/>
          <w:color w:val="auto"/>
          <w:sz w:val="28"/>
          <w:szCs w:val="28"/>
          <w:highlight w:val="none"/>
        </w:rPr>
        <w:t>一</w:t>
      </w:r>
      <w:r>
        <w:rPr>
          <w:rFonts w:hint="eastAsia" w:ascii="仿宋" w:hAnsi="仿宋" w:eastAsia="仿宋" w:cs="仿宋"/>
          <w:bCs w:val="0"/>
          <w:color w:val="auto"/>
          <w:sz w:val="28"/>
          <w:szCs w:val="28"/>
          <w:highlight w:val="none"/>
        </w:rPr>
        <w:t>般公共预算财政拨款“三公”经费支出决算表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_Toc15647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18CEBB62">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_Toc5806 </w:instrText>
      </w:r>
      <w:r>
        <w:rPr>
          <w:rFonts w:hint="eastAsia" w:ascii="仿宋" w:hAnsi="仿宋" w:eastAsia="仿宋" w:cs="仿宋"/>
          <w:color w:val="auto"/>
          <w:sz w:val="28"/>
          <w:szCs w:val="28"/>
          <w:highlight w:val="none"/>
        </w:rPr>
        <w:fldChar w:fldCharType="separate"/>
      </w:r>
      <w:r>
        <w:rPr>
          <w:rFonts w:hint="eastAsia" w:ascii="仿宋" w:hAnsi="仿宋" w:eastAsia="仿宋" w:cs="仿宋"/>
          <w:bCs w:val="0"/>
          <w:color w:val="auto"/>
          <w:sz w:val="28"/>
          <w:szCs w:val="28"/>
          <w:highlight w:val="none"/>
        </w:rPr>
        <w:t>十一、</w:t>
      </w:r>
      <w:r>
        <w:rPr>
          <w:rFonts w:hint="eastAsia" w:ascii="仿宋" w:hAnsi="仿宋" w:eastAsia="仿宋" w:cs="仿宋"/>
          <w:color w:val="auto"/>
          <w:sz w:val="28"/>
          <w:szCs w:val="28"/>
          <w:highlight w:val="none"/>
        </w:rPr>
        <w:t>政</w:t>
      </w:r>
      <w:r>
        <w:rPr>
          <w:rFonts w:hint="eastAsia" w:ascii="仿宋" w:hAnsi="仿宋" w:eastAsia="仿宋" w:cs="仿宋"/>
          <w:bCs w:val="0"/>
          <w:color w:val="auto"/>
          <w:sz w:val="28"/>
          <w:szCs w:val="28"/>
          <w:highlight w:val="none"/>
        </w:rPr>
        <w:t>府性基金预算财政拨款收入支出决算表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_Toc5806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1E8E7CE6">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_Toc7602 </w:instrText>
      </w:r>
      <w:r>
        <w:rPr>
          <w:rFonts w:hint="eastAsia" w:ascii="仿宋" w:hAnsi="仿宋" w:eastAsia="仿宋" w:cs="仿宋"/>
          <w:color w:val="auto"/>
          <w:sz w:val="28"/>
          <w:szCs w:val="28"/>
          <w:highlight w:val="none"/>
        </w:rPr>
        <w:fldChar w:fldCharType="separate"/>
      </w:r>
      <w:r>
        <w:rPr>
          <w:rFonts w:hint="eastAsia" w:ascii="仿宋" w:hAnsi="仿宋" w:eastAsia="仿宋" w:cs="仿宋"/>
          <w:bCs w:val="0"/>
          <w:color w:val="auto"/>
          <w:sz w:val="28"/>
          <w:szCs w:val="28"/>
          <w:highlight w:val="none"/>
        </w:rPr>
        <w:t>十二、</w:t>
      </w:r>
      <w:r>
        <w:rPr>
          <w:rFonts w:hint="eastAsia" w:ascii="仿宋" w:hAnsi="仿宋" w:eastAsia="仿宋" w:cs="仿宋"/>
          <w:color w:val="auto"/>
          <w:sz w:val="28"/>
          <w:szCs w:val="28"/>
          <w:highlight w:val="none"/>
        </w:rPr>
        <w:t>政</w:t>
      </w:r>
      <w:r>
        <w:rPr>
          <w:rFonts w:hint="eastAsia" w:ascii="仿宋" w:hAnsi="仿宋" w:eastAsia="仿宋" w:cs="仿宋"/>
          <w:bCs w:val="0"/>
          <w:color w:val="auto"/>
          <w:sz w:val="28"/>
          <w:szCs w:val="28"/>
          <w:highlight w:val="none"/>
        </w:rPr>
        <w:t>府性基金预算财政拨款“三公”经费支出决算表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_Toc7602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72F60F21">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_Toc17538 </w:instrText>
      </w:r>
      <w:r>
        <w:rPr>
          <w:rFonts w:hint="eastAsia" w:ascii="仿宋" w:hAnsi="仿宋" w:eastAsia="仿宋" w:cs="仿宋"/>
          <w:color w:val="auto"/>
          <w:sz w:val="28"/>
          <w:szCs w:val="28"/>
          <w:highlight w:val="none"/>
        </w:rPr>
        <w:fldChar w:fldCharType="separate"/>
      </w:r>
      <w:r>
        <w:rPr>
          <w:rFonts w:hint="eastAsia" w:ascii="仿宋" w:hAnsi="仿宋" w:eastAsia="仿宋" w:cs="仿宋"/>
          <w:bCs w:val="0"/>
          <w:color w:val="auto"/>
          <w:sz w:val="28"/>
          <w:szCs w:val="28"/>
          <w:highlight w:val="none"/>
        </w:rPr>
        <w:t>十三、</w:t>
      </w:r>
      <w:r>
        <w:rPr>
          <w:rFonts w:hint="eastAsia" w:ascii="仿宋" w:hAnsi="仿宋" w:eastAsia="仿宋" w:cs="仿宋"/>
          <w:color w:val="auto"/>
          <w:sz w:val="28"/>
          <w:szCs w:val="28"/>
          <w:highlight w:val="none"/>
        </w:rPr>
        <w:t>国</w:t>
      </w:r>
      <w:r>
        <w:rPr>
          <w:rFonts w:hint="eastAsia" w:ascii="仿宋" w:hAnsi="仿宋" w:eastAsia="仿宋" w:cs="仿宋"/>
          <w:bCs w:val="0"/>
          <w:color w:val="auto"/>
          <w:sz w:val="28"/>
          <w:szCs w:val="28"/>
          <w:highlight w:val="none"/>
        </w:rPr>
        <w:t>有资本经营预算财政拨款收入支出决算表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_Toc17538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4E5E860F">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val="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_Toc30635 </w:instrText>
      </w:r>
      <w:r>
        <w:rPr>
          <w:rFonts w:hint="eastAsia" w:ascii="仿宋" w:hAnsi="仿宋" w:eastAsia="仿宋" w:cs="仿宋"/>
          <w:color w:val="auto"/>
          <w:sz w:val="28"/>
          <w:szCs w:val="28"/>
          <w:highlight w:val="none"/>
        </w:rPr>
        <w:fldChar w:fldCharType="separate"/>
      </w:r>
      <w:r>
        <w:rPr>
          <w:rFonts w:hint="eastAsia" w:ascii="仿宋" w:hAnsi="仿宋" w:eastAsia="仿宋" w:cs="仿宋"/>
          <w:bCs w:val="0"/>
          <w:color w:val="auto"/>
          <w:sz w:val="28"/>
          <w:szCs w:val="28"/>
          <w:highlight w:val="none"/>
        </w:rPr>
        <w:t>十四、国有资本经营预算财政拨款支出决算表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_Toc30635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22</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056F5427">
      <w:pPr>
        <w:rPr>
          <w:color w:val="auto"/>
          <w:highlight w:val="none"/>
        </w:rPr>
      </w:pPr>
      <w:r>
        <w:rPr>
          <w:color w:val="auto"/>
          <w:highlight w:val="none"/>
        </w:rPr>
        <w:fldChar w:fldCharType="end"/>
      </w:r>
    </w:p>
    <w:p w14:paraId="2EE5BC30">
      <w:pPr>
        <w:pStyle w:val="14"/>
        <w:adjustRightInd w:val="0"/>
        <w:snapToGrid w:val="0"/>
        <w:spacing w:line="440" w:lineRule="exact"/>
        <w:jc w:val="left"/>
        <w:rPr>
          <w:rFonts w:ascii="仿宋" w:hAnsi="仿宋" w:eastAsia="仿宋"/>
          <w:bCs/>
          <w:color w:val="auto"/>
          <w:kern w:val="44"/>
          <w:sz w:val="24"/>
          <w:highlight w:val="none"/>
        </w:rPr>
      </w:pPr>
      <w:bookmarkStart w:id="16" w:name="_Toc15396599"/>
      <w:bookmarkStart w:id="17" w:name="_Toc15377196"/>
      <w:r>
        <w:rPr>
          <w:rFonts w:ascii="仿宋" w:hAnsi="仿宋" w:eastAsia="仿宋"/>
          <w:b/>
          <w:color w:val="auto"/>
          <w:sz w:val="24"/>
          <w:highlight w:val="none"/>
        </w:rPr>
        <w:br w:type="page"/>
      </w:r>
    </w:p>
    <w:p w14:paraId="0D721500">
      <w:pPr>
        <w:pStyle w:val="3"/>
        <w:bidi w:val="0"/>
        <w:jc w:val="center"/>
        <w:rPr>
          <w:rFonts w:ascii="黑体" w:eastAsia="黑体"/>
          <w:color w:val="auto"/>
          <w:sz w:val="32"/>
          <w:szCs w:val="32"/>
          <w:highlight w:val="none"/>
        </w:rPr>
      </w:pPr>
      <w:bookmarkStart w:id="18" w:name="_Toc26993"/>
      <w:bookmarkStart w:id="19" w:name="_Toc2163"/>
      <w:r>
        <w:rPr>
          <w:rFonts w:hint="eastAsia"/>
          <w:color w:val="auto"/>
          <w:highlight w:val="none"/>
        </w:rPr>
        <w:t>第一部分 单位概况</w:t>
      </w:r>
      <w:bookmarkEnd w:id="16"/>
      <w:bookmarkEnd w:id="17"/>
      <w:bookmarkEnd w:id="18"/>
      <w:bookmarkEnd w:id="19"/>
    </w:p>
    <w:p w14:paraId="35F70379">
      <w:pPr>
        <w:pStyle w:val="4"/>
        <w:numPr>
          <w:ilvl w:val="0"/>
          <w:numId w:val="1"/>
        </w:numPr>
        <w:bidi w:val="0"/>
        <w:rPr>
          <w:color w:val="auto"/>
          <w:highlight w:val="none"/>
        </w:rPr>
      </w:pPr>
      <w:bookmarkStart w:id="20" w:name="_Toc27377"/>
      <w:bookmarkStart w:id="21" w:name="_Toc11368"/>
      <w:bookmarkStart w:id="22" w:name="_Toc15396600"/>
      <w:bookmarkStart w:id="23" w:name="_Toc15377197"/>
      <w:r>
        <w:rPr>
          <w:rFonts w:hint="eastAsia"/>
          <w:color w:val="auto"/>
          <w:highlight w:val="none"/>
        </w:rPr>
        <w:t>职能简介</w:t>
      </w:r>
      <w:bookmarkEnd w:id="20"/>
      <w:bookmarkEnd w:id="21"/>
    </w:p>
    <w:p w14:paraId="0B60CF20">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bookmarkStart w:id="24" w:name="_Toc19149"/>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bookmarkEnd w:id="24"/>
    </w:p>
    <w:p w14:paraId="23CA7DF3">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bookmarkStart w:id="25" w:name="_Toc12795"/>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bookmarkEnd w:id="25"/>
    </w:p>
    <w:p w14:paraId="2DE272BF">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bookmarkStart w:id="26" w:name="_Toc20940"/>
      <w:r>
        <w:rPr>
          <w:rFonts w:hint="eastAsia" w:ascii="仿宋" w:hAnsi="仿宋" w:eastAsia="仿宋" w:cs="仿宋"/>
          <w:color w:val="auto"/>
          <w:sz w:val="32"/>
          <w:szCs w:val="32"/>
          <w:highlight w:val="none"/>
        </w:rPr>
        <w:t>3.负责依法制定学校章程，并按照章程自主管理。</w:t>
      </w:r>
      <w:bookmarkEnd w:id="26"/>
    </w:p>
    <w:p w14:paraId="6BB61F7F">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bookmarkStart w:id="27" w:name="_Toc23800"/>
      <w:r>
        <w:rPr>
          <w:rFonts w:hint="eastAsia" w:ascii="仿宋" w:hAnsi="仿宋" w:eastAsia="仿宋" w:cs="仿宋"/>
          <w:color w:val="auto"/>
          <w:sz w:val="32"/>
          <w:szCs w:val="32"/>
          <w:highlight w:val="none"/>
        </w:rPr>
        <w:t>4.负责制定学校教育发展规划，并抓好组织和实施工作。</w:t>
      </w:r>
      <w:bookmarkEnd w:id="27"/>
    </w:p>
    <w:p w14:paraId="243934EE">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bookmarkStart w:id="28" w:name="_Toc31624"/>
      <w:r>
        <w:rPr>
          <w:rFonts w:hint="eastAsia" w:ascii="仿宋" w:hAnsi="仿宋" w:eastAsia="仿宋" w:cs="仿宋"/>
          <w:color w:val="auto"/>
          <w:sz w:val="32"/>
          <w:szCs w:val="32"/>
          <w:highlight w:val="none"/>
        </w:rPr>
        <w:t>5.负责按照教育主管部门发布的指导性教学计划、 教学大纲，组织实施教育教学活动。</w:t>
      </w:r>
      <w:bookmarkEnd w:id="28"/>
    </w:p>
    <w:p w14:paraId="199AB2DB">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bookmarkStart w:id="29" w:name="_Toc8145"/>
      <w:r>
        <w:rPr>
          <w:rFonts w:hint="eastAsia" w:ascii="仿宋" w:hAnsi="仿宋" w:eastAsia="仿宋" w:cs="仿宋"/>
          <w:color w:val="auto"/>
          <w:sz w:val="32"/>
          <w:szCs w:val="32"/>
          <w:highlight w:val="none"/>
        </w:rPr>
        <w:t>6.</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负责学籍管理并对学生实施奖励或处分。</w:t>
      </w:r>
      <w:bookmarkEnd w:id="29"/>
    </w:p>
    <w:p w14:paraId="4AD9DCBA">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bookmarkStart w:id="30" w:name="_Toc12923"/>
      <w:r>
        <w:rPr>
          <w:rFonts w:hint="eastAsia" w:ascii="仿宋" w:hAnsi="仿宋" w:eastAsia="仿宋" w:cs="仿宋"/>
          <w:color w:val="auto"/>
          <w:sz w:val="32"/>
          <w:szCs w:val="32"/>
          <w:highlight w:val="none"/>
        </w:rPr>
        <w:t>7.</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负责依法制定本校教师及其他职工聘任办法并对教师及其他员工实施包括奖励、处分在内的具体管理活动。</w:t>
      </w:r>
      <w:bookmarkEnd w:id="30"/>
    </w:p>
    <w:p w14:paraId="23E9DB22">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bookmarkStart w:id="31" w:name="_Toc15775"/>
      <w:r>
        <w:rPr>
          <w:rFonts w:hint="eastAsia" w:ascii="仿宋" w:hAnsi="仿宋" w:eastAsia="仿宋" w:cs="仿宋"/>
          <w:color w:val="auto"/>
          <w:sz w:val="32"/>
          <w:szCs w:val="32"/>
          <w:highlight w:val="none"/>
        </w:rPr>
        <w:t>8. 负责科学管理、合理使用学校的设施和经费，并积极筹措资金，改善办学条件。</w:t>
      </w:r>
      <w:bookmarkEnd w:id="31"/>
    </w:p>
    <w:p w14:paraId="2D2988F2">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bookmarkStart w:id="32" w:name="_Toc19901"/>
      <w:r>
        <w:rPr>
          <w:rFonts w:hint="eastAsia" w:ascii="仿宋" w:hAnsi="仿宋" w:eastAsia="仿宋" w:cs="仿宋"/>
          <w:color w:val="auto"/>
          <w:sz w:val="32"/>
          <w:szCs w:val="32"/>
          <w:highlight w:val="none"/>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bookmarkEnd w:id="32"/>
    </w:p>
    <w:p w14:paraId="72F56990">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bookmarkStart w:id="33" w:name="_Toc22516"/>
      <w:r>
        <w:rPr>
          <w:rFonts w:hint="eastAsia" w:ascii="仿宋" w:hAnsi="仿宋" w:eastAsia="仿宋" w:cs="仿宋"/>
          <w:color w:val="auto"/>
          <w:sz w:val="32"/>
          <w:szCs w:val="32"/>
          <w:highlight w:val="none"/>
        </w:rPr>
        <w:t>10.</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依法接受各级教育行政部门的检查指导和人民群众的监督。</w:t>
      </w:r>
      <w:bookmarkEnd w:id="33"/>
    </w:p>
    <w:p w14:paraId="4A894939">
      <w:pPr>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14:paraId="19C7A193">
      <w:pPr>
        <w:pStyle w:val="4"/>
        <w:bidi w:val="0"/>
        <w:rPr>
          <w:color w:val="auto"/>
          <w:highlight w:val="none"/>
        </w:rPr>
      </w:pPr>
      <w:bookmarkStart w:id="34" w:name="_Toc32086"/>
      <w:bookmarkStart w:id="35" w:name="_Toc23562"/>
      <w:r>
        <w:rPr>
          <w:rFonts w:hint="eastAsia"/>
          <w:color w:val="auto"/>
          <w:highlight w:val="none"/>
        </w:rPr>
        <w:t>二、2021年重点工作</w:t>
      </w:r>
      <w:bookmarkEnd w:id="22"/>
      <w:bookmarkEnd w:id="23"/>
      <w:r>
        <w:rPr>
          <w:rFonts w:hint="eastAsia"/>
          <w:color w:val="auto"/>
          <w:highlight w:val="none"/>
        </w:rPr>
        <w:t>完成情况</w:t>
      </w:r>
      <w:bookmarkEnd w:id="34"/>
      <w:bookmarkEnd w:id="35"/>
    </w:p>
    <w:p w14:paraId="0248D9B9">
      <w:pPr>
        <w:ind w:firstLine="640" w:firstLineChars="200"/>
        <w:jc w:val="left"/>
        <w:rPr>
          <w:rFonts w:hint="eastAsia" w:ascii="仿宋" w:hAnsi="仿宋" w:eastAsia="仿宋" w:cs="仿宋"/>
          <w:color w:val="auto"/>
          <w:kern w:val="2"/>
          <w:sz w:val="32"/>
          <w:szCs w:val="32"/>
          <w:highlight w:val="none"/>
          <w:lang w:val="en-US" w:eastAsia="zh-CN" w:bidi="ar"/>
        </w:rPr>
      </w:pPr>
      <w:r>
        <w:rPr>
          <w:rFonts w:hint="eastAsia" w:ascii="仿宋" w:hAnsi="仿宋" w:eastAsia="仿宋" w:cs="仿宋"/>
          <w:color w:val="auto"/>
          <w:kern w:val="2"/>
          <w:sz w:val="32"/>
          <w:szCs w:val="32"/>
          <w:highlight w:val="none"/>
          <w:lang w:val="en-US" w:eastAsia="zh-CN" w:bidi="ar"/>
        </w:rPr>
        <w:t>本年，丁家小学深入践行“四大校园”文件精神，秉承“致谐、尚美、立人”办学理念和“三个有利于”的教育思想，以创设“悠美环境”、培养“绽美少年”、架构“萃美课程”、营造“智美课堂”、提升“慧美教师”、实践“励美管理”、共建“和美家长”的七大构建为体系，让每一朵生命之花美丽绽放。</w:t>
      </w:r>
    </w:p>
    <w:p w14:paraId="48CE8D53">
      <w:pPr>
        <w:ind w:firstLine="643" w:firstLineChars="200"/>
        <w:jc w:val="center"/>
        <w:rPr>
          <w:rFonts w:ascii="仿宋" w:hAnsi="仿宋" w:eastAsia="仿宋" w:cs="黑体"/>
          <w:b/>
          <w:bCs/>
          <w:color w:val="auto"/>
          <w:sz w:val="32"/>
          <w:szCs w:val="32"/>
          <w:highlight w:val="none"/>
        </w:rPr>
      </w:pPr>
      <w:r>
        <w:rPr>
          <w:rFonts w:hint="eastAsia" w:ascii="仿宋" w:hAnsi="仿宋" w:eastAsia="仿宋" w:cs="黑体"/>
          <w:b/>
          <w:bCs/>
          <w:color w:val="auto"/>
          <w:sz w:val="32"/>
          <w:szCs w:val="32"/>
          <w:highlight w:val="none"/>
        </w:rPr>
        <w:t>主要工作成绩</w:t>
      </w:r>
    </w:p>
    <w:p w14:paraId="61700F73">
      <w:pPr>
        <w:ind w:firstLine="640" w:firstLineChars="200"/>
        <w:jc w:val="left"/>
        <w:rPr>
          <w:rFonts w:hint="eastAsia" w:ascii="仿宋" w:hAnsi="仿宋" w:eastAsia="仿宋" w:cs="仿宋"/>
          <w:color w:val="auto"/>
          <w:kern w:val="2"/>
          <w:sz w:val="32"/>
          <w:szCs w:val="32"/>
          <w:highlight w:val="none"/>
          <w:lang w:val="en-US" w:eastAsia="zh-CN" w:bidi="ar"/>
        </w:rPr>
      </w:pPr>
      <w:r>
        <w:rPr>
          <w:rFonts w:hint="eastAsia" w:ascii="仿宋" w:hAnsi="仿宋" w:eastAsia="仿宋" w:cs="仿宋"/>
          <w:color w:val="auto"/>
          <w:kern w:val="2"/>
          <w:sz w:val="32"/>
          <w:szCs w:val="32"/>
          <w:highlight w:val="none"/>
          <w:lang w:val="en-US" w:eastAsia="zh-CN" w:bidi="ar"/>
        </w:rPr>
        <w:t xml:space="preserve">（一）始终坚持强内涵发展，建美丽乡村学校，实践“励美管理”。                                                          </w:t>
      </w:r>
    </w:p>
    <w:p w14:paraId="2534913C">
      <w:pPr>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kern w:val="2"/>
          <w:sz w:val="32"/>
          <w:szCs w:val="32"/>
          <w:highlight w:val="none"/>
          <w:lang w:val="en-US" w:eastAsia="zh-CN" w:bidi="ar"/>
        </w:rPr>
        <w:t>一年来，学校班子和全体教师齐心协力，共谋发展。一是依法治校，依法办学。学校认真开展法治进校园活动。以法制讲座、法制宣传等系列专题教育</w:t>
      </w:r>
      <w:r>
        <w:rPr>
          <w:rFonts w:hint="eastAsia" w:ascii="仿宋" w:hAnsi="仿宋" w:eastAsia="仿宋" w:cs="仿宋"/>
          <w:color w:val="auto"/>
          <w:sz w:val="32"/>
          <w:szCs w:val="32"/>
          <w:highlight w:val="none"/>
        </w:rPr>
        <w:t>活动，全方位滋养法治意识。</w:t>
      </w:r>
      <w:r>
        <w:rPr>
          <w:rFonts w:hint="eastAsia" w:ascii="仿宋" w:hAnsi="仿宋" w:eastAsia="仿宋" w:cs="黑体"/>
          <w:color w:val="auto"/>
          <w:sz w:val="32"/>
          <w:szCs w:val="32"/>
          <w:highlight w:val="none"/>
        </w:rPr>
        <w:t>二是</w:t>
      </w:r>
      <w:r>
        <w:rPr>
          <w:rFonts w:hint="eastAsia" w:ascii="仿宋" w:hAnsi="仿宋" w:eastAsia="仿宋" w:cs="仿宋"/>
          <w:color w:val="auto"/>
          <w:sz w:val="32"/>
          <w:szCs w:val="32"/>
          <w:highlight w:val="none"/>
        </w:rPr>
        <w:t>强化未成年人思想道德建设，以班队建设、每周国旗下讲话、一日常规等加强学生爱国主义、集体主义的教育。</w:t>
      </w:r>
      <w:r>
        <w:rPr>
          <w:rFonts w:hint="eastAsia" w:ascii="仿宋" w:hAnsi="仿宋" w:eastAsia="仿宋" w:cs="黑体"/>
          <w:color w:val="auto"/>
          <w:sz w:val="32"/>
          <w:szCs w:val="32"/>
          <w:highlight w:val="none"/>
        </w:rPr>
        <w:t>三是</w:t>
      </w:r>
      <w:r>
        <w:rPr>
          <w:rFonts w:hint="eastAsia" w:ascii="仿宋" w:hAnsi="仿宋" w:eastAsia="仿宋" w:cs="仿宋"/>
          <w:color w:val="auto"/>
          <w:sz w:val="32"/>
          <w:szCs w:val="32"/>
          <w:highlight w:val="none"/>
        </w:rPr>
        <w:t>强化安全教育与管理。</w:t>
      </w:r>
      <w:r>
        <w:rPr>
          <w:rFonts w:hint="eastAsia" w:ascii="仿宋" w:hAnsi="仿宋" w:eastAsia="仿宋" w:cs="仿宋"/>
          <w:color w:val="auto"/>
          <w:kern w:val="2"/>
          <w:sz w:val="32"/>
          <w:szCs w:val="32"/>
          <w:highlight w:val="none"/>
          <w:lang w:val="en-US" w:eastAsia="zh-CN" w:bidi="ar"/>
        </w:rPr>
        <w:t>强化</w:t>
      </w:r>
      <w:r>
        <w:rPr>
          <w:rFonts w:hint="eastAsia" w:ascii="仿宋" w:hAnsi="仿宋" w:eastAsia="仿宋" w:cs="仿宋"/>
          <w:color w:val="auto"/>
          <w:sz w:val="32"/>
          <w:szCs w:val="32"/>
          <w:highlight w:val="none"/>
        </w:rPr>
        <w:t>“五落实”（落实制度、落实责任、落实排查、落实教育、落实报送），防患于未然，做到了警钟长鸣。注重食品卫生安全,无重大安全事故的发生。</w:t>
      </w:r>
      <w:r>
        <w:rPr>
          <w:rFonts w:hint="eastAsia" w:ascii="仿宋" w:hAnsi="仿宋" w:eastAsia="仿宋" w:cs="黑体"/>
          <w:color w:val="auto"/>
          <w:sz w:val="32"/>
          <w:szCs w:val="32"/>
          <w:highlight w:val="none"/>
        </w:rPr>
        <w:t>四是</w:t>
      </w:r>
      <w:r>
        <w:rPr>
          <w:rFonts w:hint="eastAsia" w:ascii="仿宋" w:hAnsi="仿宋" w:eastAsia="仿宋" w:cs="仿宋"/>
          <w:color w:val="auto"/>
          <w:sz w:val="32"/>
          <w:szCs w:val="32"/>
          <w:highlight w:val="none"/>
        </w:rPr>
        <w:t>多举措加强学前教育。幼儿园实行周计划、月计划的个性课程安排，通过定期的亲子活动、汇报展示、家长开放日等活动巩固幼儿学前招生工作,同时做好了区政协学前教育调研工作。</w:t>
      </w:r>
      <w:r>
        <w:rPr>
          <w:rFonts w:hint="eastAsia" w:ascii="仿宋" w:hAnsi="仿宋" w:eastAsia="仿宋" w:cs="黑体"/>
          <w:color w:val="auto"/>
          <w:sz w:val="32"/>
          <w:szCs w:val="32"/>
          <w:highlight w:val="none"/>
        </w:rPr>
        <w:t>五是</w:t>
      </w:r>
      <w:r>
        <w:rPr>
          <w:rFonts w:hint="eastAsia" w:ascii="仿宋" w:hAnsi="仿宋" w:eastAsia="仿宋" w:cs="仿宋"/>
          <w:color w:val="auto"/>
          <w:sz w:val="32"/>
          <w:szCs w:val="32"/>
          <w:highlight w:val="none"/>
        </w:rPr>
        <w:t>做好保生保学工作。学校制定了保生保学工作方案、完善了保生保学相关制度，落实了保生保学相应责任，通过调查走访、摸底排查、入村入户劝返回流等措施确保保生保学工作。</w:t>
      </w:r>
      <w:r>
        <w:rPr>
          <w:rFonts w:hint="eastAsia" w:ascii="仿宋" w:hAnsi="仿宋" w:eastAsia="仿宋" w:cs="黑体"/>
          <w:color w:val="auto"/>
          <w:sz w:val="32"/>
          <w:szCs w:val="32"/>
          <w:highlight w:val="none"/>
        </w:rPr>
        <w:t>六是</w:t>
      </w:r>
      <w:r>
        <w:rPr>
          <w:rFonts w:hint="eastAsia" w:ascii="仿宋" w:hAnsi="仿宋" w:eastAsia="仿宋" w:cs="仿宋"/>
          <w:color w:val="auto"/>
          <w:sz w:val="32"/>
          <w:szCs w:val="32"/>
          <w:highlight w:val="none"/>
        </w:rPr>
        <w:t>坚持民主决策。开展好了教职工互助保障工作，全覆盖，健全并落实好了财务、食堂的校务公开，坚持重大事情集体签字研究确定，做到民主透明公开。</w:t>
      </w:r>
    </w:p>
    <w:p w14:paraId="5EC91CAD">
      <w:pPr>
        <w:ind w:firstLine="640" w:firstLineChars="200"/>
        <w:jc w:val="left"/>
        <w:rPr>
          <w:rFonts w:hint="eastAsia" w:ascii="仿宋" w:hAnsi="仿宋" w:eastAsia="仿宋" w:cs="仿宋"/>
          <w:color w:val="auto"/>
          <w:kern w:val="2"/>
          <w:sz w:val="32"/>
          <w:szCs w:val="32"/>
          <w:highlight w:val="none"/>
          <w:lang w:val="en-US" w:eastAsia="zh-CN" w:bidi="ar"/>
        </w:rPr>
      </w:pPr>
      <w:r>
        <w:rPr>
          <w:rFonts w:hint="eastAsia" w:ascii="仿宋" w:hAnsi="仿宋" w:eastAsia="仿宋" w:cs="仿宋"/>
          <w:color w:val="auto"/>
          <w:kern w:val="2"/>
          <w:sz w:val="32"/>
          <w:szCs w:val="32"/>
          <w:highlight w:val="none"/>
          <w:lang w:val="en-US" w:eastAsia="zh-CN" w:bidi="ar"/>
        </w:rPr>
        <w:t>（二）始终坚持党风廉政建设，落实全面从严治党，培养“慧美”教师。</w:t>
      </w:r>
    </w:p>
    <w:p w14:paraId="207114D0">
      <w:pPr>
        <w:ind w:firstLine="640" w:firstLineChars="200"/>
        <w:rPr>
          <w:rFonts w:ascii="仿宋" w:hAnsi="仿宋" w:eastAsia="仿宋" w:cs="仿宋"/>
          <w:color w:val="auto"/>
          <w:sz w:val="32"/>
          <w:szCs w:val="32"/>
          <w:highlight w:val="none"/>
        </w:rPr>
      </w:pPr>
      <w:r>
        <w:rPr>
          <w:rFonts w:hint="eastAsia" w:ascii="仿宋" w:hAnsi="仿宋" w:eastAsia="仿宋" w:cs="黑体"/>
          <w:color w:val="auto"/>
          <w:sz w:val="32"/>
          <w:szCs w:val="32"/>
          <w:highlight w:val="none"/>
        </w:rPr>
        <w:t>一是</w:t>
      </w:r>
      <w:r>
        <w:rPr>
          <w:rFonts w:hint="eastAsia" w:ascii="仿宋" w:hAnsi="仿宋" w:eastAsia="仿宋" w:cs="仿宋"/>
          <w:color w:val="auto"/>
          <w:sz w:val="32"/>
          <w:szCs w:val="32"/>
          <w:highlight w:val="none"/>
        </w:rPr>
        <w:t>不断优化基层党建质量，支部工作不断完善，班子的执政能力不断增强，能认真落实目标管理责任制和“一岗双责”。</w:t>
      </w:r>
      <w:r>
        <w:rPr>
          <w:rFonts w:hint="eastAsia" w:ascii="仿宋" w:hAnsi="仿宋" w:eastAsia="仿宋" w:cs="黑体"/>
          <w:color w:val="auto"/>
          <w:sz w:val="32"/>
          <w:szCs w:val="32"/>
          <w:highlight w:val="none"/>
        </w:rPr>
        <w:t>二是</w:t>
      </w:r>
      <w:r>
        <w:rPr>
          <w:rFonts w:hint="eastAsia" w:ascii="仿宋" w:hAnsi="仿宋" w:eastAsia="仿宋" w:cs="仿宋"/>
          <w:color w:val="auto"/>
          <w:sz w:val="32"/>
          <w:szCs w:val="32"/>
          <w:highlight w:val="none"/>
        </w:rPr>
        <w:t>学习制度化、常态化。通过学习促进党员干部深学深悟；</w:t>
      </w:r>
      <w:r>
        <w:rPr>
          <w:rFonts w:hint="eastAsia" w:ascii="仿宋" w:hAnsi="仿宋" w:eastAsia="仿宋" w:cs="黑体"/>
          <w:color w:val="auto"/>
          <w:sz w:val="32"/>
          <w:szCs w:val="32"/>
          <w:highlight w:val="none"/>
        </w:rPr>
        <w:t>三是</w:t>
      </w:r>
      <w:r>
        <w:rPr>
          <w:rFonts w:hint="eastAsia" w:ascii="仿宋" w:hAnsi="仿宋" w:eastAsia="仿宋" w:cs="仿宋"/>
          <w:color w:val="auto"/>
          <w:sz w:val="32"/>
          <w:szCs w:val="32"/>
          <w:highlight w:val="none"/>
        </w:rPr>
        <w:t>扎实开展“主题党日”活动，从支部计划到开展支部大会、支委会及书记上党课、民主生活会等专题会，认真落实了党员“九个一”活动，强化了党员干部的四个意识；</w:t>
      </w:r>
      <w:r>
        <w:rPr>
          <w:rFonts w:hint="eastAsia" w:ascii="仿宋" w:hAnsi="仿宋" w:eastAsia="仿宋" w:cs="黑体"/>
          <w:color w:val="auto"/>
          <w:sz w:val="32"/>
          <w:szCs w:val="32"/>
          <w:highlight w:val="none"/>
        </w:rPr>
        <w:t>四是</w:t>
      </w:r>
      <w:r>
        <w:rPr>
          <w:rFonts w:hint="eastAsia" w:ascii="仿宋" w:hAnsi="仿宋" w:eastAsia="仿宋" w:cs="仿宋"/>
          <w:color w:val="auto"/>
          <w:sz w:val="32"/>
          <w:szCs w:val="32"/>
          <w:highlight w:val="none"/>
        </w:rPr>
        <w:t>持续深化作风纪律建设，压紧压实党风廉政建设，切实加强全体教师的政治纪律意识，坚决抵制“四风”，开展好师德师风教育，开学初，就会与全体</w:t>
      </w:r>
      <w:bookmarkStart w:id="164" w:name="_GoBack"/>
      <w:bookmarkEnd w:id="164"/>
      <w:r>
        <w:rPr>
          <w:rFonts w:hint="eastAsia" w:ascii="仿宋" w:hAnsi="仿宋" w:eastAsia="仿宋" w:cs="仿宋"/>
          <w:color w:val="auto"/>
          <w:sz w:val="32"/>
          <w:szCs w:val="32"/>
          <w:highlight w:val="none"/>
        </w:rPr>
        <w:t>教师签订师德师风承诺书及廉洁从教承诺书，开展师德师风宣誓活动，以个人计划、笔记、心得反思评议等强师德，铸师魂。</w:t>
      </w:r>
      <w:r>
        <w:rPr>
          <w:rFonts w:hint="eastAsia" w:ascii="仿宋" w:hAnsi="仿宋" w:eastAsia="仿宋" w:cs="黑体"/>
          <w:color w:val="auto"/>
          <w:sz w:val="32"/>
          <w:szCs w:val="32"/>
          <w:highlight w:val="none"/>
        </w:rPr>
        <w:t>五是</w:t>
      </w:r>
      <w:r>
        <w:rPr>
          <w:rFonts w:hint="eastAsia" w:ascii="仿宋" w:hAnsi="仿宋" w:eastAsia="仿宋" w:cs="仿宋"/>
          <w:color w:val="auto"/>
          <w:sz w:val="32"/>
          <w:szCs w:val="32"/>
          <w:highlight w:val="none"/>
        </w:rPr>
        <w:t>强化队伍建设，狠抓教师的再学习。本学年全校网络培训、各种业务提高培训、青老年教师交流会等提高教师的水平，坚持与兄弟学校开展教研活动，促进教师专业发展。</w:t>
      </w:r>
    </w:p>
    <w:p w14:paraId="0F8CBA46">
      <w:pPr>
        <w:ind w:firstLine="640" w:firstLineChars="200"/>
        <w:jc w:val="left"/>
        <w:rPr>
          <w:rFonts w:hint="eastAsia" w:ascii="仿宋" w:hAnsi="仿宋" w:eastAsia="仿宋" w:cs="仿宋"/>
          <w:color w:val="auto"/>
          <w:kern w:val="2"/>
          <w:sz w:val="32"/>
          <w:szCs w:val="32"/>
          <w:highlight w:val="none"/>
          <w:lang w:val="en-US" w:eastAsia="zh-CN" w:bidi="ar"/>
        </w:rPr>
      </w:pPr>
      <w:r>
        <w:rPr>
          <w:rFonts w:hint="eastAsia" w:ascii="仿宋" w:hAnsi="仿宋" w:eastAsia="仿宋" w:cs="仿宋"/>
          <w:color w:val="auto"/>
          <w:kern w:val="2"/>
          <w:sz w:val="32"/>
          <w:szCs w:val="32"/>
          <w:highlight w:val="none"/>
          <w:lang w:val="en-US" w:eastAsia="zh-CN" w:bidi="ar"/>
        </w:rPr>
        <w:t>（三）始终坚持教育质量不放松，架构“萃美课程”和营造“智美课堂”。</w:t>
      </w:r>
    </w:p>
    <w:p w14:paraId="31B2CEEA">
      <w:pPr>
        <w:spacing w:line="540" w:lineRule="exact"/>
        <w:ind w:firstLine="640" w:firstLineChars="200"/>
        <w:jc w:val="left"/>
        <w:rPr>
          <w:rFonts w:ascii="仿宋" w:hAnsi="仿宋" w:eastAsia="仿宋" w:cs="仿宋"/>
          <w:color w:val="auto"/>
          <w:sz w:val="32"/>
          <w:szCs w:val="32"/>
          <w:highlight w:val="none"/>
        </w:rPr>
      </w:pPr>
      <w:r>
        <w:rPr>
          <w:rFonts w:hint="eastAsia" w:ascii="仿宋" w:hAnsi="仿宋" w:eastAsia="仿宋" w:cs="黑体"/>
          <w:color w:val="auto"/>
          <w:sz w:val="32"/>
          <w:szCs w:val="32"/>
          <w:highlight w:val="none"/>
        </w:rPr>
        <w:t>一是</w:t>
      </w:r>
      <w:r>
        <w:rPr>
          <w:rFonts w:hint="eastAsia" w:ascii="仿宋" w:hAnsi="仿宋" w:eastAsia="仿宋" w:cs="仿宋"/>
          <w:color w:val="auto"/>
          <w:sz w:val="32"/>
          <w:szCs w:val="32"/>
          <w:highlight w:val="none"/>
        </w:rPr>
        <w:t>教导处认真落实区教育局“质量校园”文件精神。开学初，教导处组织教师学习了常规细则及教学六认真的具体要求，制定了切实可行的教育教研工作计划，并严格按计划执行。</w:t>
      </w:r>
      <w:r>
        <w:rPr>
          <w:rFonts w:hint="eastAsia" w:ascii="仿宋" w:hAnsi="仿宋" w:eastAsia="仿宋" w:cs="黑体"/>
          <w:color w:val="auto"/>
          <w:sz w:val="32"/>
          <w:szCs w:val="32"/>
          <w:highlight w:val="none"/>
        </w:rPr>
        <w:t>二是</w:t>
      </w:r>
      <w:r>
        <w:rPr>
          <w:rFonts w:hint="eastAsia" w:ascii="仿宋" w:hAnsi="仿宋" w:eastAsia="仿宋" w:cs="仿宋"/>
          <w:color w:val="auto"/>
          <w:sz w:val="32"/>
          <w:szCs w:val="32"/>
          <w:highlight w:val="none"/>
        </w:rPr>
        <w:t>通过讨论交流，形成了“强内涵发展、求质量生存”的新学期教育目标，通过教学质量分析研讨会，使“转作风、强内涵、明目标、提质量”的意识，进一步在广大教师心中根深蒂固，通过与任课教师签订教学目标任务，让教育目标落实更具体化，做到了有章可循，有据可依。常规开展青、老年教师座谈会和教学质量分析会，提升教师质量意识；</w:t>
      </w:r>
      <w:r>
        <w:rPr>
          <w:rFonts w:hint="eastAsia" w:ascii="仿宋" w:hAnsi="仿宋" w:eastAsia="仿宋" w:cs="黑体"/>
          <w:color w:val="auto"/>
          <w:sz w:val="32"/>
          <w:szCs w:val="32"/>
          <w:highlight w:val="none"/>
        </w:rPr>
        <w:t>三是</w:t>
      </w:r>
      <w:r>
        <w:rPr>
          <w:rFonts w:hint="eastAsia" w:ascii="仿宋" w:hAnsi="仿宋" w:eastAsia="仿宋" w:cs="仿宋"/>
          <w:color w:val="auto"/>
          <w:sz w:val="32"/>
          <w:szCs w:val="32"/>
          <w:highlight w:val="none"/>
        </w:rPr>
        <w:t>严格执行课程计划，规范教学常规管理。坚持一月两次对每位教师教育教学工作定期与不定期的检查，有总结评价、有整改建议，并斗硬考评。</w:t>
      </w:r>
      <w:r>
        <w:rPr>
          <w:rFonts w:hint="eastAsia" w:ascii="仿宋" w:hAnsi="仿宋" w:eastAsia="仿宋" w:cs="黑体"/>
          <w:color w:val="auto"/>
          <w:sz w:val="32"/>
          <w:szCs w:val="32"/>
          <w:highlight w:val="none"/>
        </w:rPr>
        <w:t>四是</w:t>
      </w:r>
      <w:r>
        <w:rPr>
          <w:rFonts w:hint="eastAsia" w:ascii="仿宋" w:hAnsi="仿宋" w:eastAsia="仿宋" w:cs="仿宋"/>
          <w:color w:val="auto"/>
          <w:sz w:val="32"/>
          <w:szCs w:val="32"/>
          <w:highlight w:val="none"/>
        </w:rPr>
        <w:t>将每周四定为“教研日”，以示范课、观摩课、磨课、业务讲座、课标学习等内容形式，认真开展每周常规教研活动，促进有效课堂教学模式的探讨，促进了教育质量的提升。</w:t>
      </w:r>
    </w:p>
    <w:p w14:paraId="077AB206">
      <w:pPr>
        <w:ind w:firstLine="640" w:firstLineChars="200"/>
        <w:jc w:val="left"/>
        <w:rPr>
          <w:rFonts w:hint="eastAsia" w:ascii="仿宋" w:hAnsi="仿宋" w:eastAsia="仿宋" w:cs="仿宋"/>
          <w:color w:val="auto"/>
          <w:kern w:val="2"/>
          <w:sz w:val="32"/>
          <w:szCs w:val="32"/>
          <w:highlight w:val="none"/>
          <w:lang w:val="en-US" w:eastAsia="zh-CN" w:bidi="ar"/>
        </w:rPr>
      </w:pPr>
      <w:r>
        <w:rPr>
          <w:rFonts w:hint="eastAsia" w:ascii="仿宋" w:hAnsi="仿宋" w:eastAsia="仿宋" w:cs="仿宋"/>
          <w:color w:val="auto"/>
          <w:kern w:val="2"/>
          <w:sz w:val="32"/>
          <w:szCs w:val="32"/>
          <w:highlight w:val="none"/>
          <w:lang w:val="en-US" w:eastAsia="zh-CN" w:bidi="ar"/>
        </w:rPr>
        <w:t>（四）始终坚持以“立人”为目标，培养“绽美少年”。</w:t>
      </w:r>
    </w:p>
    <w:p w14:paraId="4495FB2D">
      <w:pPr>
        <w:ind w:firstLine="640" w:firstLineChars="200"/>
        <w:jc w:val="left"/>
        <w:rPr>
          <w:rFonts w:ascii="仿宋" w:hAnsi="仿宋" w:eastAsia="仿宋" w:cs="仿宋"/>
          <w:color w:val="auto"/>
          <w:sz w:val="32"/>
          <w:szCs w:val="32"/>
          <w:highlight w:val="none"/>
        </w:rPr>
      </w:pPr>
      <w:r>
        <w:rPr>
          <w:rFonts w:hint="eastAsia" w:ascii="仿宋" w:hAnsi="仿宋" w:eastAsia="仿宋" w:cs="黑体"/>
          <w:color w:val="auto"/>
          <w:sz w:val="32"/>
          <w:szCs w:val="32"/>
          <w:highlight w:val="none"/>
        </w:rPr>
        <w:t>一是</w:t>
      </w:r>
      <w:r>
        <w:rPr>
          <w:rFonts w:hint="eastAsia" w:ascii="仿宋" w:hAnsi="仿宋" w:eastAsia="仿宋" w:cs="仿宋"/>
          <w:color w:val="auto"/>
          <w:sz w:val="32"/>
          <w:szCs w:val="32"/>
          <w:highlight w:val="none"/>
        </w:rPr>
        <w:t>以丁家小学N大细节进行了学习常规、每日言行、就餐常规、卫生检查、评比等内容促进学生行为习惯的养成教育。</w:t>
      </w:r>
      <w:r>
        <w:rPr>
          <w:rFonts w:hint="eastAsia" w:ascii="仿宋" w:hAnsi="仿宋" w:eastAsia="仿宋" w:cs="黑体"/>
          <w:color w:val="auto"/>
          <w:sz w:val="32"/>
          <w:szCs w:val="32"/>
          <w:highlight w:val="none"/>
        </w:rPr>
        <w:t>二是</w:t>
      </w:r>
      <w:r>
        <w:rPr>
          <w:rFonts w:hint="eastAsia" w:ascii="仿宋" w:hAnsi="仿宋" w:eastAsia="仿宋" w:cs="仿宋"/>
          <w:color w:val="auto"/>
          <w:sz w:val="32"/>
          <w:szCs w:val="32"/>
          <w:highlight w:val="none"/>
        </w:rPr>
        <w:t>积极开展各类主题班队会、运动会、庆六一趣味游园、叠被子、消防演练等等活动让孩子们在活动中提升锻炼，在活动中促进养成。</w:t>
      </w:r>
      <w:r>
        <w:rPr>
          <w:rFonts w:hint="eastAsia" w:ascii="仿宋" w:hAnsi="仿宋" w:eastAsia="仿宋" w:cs="黑体"/>
          <w:color w:val="auto"/>
          <w:sz w:val="32"/>
          <w:szCs w:val="32"/>
          <w:highlight w:val="none"/>
        </w:rPr>
        <w:t>三是</w:t>
      </w:r>
      <w:r>
        <w:rPr>
          <w:rFonts w:hint="eastAsia" w:ascii="仿宋" w:hAnsi="仿宋" w:eastAsia="仿宋" w:cs="仿宋"/>
          <w:color w:val="auto"/>
          <w:sz w:val="32"/>
          <w:szCs w:val="32"/>
          <w:highlight w:val="none"/>
        </w:rPr>
        <w:t>认真开展“争彰夺星”评比活动，在比学赶帮中激发学生奋发向上的精神。与此同时，学校还积极开展社团活动，成立了近10个兴趣小组定时、定人、定地点开展活动，培养孩子们的参与兴趣和能力。</w:t>
      </w:r>
      <w:r>
        <w:rPr>
          <w:rFonts w:hint="eastAsia" w:ascii="仿宋" w:hAnsi="仿宋" w:eastAsia="仿宋" w:cs="黑体"/>
          <w:color w:val="auto"/>
          <w:sz w:val="32"/>
          <w:szCs w:val="32"/>
          <w:highlight w:val="none"/>
        </w:rPr>
        <w:t>四是</w:t>
      </w:r>
      <w:r>
        <w:rPr>
          <w:rFonts w:hint="eastAsia" w:ascii="仿宋" w:hAnsi="仿宋" w:eastAsia="仿宋" w:cs="仿宋"/>
          <w:color w:val="auto"/>
          <w:sz w:val="32"/>
          <w:szCs w:val="32"/>
          <w:highlight w:val="none"/>
        </w:rPr>
        <w:t>认真关爱贫困学生和留守儿童。建立台账，设立亲情电话，教师结对帮扶留守儿童，送温暖，助学习，解忧难。</w:t>
      </w:r>
    </w:p>
    <w:p w14:paraId="4F735ED5">
      <w:pPr>
        <w:ind w:firstLine="640" w:firstLineChars="200"/>
        <w:jc w:val="left"/>
        <w:rPr>
          <w:rFonts w:hint="eastAsia" w:ascii="仿宋" w:hAnsi="仿宋" w:eastAsia="仿宋" w:cs="仿宋"/>
          <w:color w:val="auto"/>
          <w:kern w:val="2"/>
          <w:sz w:val="32"/>
          <w:szCs w:val="32"/>
          <w:highlight w:val="none"/>
          <w:lang w:val="en-US" w:eastAsia="zh-CN" w:bidi="ar"/>
        </w:rPr>
      </w:pPr>
      <w:r>
        <w:rPr>
          <w:rFonts w:hint="eastAsia" w:ascii="仿宋" w:hAnsi="仿宋" w:eastAsia="仿宋" w:cs="仿宋"/>
          <w:color w:val="auto"/>
          <w:kern w:val="2"/>
          <w:sz w:val="32"/>
          <w:szCs w:val="32"/>
          <w:highlight w:val="none"/>
          <w:lang w:val="en-US" w:eastAsia="zh-CN" w:bidi="ar"/>
        </w:rPr>
        <w:t>（五）始终坚持特色打造为发展动力，创设“悠美环境”。</w:t>
      </w:r>
    </w:p>
    <w:p w14:paraId="5498B12A">
      <w:pPr>
        <w:ind w:firstLine="640" w:firstLineChars="200"/>
        <w:rPr>
          <w:rFonts w:ascii="仿宋" w:hAnsi="仿宋" w:eastAsia="仿宋" w:cs="仿宋"/>
          <w:color w:val="auto"/>
          <w:sz w:val="32"/>
          <w:szCs w:val="32"/>
          <w:highlight w:val="none"/>
        </w:rPr>
      </w:pPr>
      <w:bookmarkStart w:id="36" w:name="OLE_LINK9"/>
      <w:r>
        <w:rPr>
          <w:rFonts w:hint="eastAsia" w:ascii="仿宋" w:hAnsi="仿宋" w:eastAsia="仿宋" w:cs="黑体"/>
          <w:color w:val="auto"/>
          <w:sz w:val="32"/>
          <w:szCs w:val="32"/>
          <w:highlight w:val="none"/>
        </w:rPr>
        <w:t>一是</w:t>
      </w:r>
      <w:r>
        <w:rPr>
          <w:rFonts w:hint="eastAsia" w:ascii="仿宋" w:hAnsi="仿宋" w:eastAsia="仿宋" w:cs="仿宋"/>
          <w:color w:val="auto"/>
          <w:sz w:val="32"/>
          <w:szCs w:val="32"/>
          <w:highlight w:val="none"/>
        </w:rPr>
        <w:t>进一步</w:t>
      </w:r>
      <w:bookmarkEnd w:id="36"/>
      <w:r>
        <w:rPr>
          <w:rFonts w:hint="eastAsia" w:ascii="仿宋" w:hAnsi="仿宋" w:eastAsia="仿宋" w:cs="仿宋"/>
          <w:color w:val="auto"/>
          <w:sz w:val="32"/>
          <w:szCs w:val="32"/>
          <w:highlight w:val="none"/>
        </w:rPr>
        <w:t>在致谐、尚美、立人”办学理念和“三个有利于”的教育思想下继续加强文化内涵的提升。</w:t>
      </w:r>
      <w:bookmarkStart w:id="37" w:name="OLE_LINK11"/>
      <w:r>
        <w:rPr>
          <w:rFonts w:hint="eastAsia" w:ascii="仿宋" w:hAnsi="仿宋" w:eastAsia="仿宋" w:cs="黑体"/>
          <w:color w:val="auto"/>
          <w:sz w:val="32"/>
          <w:szCs w:val="32"/>
          <w:highlight w:val="none"/>
        </w:rPr>
        <w:t>二是</w:t>
      </w:r>
      <w:bookmarkEnd w:id="37"/>
      <w:r>
        <w:rPr>
          <w:rFonts w:hint="eastAsia" w:ascii="仿宋" w:hAnsi="仿宋" w:eastAsia="仿宋" w:cs="仿宋"/>
          <w:color w:val="auto"/>
          <w:sz w:val="32"/>
          <w:szCs w:val="32"/>
          <w:highlight w:val="none"/>
        </w:rPr>
        <w:t>一直致力于以“缔造完美教室，打造品质书柜”为主题教室文化打造，让教室成为孩子的生长点。</w:t>
      </w:r>
      <w:r>
        <w:rPr>
          <w:rFonts w:hint="eastAsia" w:ascii="仿宋" w:hAnsi="仿宋" w:eastAsia="仿宋" w:cs="黑体"/>
          <w:color w:val="auto"/>
          <w:sz w:val="32"/>
          <w:szCs w:val="32"/>
          <w:highlight w:val="none"/>
        </w:rPr>
        <w:t>三是</w:t>
      </w:r>
      <w:r>
        <w:rPr>
          <w:rFonts w:hint="eastAsia" w:ascii="仿宋" w:hAnsi="仿宋" w:eastAsia="仿宋" w:cs="仿宋"/>
          <w:color w:val="auto"/>
          <w:sz w:val="32"/>
          <w:szCs w:val="32"/>
          <w:highlight w:val="none"/>
        </w:rPr>
        <w:t>积极开展丰富多彩的读书活动：以班级为单位开展经典诵读、演讲比赛、课本剧表演、故事会等不同形式的读书活动；每月上交读书心得，并择优展示；班级内开展“书是甜的”读书推荐活动；广泛开展“读书之星”评比等活动，让读书为孩子奠基。</w:t>
      </w:r>
      <w:bookmarkStart w:id="38" w:name="OLE_LINK12"/>
      <w:r>
        <w:rPr>
          <w:rFonts w:hint="eastAsia" w:ascii="仿宋" w:hAnsi="仿宋" w:eastAsia="仿宋" w:cs="黑体"/>
          <w:color w:val="auto"/>
          <w:sz w:val="32"/>
          <w:szCs w:val="32"/>
          <w:highlight w:val="none"/>
        </w:rPr>
        <w:t>四是</w:t>
      </w:r>
      <w:bookmarkEnd w:id="38"/>
      <w:r>
        <w:rPr>
          <w:rFonts w:hint="eastAsia" w:ascii="仿宋" w:hAnsi="仿宋" w:eastAsia="仿宋" w:cs="仿宋"/>
          <w:color w:val="auto"/>
          <w:sz w:val="32"/>
          <w:szCs w:val="32"/>
          <w:highlight w:val="none"/>
        </w:rPr>
        <w:t>以篮球为特色发展创建篮球校园，精心组织、明晰方案，以周一、周三、周五为篮球活动日，强化趣味游戏的开展，让篮球特色活动有声有色。</w:t>
      </w:r>
    </w:p>
    <w:p w14:paraId="44FF0FBD">
      <w:pPr>
        <w:ind w:firstLine="640" w:firstLineChars="200"/>
        <w:jc w:val="left"/>
        <w:rPr>
          <w:rFonts w:hint="eastAsia" w:ascii="仿宋" w:hAnsi="仿宋" w:eastAsia="仿宋" w:cs="仿宋"/>
          <w:color w:val="auto"/>
          <w:kern w:val="2"/>
          <w:sz w:val="32"/>
          <w:szCs w:val="32"/>
          <w:highlight w:val="none"/>
          <w:lang w:val="en-US" w:eastAsia="zh-CN" w:bidi="ar"/>
        </w:rPr>
      </w:pPr>
      <w:r>
        <w:rPr>
          <w:rFonts w:hint="eastAsia" w:ascii="仿宋" w:hAnsi="仿宋" w:eastAsia="仿宋" w:cs="仿宋"/>
          <w:color w:val="auto"/>
          <w:kern w:val="2"/>
          <w:sz w:val="32"/>
          <w:szCs w:val="32"/>
          <w:highlight w:val="none"/>
          <w:lang w:val="en-US" w:eastAsia="zh-CN" w:bidi="ar"/>
        </w:rPr>
        <w:t>（六）始终以共创优质教育环境为根本，共建“和美家长”。</w:t>
      </w:r>
    </w:p>
    <w:p w14:paraId="4357A5CA">
      <w:pPr>
        <w:ind w:firstLine="640" w:firstLineChars="200"/>
        <w:rPr>
          <w:rFonts w:hint="eastAsia" w:ascii="仿宋" w:hAnsi="仿宋" w:eastAsia="仿宋" w:cs="黑体"/>
          <w:color w:val="auto"/>
          <w:sz w:val="32"/>
          <w:szCs w:val="32"/>
          <w:highlight w:val="none"/>
        </w:rPr>
      </w:pPr>
      <w:r>
        <w:rPr>
          <w:rFonts w:hint="eastAsia" w:ascii="仿宋" w:hAnsi="仿宋" w:eastAsia="仿宋" w:cs="仿宋_GB2312"/>
          <w:color w:val="auto"/>
          <w:sz w:val="32"/>
          <w:szCs w:val="32"/>
          <w:highlight w:val="none"/>
        </w:rPr>
        <w:t xml:space="preserve">学校一直坚持“家校互动，加大合力”的家长、学校工作原则，努力构建“合美家长”。 </w:t>
      </w:r>
      <w:r>
        <w:rPr>
          <w:rFonts w:hint="eastAsia" w:ascii="仿宋" w:hAnsi="仿宋" w:eastAsia="仿宋" w:cs="黑体"/>
          <w:color w:val="auto"/>
          <w:sz w:val="32"/>
          <w:szCs w:val="32"/>
          <w:highlight w:val="none"/>
        </w:rPr>
        <w:t>一是</w:t>
      </w:r>
      <w:r>
        <w:rPr>
          <w:rFonts w:hint="eastAsia" w:ascii="仿宋" w:hAnsi="仿宋" w:eastAsia="仿宋" w:cs="仿宋"/>
          <w:color w:val="auto"/>
          <w:sz w:val="32"/>
          <w:szCs w:val="32"/>
          <w:highlight w:val="none"/>
        </w:rPr>
        <w:t>创造外部环境。积极争取镇党委政府关心支持。</w:t>
      </w:r>
      <w:r>
        <w:rPr>
          <w:rFonts w:hint="eastAsia" w:ascii="仿宋" w:hAnsi="仿宋" w:eastAsia="仿宋" w:cs="黑体"/>
          <w:color w:val="auto"/>
          <w:sz w:val="32"/>
          <w:szCs w:val="32"/>
          <w:highlight w:val="none"/>
        </w:rPr>
        <w:t>二是</w:t>
      </w:r>
      <w:r>
        <w:rPr>
          <w:rFonts w:hint="eastAsia" w:ascii="仿宋" w:hAnsi="仿宋" w:eastAsia="仿宋" w:cs="仿宋"/>
          <w:color w:val="auto"/>
          <w:sz w:val="32"/>
          <w:szCs w:val="32"/>
          <w:highlight w:val="none"/>
        </w:rPr>
        <w:t>认真开展千名教师访万家活动，学校、社会、家庭得到有机的三结合。</w:t>
      </w:r>
      <w:r>
        <w:rPr>
          <w:rFonts w:hint="eastAsia" w:ascii="仿宋" w:hAnsi="仿宋" w:eastAsia="仿宋" w:cs="黑体"/>
          <w:color w:val="auto"/>
          <w:sz w:val="32"/>
          <w:szCs w:val="32"/>
          <w:highlight w:val="none"/>
        </w:rPr>
        <w:t>三是</w:t>
      </w:r>
      <w:r>
        <w:rPr>
          <w:rFonts w:hint="eastAsia" w:ascii="仿宋" w:hAnsi="仿宋" w:eastAsia="仿宋" w:cs="仿宋"/>
          <w:color w:val="auto"/>
          <w:sz w:val="32"/>
          <w:szCs w:val="32"/>
          <w:highlight w:val="none"/>
        </w:rPr>
        <w:t>积极召开家委会、家长会，发挥好家委会的重要作用，以让家长参与学校重大决策、进课堂、进食堂等形式促进家校联系，家校沟通，共同育才。</w:t>
      </w:r>
    </w:p>
    <w:p w14:paraId="62BD5435">
      <w:pPr>
        <w:ind w:firstLine="640" w:firstLineChars="200"/>
        <w:rPr>
          <w:rFonts w:ascii="仿宋" w:hAnsi="仿宋" w:eastAsia="仿宋" w:cs="黑体"/>
          <w:b w:val="0"/>
          <w:bCs w:val="0"/>
          <w:color w:val="auto"/>
          <w:sz w:val="32"/>
          <w:szCs w:val="32"/>
          <w:highlight w:val="none"/>
        </w:rPr>
      </w:pPr>
      <w:r>
        <w:rPr>
          <w:rFonts w:hint="eastAsia" w:ascii="仿宋" w:hAnsi="仿宋" w:eastAsia="仿宋" w:cs="黑体"/>
          <w:b w:val="0"/>
          <w:bCs w:val="0"/>
          <w:color w:val="auto"/>
          <w:sz w:val="32"/>
          <w:szCs w:val="32"/>
          <w:highlight w:val="none"/>
        </w:rPr>
        <w:t>主要问题与困难</w:t>
      </w:r>
    </w:p>
    <w:p w14:paraId="0D8AA4AC">
      <w:pPr>
        <w:ind w:firstLine="640" w:firstLineChars="200"/>
        <w:jc w:val="left"/>
        <w:rPr>
          <w:rFonts w:ascii="仿宋" w:hAnsi="仿宋" w:eastAsia="仿宋" w:cs="仿宋_GB2312"/>
          <w:color w:val="auto"/>
          <w:sz w:val="32"/>
          <w:szCs w:val="32"/>
          <w:highlight w:val="none"/>
        </w:rPr>
      </w:pPr>
      <w:r>
        <w:rPr>
          <w:rFonts w:hint="eastAsia" w:ascii="仿宋" w:hAnsi="仿宋" w:eastAsia="仿宋"/>
          <w:color w:val="auto"/>
          <w:sz w:val="32"/>
          <w:szCs w:val="32"/>
          <w:highlight w:val="none"/>
        </w:rPr>
        <w:t>以上成绩的取得离不开上级的关怀和老师们的辛勤付出，但</w:t>
      </w:r>
      <w:r>
        <w:rPr>
          <w:rFonts w:ascii="仿宋" w:hAnsi="仿宋" w:eastAsia="仿宋"/>
          <w:color w:val="auto"/>
          <w:sz w:val="32"/>
          <w:szCs w:val="32"/>
          <w:highlight w:val="none"/>
        </w:rPr>
        <w:t>我们</w:t>
      </w:r>
      <w:r>
        <w:rPr>
          <w:rFonts w:hint="eastAsia" w:ascii="仿宋" w:hAnsi="仿宋" w:eastAsia="仿宋"/>
          <w:color w:val="auto"/>
          <w:sz w:val="32"/>
          <w:szCs w:val="32"/>
          <w:highlight w:val="none"/>
        </w:rPr>
        <w:t>要</w:t>
      </w:r>
      <w:r>
        <w:rPr>
          <w:rFonts w:ascii="仿宋" w:hAnsi="仿宋" w:eastAsia="仿宋"/>
          <w:color w:val="auto"/>
          <w:sz w:val="32"/>
          <w:szCs w:val="32"/>
          <w:highlight w:val="none"/>
        </w:rPr>
        <w:t>清醒看到</w:t>
      </w:r>
      <w:r>
        <w:rPr>
          <w:rFonts w:hint="eastAsia" w:ascii="仿宋" w:hAnsi="仿宋" w:eastAsia="仿宋"/>
          <w:color w:val="auto"/>
          <w:sz w:val="32"/>
          <w:szCs w:val="32"/>
          <w:highlight w:val="none"/>
        </w:rPr>
        <w:t>学校</w:t>
      </w:r>
      <w:r>
        <w:rPr>
          <w:rFonts w:ascii="仿宋" w:hAnsi="仿宋" w:eastAsia="仿宋"/>
          <w:color w:val="auto"/>
          <w:sz w:val="32"/>
          <w:szCs w:val="32"/>
          <w:highlight w:val="none"/>
        </w:rPr>
        <w:t>发展</w:t>
      </w:r>
      <w:r>
        <w:rPr>
          <w:rFonts w:hint="eastAsia" w:ascii="仿宋" w:hAnsi="仿宋" w:eastAsia="仿宋"/>
          <w:color w:val="auto"/>
          <w:sz w:val="32"/>
          <w:szCs w:val="32"/>
          <w:highlight w:val="none"/>
        </w:rPr>
        <w:t>的瓶颈问题</w:t>
      </w:r>
      <w:r>
        <w:rPr>
          <w:rFonts w:ascii="仿宋" w:hAnsi="仿宋" w:eastAsia="仿宋"/>
          <w:color w:val="auto"/>
          <w:sz w:val="32"/>
          <w:szCs w:val="32"/>
          <w:highlight w:val="none"/>
        </w:rPr>
        <w:t>，尤其是</w:t>
      </w:r>
      <w:r>
        <w:rPr>
          <w:rFonts w:hint="eastAsia" w:ascii="仿宋" w:hAnsi="仿宋" w:eastAsia="仿宋"/>
          <w:color w:val="auto"/>
          <w:sz w:val="32"/>
          <w:szCs w:val="32"/>
          <w:highlight w:val="none"/>
        </w:rPr>
        <w:t>内涵发展和特色发展</w:t>
      </w:r>
      <w:r>
        <w:rPr>
          <w:rFonts w:ascii="仿宋" w:hAnsi="仿宋" w:eastAsia="仿宋"/>
          <w:color w:val="auto"/>
          <w:sz w:val="32"/>
          <w:szCs w:val="32"/>
          <w:highlight w:val="none"/>
        </w:rPr>
        <w:t>。</w:t>
      </w:r>
      <w:r>
        <w:rPr>
          <w:rFonts w:hint="eastAsia" w:ascii="仿宋" w:hAnsi="仿宋" w:eastAsia="仿宋" w:cs="黑体"/>
          <w:bCs/>
          <w:color w:val="auto"/>
          <w:sz w:val="32"/>
          <w:szCs w:val="32"/>
          <w:highlight w:val="none"/>
        </w:rPr>
        <w:t>一</w:t>
      </w:r>
      <w:r>
        <w:rPr>
          <w:rFonts w:hint="eastAsia" w:ascii="仿宋" w:hAnsi="仿宋" w:eastAsia="仿宋" w:cs="黑体"/>
          <w:color w:val="auto"/>
          <w:sz w:val="32"/>
          <w:szCs w:val="32"/>
          <w:highlight w:val="none"/>
        </w:rPr>
        <w:t>是</w:t>
      </w:r>
      <w:r>
        <w:rPr>
          <w:rFonts w:hint="eastAsia" w:ascii="仿宋" w:hAnsi="仿宋" w:eastAsia="仿宋" w:cs="仿宋_GB2312"/>
          <w:color w:val="auto"/>
          <w:sz w:val="32"/>
          <w:szCs w:val="32"/>
          <w:highlight w:val="none"/>
        </w:rPr>
        <w:t>学校管理精细化还不够。</w:t>
      </w:r>
      <w:r>
        <w:rPr>
          <w:rFonts w:hint="eastAsia" w:ascii="仿宋" w:hAnsi="仿宋" w:eastAsia="仿宋" w:cs="黑体"/>
          <w:color w:val="auto"/>
          <w:sz w:val="32"/>
          <w:szCs w:val="32"/>
          <w:highlight w:val="none"/>
        </w:rPr>
        <w:t>二是</w:t>
      </w:r>
      <w:r>
        <w:rPr>
          <w:rFonts w:hint="eastAsia" w:ascii="仿宋" w:hAnsi="仿宋" w:eastAsia="仿宋" w:cs="仿宋_GB2312"/>
          <w:color w:val="auto"/>
          <w:sz w:val="32"/>
          <w:szCs w:val="32"/>
          <w:highlight w:val="none"/>
        </w:rPr>
        <w:t>是强师资队伍的内功还需提升。</w:t>
      </w:r>
      <w:r>
        <w:rPr>
          <w:rFonts w:hint="eastAsia" w:ascii="仿宋" w:hAnsi="仿宋" w:eastAsia="仿宋" w:cs="黑体"/>
          <w:color w:val="auto"/>
          <w:sz w:val="32"/>
          <w:szCs w:val="32"/>
          <w:highlight w:val="none"/>
        </w:rPr>
        <w:t>三是</w:t>
      </w:r>
      <w:r>
        <w:rPr>
          <w:rFonts w:hint="eastAsia" w:ascii="仿宋" w:hAnsi="仿宋" w:eastAsia="仿宋" w:cs="仿宋_GB2312"/>
          <w:color w:val="auto"/>
          <w:sz w:val="32"/>
          <w:szCs w:val="32"/>
          <w:highlight w:val="none"/>
        </w:rPr>
        <w:t>学生养成教育还需加强和培养。</w:t>
      </w:r>
      <w:r>
        <w:rPr>
          <w:rFonts w:hint="eastAsia" w:ascii="仿宋" w:hAnsi="仿宋" w:eastAsia="仿宋" w:cs="黑体"/>
          <w:color w:val="auto"/>
          <w:sz w:val="32"/>
          <w:szCs w:val="32"/>
          <w:highlight w:val="none"/>
        </w:rPr>
        <w:t>四是</w:t>
      </w:r>
      <w:r>
        <w:rPr>
          <w:rFonts w:hint="eastAsia" w:ascii="仿宋" w:hAnsi="仿宋" w:eastAsia="仿宋" w:cs="仿宋_GB2312"/>
          <w:color w:val="auto"/>
          <w:sz w:val="32"/>
          <w:szCs w:val="32"/>
          <w:highlight w:val="none"/>
        </w:rPr>
        <w:t>教育质量还要加大提升力度。</w:t>
      </w:r>
    </w:p>
    <w:p w14:paraId="6E5FC5BA">
      <w:pPr>
        <w:jc w:val="center"/>
        <w:rPr>
          <w:rFonts w:ascii="仿宋" w:hAnsi="仿宋" w:eastAsia="仿宋" w:cs="黑体"/>
          <w:b w:val="0"/>
          <w:bCs w:val="0"/>
          <w:color w:val="auto"/>
          <w:sz w:val="32"/>
          <w:szCs w:val="32"/>
          <w:highlight w:val="none"/>
        </w:rPr>
      </w:pPr>
      <w:r>
        <w:rPr>
          <w:rFonts w:hint="eastAsia" w:ascii="仿宋" w:hAnsi="仿宋" w:eastAsia="仿宋" w:cs="黑体"/>
          <w:b w:val="0"/>
          <w:bCs w:val="0"/>
          <w:color w:val="auto"/>
          <w:sz w:val="32"/>
          <w:szCs w:val="32"/>
          <w:highlight w:val="none"/>
        </w:rPr>
        <w:t>今后努力的方向</w:t>
      </w:r>
    </w:p>
    <w:p w14:paraId="7B322C6F">
      <w:pPr>
        <w:spacing w:line="576" w:lineRule="exact"/>
        <w:ind w:firstLine="640" w:firstLineChars="200"/>
        <w:rPr>
          <w:rFonts w:hint="eastAsia" w:ascii="仿宋" w:hAnsi="仿宋" w:eastAsia="仿宋" w:cs="仿宋"/>
          <w:color w:val="auto"/>
          <w:sz w:val="32"/>
          <w:szCs w:val="32"/>
          <w:highlight w:val="none"/>
        </w:rPr>
      </w:pPr>
      <w:r>
        <w:rPr>
          <w:rFonts w:hint="eastAsia" w:ascii="仿宋" w:hAnsi="仿宋" w:eastAsia="仿宋"/>
          <w:color w:val="auto"/>
          <w:sz w:val="32"/>
          <w:szCs w:val="32"/>
          <w:highlight w:val="none"/>
        </w:rPr>
        <w:t>在2022年，为促进学校可持续发展，我们将</w:t>
      </w:r>
      <w:r>
        <w:rPr>
          <w:rFonts w:ascii="仿宋" w:hAnsi="仿宋" w:eastAsia="仿宋"/>
          <w:color w:val="auto"/>
          <w:sz w:val="32"/>
          <w:szCs w:val="32"/>
          <w:highlight w:val="none"/>
        </w:rPr>
        <w:t>从以下几个方面着手：</w:t>
      </w:r>
      <w:r>
        <w:rPr>
          <w:rFonts w:hint="eastAsia" w:ascii="仿宋" w:hAnsi="仿宋" w:eastAsia="仿宋" w:cs="黑体"/>
          <w:bCs/>
          <w:color w:val="auto"/>
          <w:sz w:val="32"/>
          <w:szCs w:val="32"/>
          <w:highlight w:val="none"/>
        </w:rPr>
        <w:t>一是</w:t>
      </w:r>
      <w:r>
        <w:rPr>
          <w:rFonts w:hint="eastAsia" w:ascii="仿宋" w:hAnsi="仿宋" w:eastAsia="仿宋" w:cs="仿宋"/>
          <w:color w:val="auto"/>
          <w:sz w:val="32"/>
          <w:szCs w:val="32"/>
          <w:highlight w:val="none"/>
        </w:rPr>
        <w:t>继续加强师德师风建设；</w:t>
      </w:r>
      <w:r>
        <w:rPr>
          <w:rFonts w:hint="eastAsia" w:ascii="仿宋" w:hAnsi="仿宋" w:eastAsia="仿宋" w:cs="黑体"/>
          <w:bCs/>
          <w:color w:val="auto"/>
          <w:sz w:val="32"/>
          <w:szCs w:val="32"/>
          <w:highlight w:val="none"/>
        </w:rPr>
        <w:t>二是</w:t>
      </w:r>
      <w:r>
        <w:rPr>
          <w:rFonts w:hint="eastAsia" w:ascii="仿宋" w:hAnsi="仿宋" w:eastAsia="仿宋" w:cs="仿宋"/>
          <w:color w:val="auto"/>
          <w:sz w:val="32"/>
          <w:szCs w:val="32"/>
          <w:highlight w:val="none"/>
        </w:rPr>
        <w:t>继续加强党风廉政建设，凝心聚力共谋发展；</w:t>
      </w:r>
      <w:r>
        <w:rPr>
          <w:rFonts w:hint="eastAsia" w:ascii="仿宋" w:hAnsi="仿宋" w:eastAsia="仿宋" w:cs="黑体"/>
          <w:bCs/>
          <w:color w:val="auto"/>
          <w:sz w:val="32"/>
          <w:szCs w:val="32"/>
          <w:highlight w:val="none"/>
        </w:rPr>
        <w:t>三是</w:t>
      </w:r>
      <w:r>
        <w:rPr>
          <w:rFonts w:hint="eastAsia" w:ascii="仿宋" w:hAnsi="仿宋" w:eastAsia="仿宋" w:cs="仿宋"/>
          <w:color w:val="auto"/>
          <w:sz w:val="32"/>
          <w:szCs w:val="32"/>
          <w:highlight w:val="none"/>
        </w:rPr>
        <w:t>促进教师专业发展，让每位教师真正独树一帜，从而提升教学质量；</w:t>
      </w:r>
      <w:r>
        <w:rPr>
          <w:rFonts w:hint="eastAsia" w:ascii="仿宋" w:hAnsi="仿宋" w:eastAsia="仿宋" w:cs="黑体"/>
          <w:bCs/>
          <w:color w:val="auto"/>
          <w:sz w:val="32"/>
          <w:szCs w:val="32"/>
          <w:highlight w:val="none"/>
        </w:rPr>
        <w:t>四是</w:t>
      </w:r>
      <w:r>
        <w:rPr>
          <w:rFonts w:hint="eastAsia" w:ascii="仿宋" w:hAnsi="仿宋" w:eastAsia="仿宋" w:cs="仿宋"/>
          <w:color w:val="auto"/>
          <w:sz w:val="32"/>
          <w:szCs w:val="32"/>
          <w:highlight w:val="none"/>
        </w:rPr>
        <w:t>创特色学校、精品学校，真正建成美丽乡村学校；</w:t>
      </w:r>
      <w:r>
        <w:rPr>
          <w:rFonts w:hint="eastAsia" w:ascii="仿宋" w:hAnsi="仿宋" w:eastAsia="仿宋" w:cs="黑体"/>
          <w:bCs/>
          <w:color w:val="auto"/>
          <w:sz w:val="32"/>
          <w:szCs w:val="32"/>
          <w:highlight w:val="none"/>
        </w:rPr>
        <w:t>五是</w:t>
      </w:r>
      <w:r>
        <w:rPr>
          <w:rFonts w:hint="eastAsia" w:ascii="仿宋" w:hAnsi="仿宋" w:eastAsia="仿宋" w:cs="仿宋"/>
          <w:color w:val="auto"/>
          <w:sz w:val="32"/>
          <w:szCs w:val="32"/>
          <w:highlight w:val="none"/>
        </w:rPr>
        <w:t>注重学生养成教育，让良好的习惯成为孩子们的一身受益；</w:t>
      </w:r>
      <w:r>
        <w:rPr>
          <w:rFonts w:hint="eastAsia" w:ascii="仿宋" w:hAnsi="仿宋" w:eastAsia="仿宋" w:cs="黑体"/>
          <w:bCs/>
          <w:color w:val="auto"/>
          <w:sz w:val="32"/>
          <w:szCs w:val="32"/>
          <w:highlight w:val="none"/>
        </w:rPr>
        <w:t>六是</w:t>
      </w:r>
      <w:r>
        <w:rPr>
          <w:rFonts w:hint="eastAsia" w:ascii="仿宋" w:hAnsi="仿宋" w:eastAsia="仿宋" w:cs="仿宋"/>
          <w:color w:val="auto"/>
          <w:sz w:val="32"/>
          <w:szCs w:val="32"/>
          <w:highlight w:val="none"/>
        </w:rPr>
        <w:t>强化质量意识，他是我们赖以生存的基石；</w:t>
      </w:r>
      <w:r>
        <w:rPr>
          <w:rFonts w:hint="eastAsia" w:ascii="仿宋" w:hAnsi="仿宋" w:eastAsia="仿宋" w:cs="黑体"/>
          <w:bCs/>
          <w:color w:val="auto"/>
          <w:sz w:val="32"/>
          <w:szCs w:val="32"/>
          <w:highlight w:val="none"/>
        </w:rPr>
        <w:t>七是</w:t>
      </w:r>
      <w:r>
        <w:rPr>
          <w:rFonts w:hint="eastAsia" w:ascii="仿宋" w:hAnsi="仿宋" w:eastAsia="仿宋" w:cs="仿宋"/>
          <w:color w:val="auto"/>
          <w:sz w:val="32"/>
          <w:szCs w:val="32"/>
          <w:highlight w:val="none"/>
        </w:rPr>
        <w:t>丰盈校园文化生活，让活动丰富多彩。</w:t>
      </w:r>
    </w:p>
    <w:p w14:paraId="05360F38">
      <w:pPr>
        <w:widowControl/>
        <w:jc w:val="left"/>
        <w:rPr>
          <w:rFonts w:ascii="仿宋" w:hAnsi="仿宋" w:eastAsia="仿宋"/>
          <w:color w:val="auto"/>
          <w:kern w:val="0"/>
          <w:sz w:val="32"/>
          <w:szCs w:val="32"/>
          <w:highlight w:val="none"/>
        </w:rPr>
      </w:pPr>
    </w:p>
    <w:p w14:paraId="110882DD">
      <w:pPr>
        <w:pStyle w:val="16"/>
        <w:rPr>
          <w:color w:val="auto"/>
          <w:highlight w:val="none"/>
        </w:rPr>
      </w:pPr>
    </w:p>
    <w:p w14:paraId="14A2CE6A">
      <w:pPr>
        <w:rPr>
          <w:rFonts w:hint="eastAsia" w:ascii="黑体" w:hAnsi="黑体" w:eastAsia="黑体"/>
          <w:b w:val="0"/>
          <w:color w:val="auto"/>
          <w:highlight w:val="none"/>
        </w:rPr>
      </w:pPr>
      <w:bookmarkStart w:id="39" w:name="_Toc15377204"/>
      <w:bookmarkStart w:id="40" w:name="_Toc15396602"/>
      <w:r>
        <w:rPr>
          <w:rFonts w:hint="eastAsia" w:ascii="黑体" w:hAnsi="黑体" w:eastAsia="黑体"/>
          <w:b w:val="0"/>
          <w:color w:val="auto"/>
          <w:highlight w:val="none"/>
        </w:rPr>
        <w:br w:type="page"/>
      </w:r>
    </w:p>
    <w:p w14:paraId="37621FA6">
      <w:pPr>
        <w:pStyle w:val="3"/>
        <w:bidi w:val="0"/>
        <w:jc w:val="center"/>
        <w:rPr>
          <w:color w:val="auto"/>
          <w:highlight w:val="none"/>
        </w:rPr>
      </w:pPr>
      <w:bookmarkStart w:id="41" w:name="_Toc12360"/>
      <w:bookmarkStart w:id="42" w:name="_Toc22510"/>
      <w:r>
        <w:rPr>
          <w:rFonts w:hint="eastAsia"/>
          <w:color w:val="auto"/>
          <w:highlight w:val="none"/>
        </w:rPr>
        <w:t>第二部分 2021年度单位决算情况说明</w:t>
      </w:r>
      <w:bookmarkEnd w:id="39"/>
      <w:bookmarkEnd w:id="40"/>
      <w:bookmarkEnd w:id="41"/>
      <w:bookmarkEnd w:id="42"/>
    </w:p>
    <w:p w14:paraId="5DA4AC77">
      <w:pPr>
        <w:rPr>
          <w:color w:val="auto"/>
          <w:highlight w:val="none"/>
        </w:rPr>
      </w:pPr>
    </w:p>
    <w:p w14:paraId="3629C9AE">
      <w:pPr>
        <w:pStyle w:val="4"/>
        <w:numPr>
          <w:ilvl w:val="0"/>
          <w:numId w:val="2"/>
        </w:numPr>
        <w:bidi w:val="0"/>
        <w:jc w:val="left"/>
        <w:rPr>
          <w:color w:val="auto"/>
          <w:highlight w:val="none"/>
        </w:rPr>
      </w:pPr>
      <w:bookmarkStart w:id="43" w:name="_Toc15396603"/>
      <w:bookmarkStart w:id="44" w:name="_Toc15377205"/>
      <w:bookmarkStart w:id="45" w:name="_Toc30716"/>
      <w:bookmarkStart w:id="46" w:name="_Toc20351"/>
      <w:r>
        <w:rPr>
          <w:rFonts w:hint="eastAsia"/>
          <w:color w:val="auto"/>
          <w:highlight w:val="none"/>
        </w:rPr>
        <w:t>收入支出决算总体情况说明</w:t>
      </w:r>
      <w:bookmarkEnd w:id="43"/>
      <w:bookmarkEnd w:id="44"/>
      <w:bookmarkEnd w:id="45"/>
      <w:bookmarkEnd w:id="46"/>
    </w:p>
    <w:p w14:paraId="1A033260">
      <w:pPr>
        <w:spacing w:line="600" w:lineRule="exact"/>
        <w:ind w:firstLine="640" w:firstLineChars="200"/>
        <w:outlineLvl w:val="1"/>
        <w:rPr>
          <w:rFonts w:hint="eastAsia" w:eastAsia="宋体"/>
          <w:color w:val="auto"/>
          <w:highlight w:val="none"/>
          <w:lang w:eastAsia="zh-CN"/>
        </w:rPr>
      </w:pPr>
      <w:bookmarkStart w:id="47" w:name="_Toc25030"/>
      <w:bookmarkStart w:id="48" w:name="_Toc23727"/>
      <w:r>
        <w:rPr>
          <w:rFonts w:hint="eastAsia" w:ascii="仿宋" w:hAnsi="仿宋" w:eastAsia="仿宋"/>
          <w:color w:val="auto"/>
          <w:sz w:val="32"/>
          <w:szCs w:val="32"/>
          <w:highlight w:val="none"/>
        </w:rPr>
        <w:t>2021年度收、支总计</w:t>
      </w:r>
      <w:r>
        <w:rPr>
          <w:rFonts w:hint="eastAsia" w:ascii="仿宋" w:hAnsi="仿宋" w:eastAsia="仿宋"/>
          <w:color w:val="auto"/>
          <w:sz w:val="32"/>
          <w:szCs w:val="32"/>
          <w:highlight w:val="none"/>
          <w:lang w:eastAsia="zh-CN"/>
        </w:rPr>
        <w:t>708.33</w:t>
      </w:r>
      <w:r>
        <w:rPr>
          <w:rFonts w:hint="eastAsia" w:ascii="仿宋" w:hAnsi="仿宋" w:eastAsia="仿宋"/>
          <w:color w:val="auto"/>
          <w:sz w:val="32"/>
          <w:szCs w:val="32"/>
          <w:highlight w:val="none"/>
        </w:rPr>
        <w:t>万元。与2020年相比，收、支总计各增加</w:t>
      </w:r>
      <w:r>
        <w:rPr>
          <w:rFonts w:hint="eastAsia" w:ascii="仿宋" w:hAnsi="仿宋" w:eastAsia="仿宋"/>
          <w:color w:val="auto"/>
          <w:sz w:val="32"/>
          <w:szCs w:val="32"/>
          <w:highlight w:val="none"/>
          <w:lang w:eastAsia="zh-CN"/>
        </w:rPr>
        <w:t>11.13</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eastAsia="zh-CN"/>
        </w:rPr>
        <w:t>1.60</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基本支出增加</w:t>
      </w:r>
      <w:r>
        <w:rPr>
          <w:rFonts w:hint="eastAsia" w:ascii="仿宋" w:hAnsi="仿宋" w:eastAsia="仿宋"/>
          <w:color w:val="auto"/>
          <w:sz w:val="32"/>
          <w:szCs w:val="32"/>
          <w:highlight w:val="none"/>
        </w:rPr>
        <w:t>。</w:t>
      </w:r>
      <w:bookmarkEnd w:id="47"/>
      <w:bookmarkEnd w:id="48"/>
    </w:p>
    <w:p w14:paraId="44BD853C">
      <w:pPr>
        <w:pStyle w:val="4"/>
        <w:numPr>
          <w:ilvl w:val="0"/>
          <w:numId w:val="2"/>
        </w:numPr>
        <w:bidi w:val="0"/>
        <w:rPr>
          <w:rStyle w:val="30"/>
          <w:rFonts w:ascii="黑体" w:hAnsi="黑体" w:eastAsia="黑体"/>
          <w:b w:val="0"/>
          <w:bCs/>
          <w:color w:val="auto"/>
          <w:highlight w:val="none"/>
        </w:rPr>
      </w:pPr>
      <w:bookmarkStart w:id="49" w:name="_Toc15377206"/>
      <w:bookmarkStart w:id="50" w:name="_Toc30502"/>
      <w:bookmarkStart w:id="51" w:name="_Toc15396604"/>
      <w:bookmarkStart w:id="52" w:name="_Toc31656"/>
      <w:r>
        <w:rPr>
          <w:rFonts w:hint="eastAsia" w:eastAsia="宋体"/>
          <w:color w:val="auto"/>
          <w:highlight w:val="none"/>
          <w:lang w:eastAsia="zh-CN"/>
        </w:rPr>
        <w:drawing>
          <wp:anchor distT="0" distB="0" distL="114300" distR="114300" simplePos="0" relativeHeight="251660288" behindDoc="0" locked="0" layoutInCell="1" allowOverlap="1">
            <wp:simplePos x="0" y="0"/>
            <wp:positionH relativeFrom="column">
              <wp:posOffset>213995</wp:posOffset>
            </wp:positionH>
            <wp:positionV relativeFrom="paragraph">
              <wp:posOffset>22860</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黑体" w:hAnsi="黑体" w:eastAsia="黑体"/>
          <w:color w:val="auto"/>
          <w:sz w:val="32"/>
          <w:szCs w:val="32"/>
          <w:highlight w:val="none"/>
        </w:rPr>
        <w:t>收</w:t>
      </w:r>
      <w:r>
        <w:rPr>
          <w:rStyle w:val="30"/>
          <w:rFonts w:hint="eastAsia" w:ascii="黑体" w:hAnsi="黑体" w:eastAsia="黑体"/>
          <w:b w:val="0"/>
          <w:bCs/>
          <w:color w:val="auto"/>
          <w:highlight w:val="none"/>
        </w:rPr>
        <w:t>入决算情况说明</w:t>
      </w:r>
      <w:bookmarkEnd w:id="49"/>
      <w:bookmarkEnd w:id="50"/>
      <w:bookmarkEnd w:id="51"/>
      <w:bookmarkEnd w:id="52"/>
    </w:p>
    <w:p w14:paraId="439DE353">
      <w:pPr>
        <w:spacing w:line="600" w:lineRule="exact"/>
        <w:ind w:firstLine="640" w:firstLineChars="200"/>
        <w:outlineLvl w:val="1"/>
        <w:rPr>
          <w:rFonts w:hint="eastAsia" w:ascii="仿宋" w:hAnsi="仿宋" w:eastAsia="仿宋"/>
          <w:color w:val="auto"/>
          <w:sz w:val="32"/>
          <w:szCs w:val="32"/>
          <w:highlight w:val="none"/>
        </w:rPr>
      </w:pPr>
      <w:bookmarkStart w:id="53" w:name="_Toc9365"/>
      <w:bookmarkStart w:id="54" w:name="_Toc16001"/>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21年本年收入合计</w:t>
      </w:r>
      <w:r>
        <w:rPr>
          <w:rFonts w:hint="eastAsia" w:ascii="仿宋" w:hAnsi="仿宋" w:eastAsia="仿宋"/>
          <w:color w:val="auto"/>
          <w:sz w:val="32"/>
          <w:szCs w:val="32"/>
          <w:highlight w:val="none"/>
          <w:lang w:eastAsia="zh-CN"/>
        </w:rPr>
        <w:t>708.33</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708.33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53"/>
      <w:bookmarkEnd w:id="54"/>
    </w:p>
    <w:p w14:paraId="6A158CF1">
      <w:pPr>
        <w:pStyle w:val="16"/>
        <w:rPr>
          <w:rFonts w:hint="eastAsia" w:eastAsia="宋体"/>
          <w:color w:val="auto"/>
          <w:highlight w:val="none"/>
          <w:lang w:eastAsia="zh-CN"/>
        </w:rPr>
      </w:pPr>
      <w:r>
        <w:rPr>
          <w:rFonts w:hint="eastAsia" w:eastAsia="宋体"/>
          <w:color w:val="auto"/>
          <w:highlight w:val="none"/>
          <w:lang w:eastAsia="zh-CN"/>
        </w:rPr>
        <w:drawing>
          <wp:anchor distT="0" distB="0" distL="114300" distR="114300" simplePos="0" relativeHeight="251661312" behindDoc="0" locked="0" layoutInCell="1" allowOverlap="1">
            <wp:simplePos x="0" y="0"/>
            <wp:positionH relativeFrom="column">
              <wp:posOffset>-38100</wp:posOffset>
            </wp:positionH>
            <wp:positionV relativeFrom="paragraph">
              <wp:posOffset>27305</wp:posOffset>
            </wp:positionV>
            <wp:extent cx="5584825" cy="219964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14:paraId="2740E671">
      <w:pPr>
        <w:pStyle w:val="4"/>
        <w:bidi w:val="0"/>
        <w:ind w:firstLine="643" w:firstLineChars="200"/>
        <w:rPr>
          <w:color w:val="auto"/>
          <w:highlight w:val="none"/>
        </w:rPr>
      </w:pPr>
      <w:bookmarkStart w:id="55" w:name="_Toc19443"/>
      <w:bookmarkStart w:id="56" w:name="_Toc15377207"/>
      <w:bookmarkStart w:id="57" w:name="_Toc15396605"/>
      <w:r>
        <w:rPr>
          <w:rFonts w:hint="eastAsia"/>
          <w:color w:val="auto"/>
          <w:highlight w:val="none"/>
          <w:lang w:eastAsia="zh-CN"/>
        </w:rPr>
        <w:t>三、</w:t>
      </w:r>
      <w:r>
        <w:rPr>
          <w:rFonts w:hint="eastAsia"/>
          <w:color w:val="auto"/>
          <w:highlight w:val="none"/>
        </w:rPr>
        <w:t>支出决算情况说明</w:t>
      </w:r>
      <w:bookmarkEnd w:id="55"/>
      <w:bookmarkEnd w:id="56"/>
      <w:bookmarkEnd w:id="57"/>
    </w:p>
    <w:p w14:paraId="4499AB23">
      <w:pPr>
        <w:spacing w:line="600" w:lineRule="exact"/>
        <w:ind w:firstLine="640" w:firstLineChars="200"/>
        <w:outlineLvl w:val="1"/>
        <w:rPr>
          <w:rFonts w:ascii="仿宋" w:hAnsi="仿宋" w:eastAsia="仿宋"/>
          <w:color w:val="auto"/>
          <w:sz w:val="32"/>
          <w:szCs w:val="32"/>
          <w:highlight w:val="none"/>
        </w:rPr>
      </w:pPr>
      <w:bookmarkStart w:id="58" w:name="_Toc5212"/>
      <w:bookmarkStart w:id="59" w:name="_Toc4846"/>
      <w:r>
        <w:rPr>
          <w:rFonts w:hint="eastAsia" w:ascii="仿宋" w:hAnsi="仿宋" w:eastAsia="仿宋"/>
          <w:color w:val="auto"/>
          <w:sz w:val="32"/>
          <w:szCs w:val="32"/>
          <w:highlight w:val="none"/>
          <w:shd w:val="pct10" w:color="auto" w:fill="FFFFFF"/>
        </w:rPr>
        <w:drawing>
          <wp:anchor distT="0" distB="0" distL="114300" distR="114300" simplePos="0" relativeHeight="251659264" behindDoc="0" locked="0" layoutInCell="1" allowOverlap="1">
            <wp:simplePos x="0" y="0"/>
            <wp:positionH relativeFrom="column">
              <wp:posOffset>43815</wp:posOffset>
            </wp:positionH>
            <wp:positionV relativeFrom="paragraph">
              <wp:posOffset>889635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21年本年支出合计</w:t>
      </w:r>
      <w:r>
        <w:rPr>
          <w:rFonts w:hint="eastAsia" w:ascii="仿宋" w:hAnsi="仿宋" w:eastAsia="仿宋"/>
          <w:color w:val="auto"/>
          <w:sz w:val="32"/>
          <w:szCs w:val="32"/>
          <w:highlight w:val="none"/>
          <w:lang w:eastAsia="zh-CN"/>
        </w:rPr>
        <w:t>708.33</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eastAsia="zh-CN"/>
        </w:rPr>
        <w:t>406.33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eastAsia="zh-CN"/>
        </w:rPr>
        <w:t>57.36</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eastAsia="zh-CN"/>
        </w:rPr>
        <w:t>302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eastAsia="zh-CN"/>
        </w:rPr>
        <w:t>42.64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58"/>
      <w:bookmarkEnd w:id="59"/>
    </w:p>
    <w:p w14:paraId="3A9C2D0D">
      <w:pPr>
        <w:spacing w:line="600" w:lineRule="exact"/>
        <w:ind w:firstLine="640" w:firstLineChars="200"/>
        <w:outlineLvl w:val="1"/>
        <w:rPr>
          <w:rStyle w:val="30"/>
          <w:rFonts w:ascii="黑体" w:hAnsi="黑体" w:eastAsia="黑体"/>
          <w:b w:val="0"/>
          <w:color w:val="auto"/>
          <w:highlight w:val="none"/>
        </w:rPr>
      </w:pPr>
      <w:bookmarkStart w:id="60" w:name="_Toc15377208"/>
      <w:bookmarkStart w:id="61" w:name="_Toc15396606"/>
      <w:bookmarkStart w:id="62" w:name="_Toc20681"/>
      <w:bookmarkStart w:id="63" w:name="_Toc4956"/>
      <w:r>
        <w:rPr>
          <w:rFonts w:hint="eastAsia" w:ascii="黑体" w:hAnsi="黑体" w:eastAsia="黑体"/>
          <w:color w:val="auto"/>
          <w:sz w:val="32"/>
          <w:szCs w:val="32"/>
          <w:highlight w:val="none"/>
        </w:rPr>
        <w:t>四、财</w:t>
      </w:r>
      <w:r>
        <w:rPr>
          <w:rStyle w:val="30"/>
          <w:rFonts w:hint="eastAsia" w:ascii="黑体" w:hAnsi="黑体" w:eastAsia="黑体"/>
          <w:b w:val="0"/>
          <w:color w:val="auto"/>
          <w:highlight w:val="none"/>
        </w:rPr>
        <w:t>政拨款收入支出决算总体情况说明</w:t>
      </w:r>
      <w:bookmarkEnd w:id="60"/>
      <w:bookmarkEnd w:id="61"/>
      <w:bookmarkEnd w:id="62"/>
      <w:bookmarkEnd w:id="63"/>
    </w:p>
    <w:p w14:paraId="030A194A">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21年财政拨款收、支总计</w:t>
      </w:r>
      <w:r>
        <w:rPr>
          <w:rFonts w:hint="eastAsia" w:ascii="仿宋" w:hAnsi="仿宋" w:eastAsia="仿宋"/>
          <w:color w:val="auto"/>
          <w:sz w:val="32"/>
          <w:szCs w:val="32"/>
          <w:highlight w:val="none"/>
          <w:lang w:eastAsia="zh-CN"/>
        </w:rPr>
        <w:t>708.33</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20年相比，财政拨款收、支总计各增加</w:t>
      </w:r>
      <w:r>
        <w:rPr>
          <w:rFonts w:hint="eastAsia" w:ascii="仿宋" w:hAnsi="仿宋" w:eastAsia="仿宋"/>
          <w:color w:val="auto"/>
          <w:sz w:val="32"/>
          <w:szCs w:val="32"/>
          <w:highlight w:val="none"/>
          <w:lang w:eastAsia="zh-CN"/>
        </w:rPr>
        <w:t>11.13</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eastAsia="zh-CN"/>
        </w:rPr>
        <w:t>1.60</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基本支出增加</w:t>
      </w:r>
      <w:r>
        <w:rPr>
          <w:rFonts w:hint="eastAsia" w:ascii="仿宋" w:hAnsi="仿宋" w:eastAsia="仿宋"/>
          <w:color w:val="auto"/>
          <w:sz w:val="32"/>
          <w:szCs w:val="32"/>
          <w:highlight w:val="none"/>
        </w:rPr>
        <w:t>。</w:t>
      </w:r>
    </w:p>
    <w:p w14:paraId="76E4ECAE">
      <w:pPr>
        <w:pStyle w:val="16"/>
        <w:rPr>
          <w:color w:val="auto"/>
          <w:highlight w:val="none"/>
        </w:rPr>
      </w:pPr>
      <w:r>
        <w:rPr>
          <w:rFonts w:hint="eastAsia" w:eastAsia="宋体"/>
          <w:color w:val="auto"/>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208280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2270920F">
      <w:pPr>
        <w:pStyle w:val="4"/>
        <w:bidi w:val="0"/>
        <w:ind w:firstLine="643" w:firstLineChars="200"/>
        <w:jc w:val="center"/>
        <w:rPr>
          <w:color w:val="auto"/>
          <w:highlight w:val="none"/>
        </w:rPr>
      </w:pPr>
      <w:bookmarkStart w:id="64" w:name="_Toc15377209"/>
      <w:bookmarkStart w:id="65" w:name="_Toc15396607"/>
      <w:bookmarkStart w:id="66" w:name="_Toc24925"/>
      <w:bookmarkStart w:id="67" w:name="_Toc9977"/>
      <w:r>
        <w:rPr>
          <w:rFonts w:hint="eastAsia"/>
          <w:color w:val="auto"/>
          <w:highlight w:val="none"/>
        </w:rPr>
        <w:t>五、一般公共预算财政拨款支出决算情况说明</w:t>
      </w:r>
      <w:bookmarkEnd w:id="64"/>
      <w:bookmarkEnd w:id="65"/>
      <w:bookmarkEnd w:id="66"/>
      <w:bookmarkEnd w:id="67"/>
    </w:p>
    <w:p w14:paraId="522F6ED8">
      <w:pPr>
        <w:pStyle w:val="5"/>
        <w:bidi w:val="0"/>
        <w:ind w:firstLine="643" w:firstLineChars="200"/>
        <w:rPr>
          <w:color w:val="auto"/>
          <w:highlight w:val="none"/>
        </w:rPr>
      </w:pPr>
      <w:bookmarkStart w:id="68" w:name="_Toc28716"/>
      <w:bookmarkStart w:id="69" w:name="_Toc15377210"/>
      <w:r>
        <w:rPr>
          <w:rFonts w:hint="eastAsia"/>
          <w:color w:val="auto"/>
          <w:highlight w:val="none"/>
        </w:rPr>
        <w:t>（一）一般公共预算财政拨款支出决算总体情况</w:t>
      </w:r>
      <w:bookmarkEnd w:id="68"/>
      <w:bookmarkEnd w:id="69"/>
    </w:p>
    <w:p w14:paraId="286DB77F">
      <w:pPr>
        <w:spacing w:line="600" w:lineRule="exact"/>
        <w:ind w:firstLine="640"/>
        <w:rPr>
          <w:rFonts w:hint="eastAsia" w:ascii="仿宋" w:hAnsi="仿宋" w:eastAsia="仿宋"/>
          <w:b/>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eastAsia="zh-CN"/>
        </w:rPr>
        <w:t>70</w:t>
      </w:r>
      <w:r>
        <w:rPr>
          <w:rFonts w:hint="eastAsia" w:ascii="仿宋" w:hAnsi="仿宋" w:eastAsia="仿宋"/>
          <w:color w:val="auto"/>
          <w:sz w:val="32"/>
          <w:szCs w:val="32"/>
          <w:highlight w:val="none"/>
          <w:lang w:val="en-US" w:eastAsia="zh-CN"/>
        </w:rPr>
        <w:t>8</w:t>
      </w:r>
      <w:r>
        <w:rPr>
          <w:rFonts w:hint="eastAsia" w:ascii="仿宋" w:hAnsi="仿宋" w:eastAsia="仿宋"/>
          <w:color w:val="auto"/>
          <w:sz w:val="32"/>
          <w:szCs w:val="32"/>
          <w:highlight w:val="none"/>
          <w:lang w:eastAsia="zh-CN"/>
        </w:rPr>
        <w:t>.33</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w:t>
      </w:r>
      <w:r>
        <w:rPr>
          <w:rFonts w:hint="eastAsia" w:ascii="仿宋" w:hAnsi="仿宋" w:eastAsia="仿宋"/>
          <w:color w:val="auto"/>
          <w:sz w:val="32"/>
          <w:szCs w:val="32"/>
          <w:highlight w:val="none"/>
          <w:lang w:val="en-US" w:eastAsia="zh-CN"/>
        </w:rPr>
        <w:t>694.20</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相比，一般公共预算财政拨款支出增加</w:t>
      </w:r>
      <w:r>
        <w:rPr>
          <w:rFonts w:hint="eastAsia" w:ascii="仿宋" w:hAnsi="仿宋" w:eastAsia="仿宋"/>
          <w:color w:val="auto"/>
          <w:sz w:val="32"/>
          <w:szCs w:val="32"/>
          <w:highlight w:val="none"/>
          <w:lang w:val="en-US" w:eastAsia="zh-CN"/>
        </w:rPr>
        <w:t>14.13</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2.04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基本支出增加</w:t>
      </w:r>
      <w:r>
        <w:rPr>
          <w:rFonts w:hint="eastAsia" w:ascii="仿宋" w:hAnsi="仿宋" w:eastAsia="仿宋"/>
          <w:color w:val="auto"/>
          <w:sz w:val="32"/>
          <w:szCs w:val="32"/>
          <w:highlight w:val="none"/>
        </w:rPr>
        <w:t>。</w:t>
      </w:r>
    </w:p>
    <w:p w14:paraId="29C9D7CF">
      <w:pPr>
        <w:pStyle w:val="5"/>
        <w:bidi w:val="0"/>
        <w:rPr>
          <w:color w:val="auto"/>
          <w:highlight w:val="none"/>
        </w:rPr>
      </w:pPr>
      <w:bookmarkStart w:id="70" w:name="_Toc25913"/>
      <w:bookmarkStart w:id="71" w:name="_Toc15377211"/>
      <w:r>
        <w:rPr>
          <w:rFonts w:hint="eastAsia"/>
          <w:color w:val="auto"/>
          <w:highlight w:val="none"/>
          <w:lang w:eastAsia="zh-CN"/>
        </w:rPr>
        <w:drawing>
          <wp:anchor distT="0" distB="0" distL="114300" distR="114300" simplePos="0" relativeHeight="251663360"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color w:val="auto"/>
          <w:highlight w:val="none"/>
        </w:rPr>
        <w:t>（二）一般公共预算财政拨款支出决算结构情况</w:t>
      </w:r>
      <w:bookmarkEnd w:id="70"/>
      <w:bookmarkEnd w:id="71"/>
    </w:p>
    <w:p w14:paraId="5FD8DEDA">
      <w:pPr>
        <w:spacing w:line="600" w:lineRule="exact"/>
        <w:ind w:firstLine="640"/>
        <w:rPr>
          <w:rFonts w:ascii="仿宋" w:hAnsi="仿宋" w:eastAsia="仿宋"/>
          <w:color w:val="auto"/>
          <w:sz w:val="32"/>
          <w:szCs w:val="32"/>
          <w:highlight w:val="none"/>
        </w:rPr>
      </w:pPr>
      <w:r>
        <w:rPr>
          <w:rFonts w:hint="eastAsia" w:ascii="仿宋" w:hAnsi="仿宋" w:eastAsia="仿宋"/>
          <w:b/>
          <w:color w:val="auto"/>
          <w:sz w:val="32"/>
          <w:szCs w:val="32"/>
          <w:highlight w:val="none"/>
        </w:rPr>
        <w:drawing>
          <wp:anchor distT="0" distB="0" distL="114300" distR="114300" simplePos="0" relativeHeight="251664384" behindDoc="0" locked="0" layoutInCell="1" allowOverlap="1">
            <wp:simplePos x="0" y="0"/>
            <wp:positionH relativeFrom="column">
              <wp:posOffset>61595</wp:posOffset>
            </wp:positionH>
            <wp:positionV relativeFrom="paragraph">
              <wp:posOffset>1252220</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eastAsia="zh-CN"/>
        </w:rPr>
        <w:t>70</w:t>
      </w:r>
      <w:r>
        <w:rPr>
          <w:rFonts w:hint="eastAsia" w:ascii="仿宋" w:hAnsi="仿宋" w:eastAsia="仿宋"/>
          <w:color w:val="auto"/>
          <w:sz w:val="32"/>
          <w:szCs w:val="32"/>
          <w:highlight w:val="none"/>
          <w:lang w:val="en-US" w:eastAsia="zh-CN"/>
        </w:rPr>
        <w:t>8</w:t>
      </w:r>
      <w:r>
        <w:rPr>
          <w:rFonts w:hint="eastAsia" w:ascii="仿宋" w:hAnsi="仿宋" w:eastAsia="仿宋"/>
          <w:color w:val="auto"/>
          <w:sz w:val="32"/>
          <w:szCs w:val="32"/>
          <w:highlight w:val="none"/>
          <w:lang w:eastAsia="zh-CN"/>
        </w:rPr>
        <w:t>.33</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教育支出（类）</w:t>
      </w:r>
      <w:r>
        <w:rPr>
          <w:rFonts w:hint="eastAsia" w:ascii="仿宋" w:hAnsi="仿宋" w:eastAsia="仿宋"/>
          <w:color w:val="auto"/>
          <w:sz w:val="32"/>
          <w:szCs w:val="32"/>
          <w:highlight w:val="none"/>
          <w:lang w:val="en-US" w:eastAsia="zh-CN"/>
        </w:rPr>
        <w:t>706.33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99.72</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b/>
          <w:bCs/>
          <w:color w:val="auto"/>
          <w:sz w:val="32"/>
          <w:szCs w:val="32"/>
          <w:highlight w:val="none"/>
        </w:rPr>
        <w:t>文化旅游体育与传媒支出</w:t>
      </w:r>
      <w:r>
        <w:rPr>
          <w:rFonts w:hint="eastAsia" w:ascii="仿宋" w:hAnsi="仿宋" w:eastAsia="仿宋"/>
          <w:b/>
          <w:color w:val="auto"/>
          <w:sz w:val="32"/>
          <w:szCs w:val="32"/>
          <w:highlight w:val="none"/>
        </w:rPr>
        <w:t>（类）</w:t>
      </w:r>
      <w:r>
        <w:rPr>
          <w:rFonts w:hint="eastAsia" w:ascii="仿宋" w:hAnsi="仿宋" w:eastAsia="仿宋"/>
          <w:color w:val="auto"/>
          <w:sz w:val="32"/>
          <w:szCs w:val="32"/>
          <w:highlight w:val="none"/>
          <w:lang w:val="en-US" w:eastAsia="zh-CN"/>
        </w:rPr>
        <w:t>2万元，占0.28%。</w:t>
      </w:r>
    </w:p>
    <w:p w14:paraId="370CFB6B">
      <w:pPr>
        <w:pStyle w:val="5"/>
        <w:bidi w:val="0"/>
        <w:ind w:firstLine="321" w:firstLineChars="100"/>
        <w:rPr>
          <w:color w:val="auto"/>
          <w:highlight w:val="none"/>
        </w:rPr>
      </w:pPr>
      <w:bookmarkStart w:id="72" w:name="_Toc15377212"/>
      <w:bookmarkStart w:id="73" w:name="_Toc15829"/>
      <w:r>
        <w:rPr>
          <w:rFonts w:hint="eastAsia"/>
          <w:color w:val="auto"/>
          <w:highlight w:val="none"/>
        </w:rPr>
        <w:t>（三）一般公共预算财政拨款支出决算具体情况</w:t>
      </w:r>
      <w:bookmarkEnd w:id="72"/>
      <w:bookmarkEnd w:id="73"/>
    </w:p>
    <w:p w14:paraId="299241A9">
      <w:pPr>
        <w:spacing w:line="600" w:lineRule="exact"/>
        <w:ind w:firstLine="643" w:firstLineChars="200"/>
        <w:outlineLvl w:val="2"/>
        <w:rPr>
          <w:rFonts w:ascii="仿宋" w:hAnsi="仿宋" w:eastAsia="仿宋"/>
          <w:color w:val="auto"/>
          <w:sz w:val="32"/>
          <w:szCs w:val="32"/>
          <w:highlight w:val="none"/>
        </w:rPr>
      </w:pPr>
      <w:bookmarkStart w:id="74" w:name="_Toc30758"/>
      <w:bookmarkStart w:id="75" w:name="_Toc15377213"/>
      <w:bookmarkStart w:id="76" w:name="_Toc15377444"/>
      <w:bookmarkStart w:id="77" w:name="_Toc15378460"/>
      <w:r>
        <w:rPr>
          <w:rFonts w:hint="eastAsia" w:ascii="仿宋" w:hAnsi="仿宋" w:eastAsia="仿宋"/>
          <w:b/>
          <w:color w:val="auto"/>
          <w:sz w:val="32"/>
          <w:szCs w:val="32"/>
          <w:highlight w:val="none"/>
        </w:rPr>
        <w:t>2021年一般公共预算支出决算数为</w:t>
      </w:r>
      <w:r>
        <w:rPr>
          <w:rFonts w:hint="eastAsia" w:ascii="仿宋" w:hAnsi="仿宋" w:eastAsia="仿宋"/>
          <w:b/>
          <w:color w:val="auto"/>
          <w:sz w:val="32"/>
          <w:szCs w:val="32"/>
          <w:highlight w:val="none"/>
          <w:lang w:eastAsia="zh-CN"/>
        </w:rPr>
        <w:t>70</w:t>
      </w:r>
      <w:r>
        <w:rPr>
          <w:rFonts w:hint="eastAsia" w:ascii="仿宋" w:hAnsi="仿宋" w:eastAsia="仿宋"/>
          <w:b/>
          <w:color w:val="auto"/>
          <w:sz w:val="32"/>
          <w:szCs w:val="32"/>
          <w:highlight w:val="none"/>
          <w:lang w:val="en-US" w:eastAsia="zh-CN"/>
        </w:rPr>
        <w:t>8</w:t>
      </w:r>
      <w:r>
        <w:rPr>
          <w:rFonts w:hint="eastAsia" w:ascii="仿宋" w:hAnsi="仿宋" w:eastAsia="仿宋"/>
          <w:b/>
          <w:color w:val="auto"/>
          <w:sz w:val="32"/>
          <w:szCs w:val="32"/>
          <w:highlight w:val="none"/>
          <w:lang w:eastAsia="zh-CN"/>
        </w:rPr>
        <w:t>.33</w:t>
      </w:r>
      <w:r>
        <w:rPr>
          <w:rFonts w:hint="eastAsia" w:ascii="仿宋" w:hAnsi="仿宋" w:eastAsia="仿宋"/>
          <w:b/>
          <w:color w:val="auto"/>
          <w:sz w:val="32"/>
          <w:szCs w:val="32"/>
          <w:highlight w:val="none"/>
          <w:lang w:val="en-US" w:eastAsia="zh-CN"/>
        </w:rPr>
        <w:t>万元</w:t>
      </w:r>
      <w:r>
        <w:rPr>
          <w:rFonts w:hint="eastAsia" w:ascii="仿宋" w:hAnsi="仿宋" w:eastAsia="仿宋"/>
          <w:color w:val="auto"/>
          <w:sz w:val="32"/>
          <w:szCs w:val="32"/>
          <w:highlight w:val="none"/>
        </w:rPr>
        <w:t>，</w:t>
      </w:r>
      <w:r>
        <w:rPr>
          <w:rStyle w:val="19"/>
          <w:rFonts w:hint="eastAsia" w:ascii="仿宋" w:hAnsi="仿宋" w:eastAsia="仿宋"/>
          <w:bCs/>
          <w:color w:val="auto"/>
          <w:sz w:val="32"/>
          <w:szCs w:val="32"/>
          <w:highlight w:val="none"/>
        </w:rPr>
        <w:t>完成预算100</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。其中：</w:t>
      </w:r>
      <w:bookmarkEnd w:id="74"/>
      <w:bookmarkEnd w:id="75"/>
      <w:bookmarkEnd w:id="76"/>
      <w:bookmarkEnd w:id="77"/>
    </w:p>
    <w:p w14:paraId="6CDEC8CB">
      <w:pPr>
        <w:spacing w:line="600" w:lineRule="exact"/>
        <w:ind w:firstLine="643" w:firstLineChars="200"/>
        <w:rPr>
          <w:rFonts w:ascii="仿宋" w:hAnsi="仿宋" w:eastAsia="仿宋"/>
          <w:b/>
          <w:color w:val="auto"/>
          <w:sz w:val="32"/>
          <w:szCs w:val="32"/>
          <w:highlight w:val="none"/>
        </w:rPr>
      </w:pPr>
      <w:r>
        <w:rPr>
          <w:rStyle w:val="19"/>
          <w:rFonts w:hint="eastAsia" w:ascii="仿宋" w:hAnsi="仿宋" w:eastAsia="仿宋"/>
          <w:bCs/>
          <w:color w:val="auto"/>
          <w:sz w:val="32"/>
          <w:szCs w:val="32"/>
          <w:highlight w:val="none"/>
        </w:rPr>
        <w:t>1.教育205（类）普通教育02（款）小学教育02（项）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eastAsia="zh-CN"/>
        </w:rPr>
        <w:t>406.33</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14:paraId="3C0A70CA">
      <w:pPr>
        <w:spacing w:line="600" w:lineRule="exact"/>
        <w:ind w:firstLine="643" w:firstLineChars="200"/>
        <w:rPr>
          <w:rStyle w:val="19"/>
          <w:rFonts w:hint="eastAsia"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rPr>
        <w:t>2</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教育205（类）</w:t>
      </w:r>
      <w:r>
        <w:rPr>
          <w:rStyle w:val="19"/>
          <w:rFonts w:hint="eastAsia" w:ascii="仿宋" w:hAnsi="仿宋" w:eastAsia="仿宋"/>
          <w:bCs/>
          <w:color w:val="auto"/>
          <w:sz w:val="32"/>
          <w:szCs w:val="32"/>
          <w:highlight w:val="none"/>
          <w:lang w:eastAsia="zh-CN"/>
        </w:rPr>
        <w:t>普通教育</w:t>
      </w:r>
      <w:r>
        <w:rPr>
          <w:rStyle w:val="19"/>
          <w:rFonts w:hint="eastAsia" w:ascii="仿宋" w:hAnsi="仿宋" w:eastAsia="仿宋"/>
          <w:bCs/>
          <w:color w:val="auto"/>
          <w:sz w:val="32"/>
          <w:szCs w:val="32"/>
          <w:highlight w:val="none"/>
        </w:rPr>
        <w:t>0</w:t>
      </w:r>
      <w:r>
        <w:rPr>
          <w:rStyle w:val="19"/>
          <w:rFonts w:hint="eastAsia" w:ascii="仿宋" w:hAnsi="仿宋" w:eastAsia="仿宋"/>
          <w:bCs/>
          <w:color w:val="auto"/>
          <w:sz w:val="32"/>
          <w:szCs w:val="32"/>
          <w:highlight w:val="none"/>
          <w:lang w:val="en-US" w:eastAsia="zh-CN"/>
        </w:rPr>
        <w:t>2</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eastAsia="zh-CN"/>
        </w:rPr>
        <w:t>其他普通教育支出</w:t>
      </w:r>
      <w:r>
        <w:rPr>
          <w:rStyle w:val="19"/>
          <w:rFonts w:hint="eastAsia" w:ascii="仿宋" w:hAnsi="仿宋" w:eastAsia="仿宋"/>
          <w:bCs/>
          <w:color w:val="auto"/>
          <w:sz w:val="32"/>
          <w:szCs w:val="32"/>
          <w:highlight w:val="none"/>
          <w:lang w:val="en-US" w:eastAsia="zh-CN"/>
        </w:rPr>
        <w:t>99</w:t>
      </w:r>
      <w:r>
        <w:rPr>
          <w:rStyle w:val="19"/>
          <w:rFonts w:hint="eastAsia" w:ascii="仿宋" w:hAnsi="仿宋" w:eastAsia="仿宋"/>
          <w:bCs/>
          <w:color w:val="auto"/>
          <w:sz w:val="32"/>
          <w:szCs w:val="32"/>
          <w:highlight w:val="none"/>
        </w:rPr>
        <w:t>（项）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300</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14:paraId="307C3656">
      <w:pPr>
        <w:pStyle w:val="16"/>
        <w:ind w:left="0" w:leftChars="0" w:firstLine="643" w:firstLineChars="200"/>
        <w:rPr>
          <w:rFonts w:hint="eastAsia" w:eastAsia="仿宋"/>
          <w:color w:val="auto"/>
          <w:highlight w:val="none"/>
          <w:lang w:eastAsia="zh-CN"/>
        </w:rPr>
      </w:pPr>
      <w:r>
        <w:rPr>
          <w:rStyle w:val="19"/>
          <w:rFonts w:hint="eastAsia" w:ascii="仿宋" w:hAnsi="仿宋" w:eastAsia="仿宋"/>
          <w:bCs/>
          <w:color w:val="auto"/>
          <w:sz w:val="32"/>
          <w:szCs w:val="32"/>
          <w:highlight w:val="none"/>
          <w:lang w:val="en-US" w:eastAsia="zh-CN"/>
        </w:rPr>
        <w:t>3</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文化旅游体育与传媒</w:t>
      </w:r>
      <w:r>
        <w:rPr>
          <w:rStyle w:val="19"/>
          <w:rFonts w:hint="eastAsia" w:ascii="仿宋" w:hAnsi="仿宋" w:eastAsia="仿宋"/>
          <w:bCs/>
          <w:color w:val="auto"/>
          <w:sz w:val="32"/>
          <w:szCs w:val="32"/>
          <w:highlight w:val="none"/>
          <w:lang w:val="en-US" w:eastAsia="zh-CN"/>
        </w:rPr>
        <w:t>207</w:t>
      </w:r>
      <w:r>
        <w:rPr>
          <w:rStyle w:val="19"/>
          <w:rFonts w:hint="eastAsia" w:ascii="仿宋" w:hAnsi="仿宋" w:eastAsia="仿宋"/>
          <w:bCs/>
          <w:color w:val="auto"/>
          <w:sz w:val="32"/>
          <w:szCs w:val="32"/>
          <w:highlight w:val="none"/>
        </w:rPr>
        <w:t>（类）</w:t>
      </w:r>
      <w:r>
        <w:rPr>
          <w:rStyle w:val="19"/>
          <w:rFonts w:hint="eastAsia" w:ascii="仿宋" w:hAnsi="仿宋" w:eastAsia="仿宋"/>
          <w:bCs/>
          <w:color w:val="auto"/>
          <w:sz w:val="32"/>
          <w:szCs w:val="32"/>
          <w:highlight w:val="none"/>
          <w:lang w:val="en-US" w:eastAsia="zh-CN"/>
        </w:rPr>
        <w:t>99</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val="en-US" w:eastAsia="zh-CN"/>
        </w:rPr>
        <w:t>02</w:t>
      </w:r>
      <w:r>
        <w:rPr>
          <w:rStyle w:val="19"/>
          <w:rFonts w:hint="eastAsia" w:ascii="仿宋" w:hAnsi="仿宋" w:eastAsia="仿宋"/>
          <w:bCs/>
          <w:color w:val="auto"/>
          <w:sz w:val="32"/>
          <w:szCs w:val="32"/>
          <w:highlight w:val="none"/>
        </w:rPr>
        <w:t>（项）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2</w:t>
      </w:r>
      <w:r>
        <w:rPr>
          <w:rStyle w:val="19"/>
          <w:rFonts w:hint="eastAsia" w:ascii="仿宋" w:hAnsi="仿宋" w:eastAsia="仿宋"/>
          <w:b w:val="0"/>
          <w:bCs/>
          <w:color w:val="auto"/>
          <w:sz w:val="32"/>
          <w:szCs w:val="32"/>
          <w:highlight w:val="none"/>
        </w:rPr>
        <w:t>万元，完成预算</w:t>
      </w:r>
      <w:r>
        <w:rPr>
          <w:rStyle w:val="19"/>
          <w:rFonts w:hint="eastAsia" w:ascii="仿宋" w:hAnsi="仿宋" w:eastAsia="仿宋"/>
          <w:b w:val="0"/>
          <w:bCs/>
          <w:color w:val="auto"/>
          <w:sz w:val="32"/>
          <w:szCs w:val="32"/>
          <w:highlight w:val="none"/>
          <w:lang w:val="en-US" w:eastAsia="zh-CN"/>
        </w:rPr>
        <w:t>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p>
    <w:p w14:paraId="73D87B04">
      <w:pPr>
        <w:tabs>
          <w:tab w:val="right" w:pos="8306"/>
        </w:tabs>
        <w:spacing w:line="600" w:lineRule="exact"/>
        <w:ind w:firstLine="640"/>
        <w:outlineLvl w:val="1"/>
        <w:rPr>
          <w:rStyle w:val="30"/>
          <w:color w:val="auto"/>
          <w:highlight w:val="none"/>
        </w:rPr>
      </w:pPr>
      <w:bookmarkStart w:id="78" w:name="_Toc31351"/>
      <w:bookmarkStart w:id="79" w:name="_Toc15396608"/>
      <w:bookmarkStart w:id="80" w:name="_Toc23730"/>
      <w:bookmarkStart w:id="81" w:name="_Toc15377214"/>
      <w:r>
        <w:rPr>
          <w:rStyle w:val="40"/>
          <w:rFonts w:hint="eastAsia"/>
          <w:color w:val="auto"/>
          <w:highlight w:val="none"/>
        </w:rPr>
        <w:t>六、一般公共预算财政拨款基本支出决算情况说明</w:t>
      </w:r>
      <w:bookmarkEnd w:id="78"/>
      <w:bookmarkEnd w:id="79"/>
      <w:bookmarkEnd w:id="80"/>
      <w:bookmarkEnd w:id="81"/>
      <w:r>
        <w:rPr>
          <w:rStyle w:val="30"/>
          <w:rFonts w:ascii="黑体" w:hAnsi="黑体" w:eastAsia="黑体"/>
          <w:b w:val="0"/>
          <w:color w:val="auto"/>
          <w:highlight w:val="none"/>
        </w:rPr>
        <w:tab/>
      </w:r>
    </w:p>
    <w:p w14:paraId="24FD1364">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21年一般公共预算财政拨款基本支出</w:t>
      </w:r>
      <w:r>
        <w:rPr>
          <w:rFonts w:hint="eastAsia" w:ascii="仿宋" w:hAnsi="仿宋" w:eastAsia="仿宋"/>
          <w:color w:val="auto"/>
          <w:sz w:val="32"/>
          <w:szCs w:val="32"/>
          <w:highlight w:val="none"/>
          <w:lang w:eastAsia="zh-CN"/>
        </w:rPr>
        <w:t>406.33</w:t>
      </w:r>
      <w:r>
        <w:rPr>
          <w:rFonts w:hint="eastAsia" w:ascii="仿宋" w:hAnsi="仿宋" w:eastAsia="仿宋"/>
          <w:color w:val="auto"/>
          <w:sz w:val="32"/>
          <w:szCs w:val="32"/>
          <w:highlight w:val="none"/>
        </w:rPr>
        <w:t>万元，其中：</w:t>
      </w:r>
    </w:p>
    <w:p w14:paraId="4963CD89">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351.33</w:t>
      </w:r>
      <w:r>
        <w:rPr>
          <w:rFonts w:hint="eastAsia" w:ascii="仿宋" w:hAnsi="仿宋" w:eastAsia="仿宋"/>
          <w:color w:val="auto"/>
          <w:sz w:val="32"/>
          <w:szCs w:val="32"/>
          <w:highlight w:val="none"/>
        </w:rPr>
        <w:t>万元，主要包括：基本工资、津贴补贴、绩效工资、机关事业单位基本养老保险缴费、职业年金缴费、职工基本医疗保险缴费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其他工资福利支出、生活补助、助学金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奖励金等。</w:t>
      </w:r>
    </w:p>
    <w:p w14:paraId="28F978D8">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55</w:t>
      </w:r>
      <w:r>
        <w:rPr>
          <w:rFonts w:hint="eastAsia" w:ascii="仿宋" w:hAnsi="仿宋" w:eastAsia="仿宋"/>
          <w:color w:val="auto"/>
          <w:sz w:val="32"/>
          <w:szCs w:val="32"/>
          <w:highlight w:val="none"/>
        </w:rPr>
        <w:t>万元，主要包括：办公费、印刷费、手续费、水费、电费、邮电费、差旅费、维修（护）费、培训费、公务接待费、工会经费等。</w:t>
      </w:r>
    </w:p>
    <w:p w14:paraId="72B78403">
      <w:pPr>
        <w:pStyle w:val="4"/>
        <w:bidi w:val="0"/>
        <w:ind w:firstLine="643" w:firstLineChars="200"/>
        <w:rPr>
          <w:color w:val="auto"/>
          <w:highlight w:val="none"/>
        </w:rPr>
      </w:pPr>
      <w:bookmarkStart w:id="82" w:name="_Toc9892"/>
      <w:bookmarkStart w:id="83" w:name="_Toc15396609"/>
      <w:bookmarkStart w:id="84" w:name="_Toc15377215"/>
      <w:bookmarkStart w:id="85" w:name="_Toc17046"/>
      <w:r>
        <w:rPr>
          <w:rFonts w:hint="eastAsia"/>
          <w:color w:val="auto"/>
          <w:highlight w:val="none"/>
        </w:rPr>
        <w:t>七、“三公”经费财政拨款支出决算情况说明</w:t>
      </w:r>
      <w:bookmarkEnd w:id="82"/>
      <w:bookmarkEnd w:id="83"/>
      <w:bookmarkEnd w:id="84"/>
      <w:bookmarkEnd w:id="85"/>
    </w:p>
    <w:p w14:paraId="67EC6AFC">
      <w:pPr>
        <w:spacing w:line="600" w:lineRule="exact"/>
        <w:ind w:firstLine="640"/>
        <w:outlineLvl w:val="2"/>
        <w:rPr>
          <w:rFonts w:ascii="仿宋" w:hAnsi="仿宋" w:eastAsia="仿宋"/>
          <w:b/>
          <w:color w:val="auto"/>
          <w:sz w:val="32"/>
          <w:szCs w:val="32"/>
          <w:highlight w:val="none"/>
        </w:rPr>
      </w:pPr>
      <w:bookmarkStart w:id="86" w:name="_Toc15377216"/>
      <w:bookmarkStart w:id="87" w:name="_Toc29674"/>
      <w:r>
        <w:rPr>
          <w:rFonts w:hint="eastAsia" w:ascii="仿宋" w:hAnsi="仿宋" w:eastAsia="仿宋"/>
          <w:b/>
          <w:color w:val="auto"/>
          <w:sz w:val="32"/>
          <w:szCs w:val="32"/>
          <w:highlight w:val="none"/>
        </w:rPr>
        <w:t>（一）“三公”经费财政拨款支出决算总体情况说明</w:t>
      </w:r>
      <w:bookmarkEnd w:id="86"/>
      <w:bookmarkEnd w:id="87"/>
    </w:p>
    <w:p w14:paraId="00857C0F">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21年“三公”经费财政拨款支出决算为</w:t>
      </w:r>
      <w:r>
        <w:rPr>
          <w:rFonts w:hint="eastAsia" w:ascii="仿宋" w:hAnsi="仿宋" w:eastAsia="仿宋"/>
          <w:color w:val="auto"/>
          <w:sz w:val="32"/>
          <w:szCs w:val="32"/>
          <w:highlight w:val="none"/>
          <w:lang w:val="en-US" w:eastAsia="zh-CN"/>
        </w:rPr>
        <w:t>0.65</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95.59</w:t>
      </w:r>
      <w:r>
        <w:rPr>
          <w:rFonts w:ascii="仿宋" w:hAnsi="仿宋" w:eastAsia="仿宋"/>
          <w:color w:val="auto"/>
          <w:sz w:val="32"/>
          <w:szCs w:val="32"/>
          <w:highlight w:val="none"/>
        </w:rPr>
        <w:t>%</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p>
    <w:p w14:paraId="3EF82F79">
      <w:pPr>
        <w:spacing w:line="600" w:lineRule="exact"/>
        <w:ind w:firstLine="640"/>
        <w:outlineLvl w:val="2"/>
        <w:rPr>
          <w:rFonts w:ascii="仿宋" w:hAnsi="仿宋" w:eastAsia="仿宋"/>
          <w:b/>
          <w:color w:val="auto"/>
          <w:sz w:val="32"/>
          <w:szCs w:val="32"/>
          <w:highlight w:val="none"/>
        </w:rPr>
      </w:pPr>
      <w:bookmarkStart w:id="88" w:name="_Toc15377217"/>
      <w:bookmarkStart w:id="89" w:name="_Toc5410"/>
      <w:r>
        <w:rPr>
          <w:rFonts w:hint="eastAsia" w:ascii="仿宋" w:hAnsi="仿宋" w:eastAsia="仿宋"/>
          <w:b/>
          <w:color w:val="auto"/>
          <w:sz w:val="32"/>
          <w:szCs w:val="32"/>
          <w:highlight w:val="none"/>
        </w:rPr>
        <w:t>（二）“三公”经费财政拨款支出决算具体情况说明</w:t>
      </w:r>
      <w:bookmarkEnd w:id="88"/>
      <w:bookmarkEnd w:id="89"/>
    </w:p>
    <w:p w14:paraId="6DF1CAFC">
      <w:pPr>
        <w:spacing w:line="600" w:lineRule="exact"/>
        <w:ind w:firstLine="640" w:firstLineChars="20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21年“三公”经费财政拨款支出决算中，因公出国（境）费支出决算0万元，当年未安排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公务用车购置及运行维护费支出决算0万元，当年未安排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0.65</w:t>
      </w:r>
      <w:r>
        <w:rPr>
          <w:rFonts w:hint="eastAsia" w:ascii="仿宋" w:hAnsi="仿宋" w:eastAsia="仿宋"/>
          <w:color w:val="auto"/>
          <w:sz w:val="32"/>
          <w:szCs w:val="32"/>
          <w:highlight w:val="none"/>
        </w:rPr>
        <w:t>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14:paraId="06B1D3F6">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 w:hAnsi="仿宋" w:eastAsia="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_GB2312" w:hAnsi="Times New Roman" w:eastAsia="仿宋_GB2312" w:cs="仿宋_GB2312"/>
          <w:b/>
          <w:bCs w:val="0"/>
          <w:color w:val="auto"/>
          <w:kern w:val="2"/>
          <w:sz w:val="32"/>
          <w:szCs w:val="32"/>
          <w:highlight w:val="none"/>
          <w:lang w:val="en-US" w:eastAsia="zh-CN" w:bidi="ar"/>
        </w:rPr>
        <w:t>1.因公出国（境）经费支出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14:paraId="619823AE">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2.公务用车购置及运行维护费支出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14:paraId="27F4B49D">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b/>
          <w:bCs w:val="0"/>
          <w:color w:val="auto"/>
          <w:sz w:val="32"/>
          <w:szCs w:val="32"/>
          <w:highlight w:val="none"/>
          <w:lang w:val="en-US"/>
        </w:rPr>
      </w:pPr>
    </w:p>
    <w:p w14:paraId="4F1A16E5">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auto"/>
          <w:sz w:val="32"/>
          <w:szCs w:val="32"/>
          <w:highlight w:val="none"/>
          <w:lang w:val="en-US"/>
        </w:rPr>
      </w:pPr>
      <w:r>
        <w:rPr>
          <w:rFonts w:hint="eastAsia" w:ascii="仿宋_GB2312" w:hAnsi="Times New Roman" w:eastAsia="仿宋_GB2312" w:cs="仿宋_GB2312"/>
          <w:b/>
          <w:bCs/>
          <w:color w:val="auto"/>
          <w:kern w:val="2"/>
          <w:sz w:val="32"/>
          <w:szCs w:val="32"/>
          <w:highlight w:val="none"/>
          <w:lang w:val="en-US" w:eastAsia="zh-CN" w:bidi="ar"/>
        </w:rPr>
        <w:t>其中：</w:t>
      </w:r>
      <w:r>
        <w:rPr>
          <w:rFonts w:hint="eastAsia" w:ascii="仿宋_GB2312" w:hAnsi="Times New Roman" w:eastAsia="仿宋_GB2312" w:cs="仿宋_GB2312"/>
          <w:b/>
          <w:bCs w:val="0"/>
          <w:color w:val="auto"/>
          <w:kern w:val="2"/>
          <w:sz w:val="32"/>
          <w:szCs w:val="32"/>
          <w:highlight w:val="none"/>
          <w:lang w:val="en-US" w:eastAsia="zh-CN" w:bidi="ar"/>
        </w:rPr>
        <w:t>公务用车购置支出</w:t>
      </w:r>
      <w:r>
        <w:rPr>
          <w:rFonts w:hint="eastAsia" w:ascii="仿宋_GB2312" w:hAnsi="Times New Roman" w:eastAsia="仿宋_GB2312" w:cs="仿宋_GB2312"/>
          <w:bCs/>
          <w:color w:val="auto"/>
          <w:kern w:val="2"/>
          <w:sz w:val="32"/>
          <w:szCs w:val="32"/>
          <w:highlight w:val="none"/>
          <w:lang w:val="en-US" w:eastAsia="zh-CN" w:bidi="ar"/>
        </w:rPr>
        <w:t>0万元。</w:t>
      </w:r>
      <w:r>
        <w:rPr>
          <w:rFonts w:hint="eastAsia" w:ascii="仿宋_GB2312" w:eastAsia="仿宋_GB2312" w:cs="仿宋_GB2312"/>
          <w:bCs/>
          <w:color w:val="auto"/>
          <w:kern w:val="2"/>
          <w:sz w:val="32"/>
          <w:szCs w:val="32"/>
          <w:highlight w:val="none"/>
          <w:lang w:val="en-US" w:eastAsia="zh-CN" w:bidi="ar"/>
        </w:rPr>
        <w:t>全年按规定更新购置公务用车0辆，</w:t>
      </w:r>
      <w:r>
        <w:rPr>
          <w:rFonts w:hint="eastAsia" w:ascii="仿宋_GB2312" w:eastAsia="仿宋_GB2312" w:cs="仿宋_GB2312"/>
          <w:color w:val="auto"/>
          <w:kern w:val="2"/>
          <w:sz w:val="32"/>
          <w:szCs w:val="32"/>
          <w:highlight w:val="none"/>
          <w:lang w:val="en-US" w:eastAsia="zh-CN" w:bidi="ar"/>
        </w:rPr>
        <w:t>主要原因是我单位未购置公务用车。</w:t>
      </w:r>
      <w:r>
        <w:rPr>
          <w:rFonts w:hint="eastAsia" w:ascii="仿宋_GB2312" w:eastAsia="仿宋_GB2312" w:cs="仿宋_GB2312"/>
          <w:bCs/>
          <w:color w:val="auto"/>
          <w:kern w:val="2"/>
          <w:sz w:val="32"/>
          <w:szCs w:val="32"/>
          <w:highlight w:val="none"/>
          <w:lang w:val="en-US" w:eastAsia="zh-CN" w:bidi="ar"/>
        </w:rPr>
        <w:t>截止2021年12月底，单位共有公务用车0辆。</w:t>
      </w:r>
    </w:p>
    <w:p w14:paraId="4E3499A2">
      <w:pPr>
        <w:keepNext w:val="0"/>
        <w:keepLines w:val="0"/>
        <w:widowControl w:val="0"/>
        <w:suppressLineNumbers w:val="0"/>
        <w:spacing w:before="0" w:beforeAutospacing="0" w:after="0" w:afterAutospacing="0" w:line="600" w:lineRule="exact"/>
        <w:ind w:right="0" w:firstLine="643" w:firstLineChars="200"/>
        <w:jc w:val="both"/>
        <w:rPr>
          <w:color w:val="auto"/>
          <w:highlight w:val="none"/>
        </w:rPr>
      </w:pPr>
      <w:r>
        <w:rPr>
          <w:rFonts w:hint="eastAsia" w:ascii="仿宋_GB2312" w:hAnsi="Times New Roman" w:eastAsia="仿宋_GB2312" w:cs="仿宋_GB2312"/>
          <w:b/>
          <w:bCs w:val="0"/>
          <w:color w:val="auto"/>
          <w:kern w:val="2"/>
          <w:sz w:val="32"/>
          <w:szCs w:val="32"/>
          <w:highlight w:val="none"/>
          <w:lang w:val="en-US" w:eastAsia="zh-CN" w:bidi="ar"/>
        </w:rPr>
        <w:t>公务用车运行维护费支出</w:t>
      </w:r>
      <w:r>
        <w:rPr>
          <w:rFonts w:hint="eastAsia" w:ascii="仿宋_GB2312" w:hAnsi="Times New Roman" w:eastAsia="仿宋_GB2312" w:cs="仿宋_GB2312"/>
          <w:color w:val="auto"/>
          <w:kern w:val="2"/>
          <w:sz w:val="32"/>
          <w:szCs w:val="32"/>
          <w:highlight w:val="none"/>
          <w:lang w:val="en-US" w:eastAsia="zh-CN" w:bidi="ar"/>
        </w:rPr>
        <w:t>0万元。</w:t>
      </w:r>
      <w:r>
        <w:rPr>
          <w:rFonts w:hint="eastAsia" w:ascii="仿宋_GB2312" w:eastAsia="仿宋_GB2312" w:cs="仿宋_GB2312"/>
          <w:color w:val="auto"/>
          <w:kern w:val="2"/>
          <w:sz w:val="32"/>
          <w:szCs w:val="32"/>
          <w:highlight w:val="none"/>
          <w:lang w:val="en-US" w:eastAsia="zh-CN" w:bidi="ar"/>
        </w:rPr>
        <w:t>主要原因是我单位无公务用车。</w:t>
      </w:r>
    </w:p>
    <w:p w14:paraId="6A1DA9ED">
      <w:pPr>
        <w:spacing w:line="600" w:lineRule="exact"/>
        <w:ind w:firstLine="640"/>
        <w:rPr>
          <w:rFonts w:hint="default" w:ascii="Times New Roman" w:hAnsi="Times New Roman" w:eastAsia="仿宋" w:cs="Times New Roman"/>
          <w:color w:val="auto"/>
          <w:sz w:val="32"/>
          <w:szCs w:val="32"/>
          <w:highlight w:val="none"/>
        </w:rPr>
      </w:pPr>
      <w:r>
        <w:rPr>
          <w:rFonts w:ascii="仿宋_GB2312" w:eastAsia="仿宋_GB2312"/>
          <w:b/>
          <w:bCs w:val="0"/>
          <w:color w:val="auto"/>
          <w:sz w:val="32"/>
          <w:szCs w:val="32"/>
          <w:highlight w:val="none"/>
        </w:rPr>
        <w:t>3.</w:t>
      </w:r>
      <w:r>
        <w:rPr>
          <w:rFonts w:hint="default" w:ascii="Times New Roman" w:hAnsi="Times New Roman" w:eastAsia="仿宋" w:cs="Times New Roman"/>
          <w:b/>
          <w:bCs w:val="0"/>
          <w:color w:val="auto"/>
          <w:sz w:val="32"/>
          <w:szCs w:val="32"/>
          <w:highlight w:val="none"/>
        </w:rPr>
        <w:t>公务接待费支出</w:t>
      </w:r>
      <w:r>
        <w:rPr>
          <w:rFonts w:hint="eastAsia" w:ascii="仿宋" w:hAnsi="仿宋" w:eastAsia="仿宋"/>
          <w:color w:val="auto"/>
          <w:sz w:val="32"/>
          <w:szCs w:val="32"/>
          <w:highlight w:val="none"/>
          <w:lang w:val="en-US" w:eastAsia="zh-CN"/>
        </w:rPr>
        <w:t>0.65</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95.59</w:t>
      </w:r>
      <w:r>
        <w:rPr>
          <w:rFonts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0.02</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2.99</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r>
        <w:rPr>
          <w:rFonts w:hint="eastAsia" w:ascii="Times New Roman" w:hAnsi="Times New Roman" w:eastAsia="仿宋" w:cs="Times New Roman"/>
          <w:color w:val="auto"/>
          <w:sz w:val="32"/>
          <w:szCs w:val="32"/>
          <w:highlight w:val="none"/>
          <w:lang w:eastAsia="zh-CN"/>
        </w:rPr>
        <w:t>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其中：</w:t>
      </w:r>
    </w:p>
    <w:p w14:paraId="035A68F1">
      <w:pPr>
        <w:spacing w:line="600" w:lineRule="exact"/>
        <w:ind w:firstLine="64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b/>
          <w:bCs/>
          <w:color w:val="auto"/>
          <w:sz w:val="32"/>
          <w:szCs w:val="32"/>
          <w:highlight w:val="none"/>
        </w:rPr>
        <w:t>国内公务接待支出</w:t>
      </w:r>
      <w:r>
        <w:rPr>
          <w:rFonts w:hint="eastAsia" w:eastAsia="仿宋" w:cs="Times New Roman"/>
          <w:color w:val="auto"/>
          <w:sz w:val="32"/>
          <w:szCs w:val="32"/>
          <w:highlight w:val="none"/>
          <w:lang w:val="en-US" w:eastAsia="zh-CN"/>
        </w:rPr>
        <w:t>0.65</w:t>
      </w:r>
      <w:r>
        <w:rPr>
          <w:rFonts w:hint="default" w:ascii="Times New Roman" w:hAnsi="Times New Roman" w:eastAsia="仿宋" w:cs="Times New Roman"/>
          <w:color w:val="auto"/>
          <w:sz w:val="32"/>
          <w:szCs w:val="32"/>
          <w:highlight w:val="none"/>
        </w:rPr>
        <w:t>万元，主要用于</w:t>
      </w:r>
      <w:r>
        <w:rPr>
          <w:rFonts w:hint="eastAsia" w:ascii="Times New Roman" w:hAnsi="Times New Roman" w:eastAsia="仿宋" w:cs="Times New Roman"/>
          <w:color w:val="auto"/>
          <w:sz w:val="32"/>
          <w:szCs w:val="32"/>
          <w:highlight w:val="none"/>
          <w:lang w:eastAsia="zh-CN"/>
        </w:rPr>
        <w:t>接待上级来访、</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w:t>
      </w:r>
      <w:r>
        <w:rPr>
          <w:rFonts w:hint="eastAsia" w:ascii="仿宋_GB2312" w:eastAsia="仿宋_GB2312"/>
          <w:color w:val="auto"/>
          <w:sz w:val="32"/>
          <w:szCs w:val="32"/>
          <w:highlight w:val="none"/>
          <w:lang w:val="en-US" w:eastAsia="zh-CN"/>
        </w:rPr>
        <w:t>学生活动费及运动会学生用餐、交通费、体检费等</w:t>
      </w:r>
      <w:r>
        <w:rPr>
          <w:rFonts w:hint="default" w:ascii="Times New Roman" w:hAnsi="Times New Roman" w:eastAsia="仿宋" w:cs="Times New Roman"/>
          <w:color w:val="auto"/>
          <w:sz w:val="32"/>
          <w:szCs w:val="32"/>
          <w:highlight w:val="none"/>
        </w:rPr>
        <w:t>。国内公务接待</w:t>
      </w:r>
      <w:r>
        <w:rPr>
          <w:rFonts w:hint="eastAsia" w:eastAsia="仿宋" w:cs="Times New Roman"/>
          <w:color w:val="auto"/>
          <w:sz w:val="32"/>
          <w:szCs w:val="32"/>
          <w:highlight w:val="none"/>
          <w:lang w:val="en-US" w:eastAsia="zh-CN"/>
        </w:rPr>
        <w:t>34</w:t>
      </w:r>
      <w:r>
        <w:rPr>
          <w:rFonts w:hint="default" w:ascii="Times New Roman" w:hAnsi="Times New Roman" w:eastAsia="仿宋" w:cs="Times New Roman"/>
          <w:color w:val="auto"/>
          <w:sz w:val="32"/>
          <w:szCs w:val="32"/>
          <w:highlight w:val="none"/>
        </w:rPr>
        <w:t>批次，</w:t>
      </w:r>
      <w:r>
        <w:rPr>
          <w:rFonts w:hint="eastAsia" w:eastAsia="仿宋" w:cs="Times New Roman"/>
          <w:color w:val="auto"/>
          <w:sz w:val="32"/>
          <w:szCs w:val="32"/>
          <w:highlight w:val="none"/>
          <w:lang w:val="en-US" w:eastAsia="zh-CN"/>
        </w:rPr>
        <w:t>142</w:t>
      </w:r>
      <w:r>
        <w:rPr>
          <w:rFonts w:hint="default" w:ascii="Times New Roman" w:hAnsi="Times New Roman" w:eastAsia="仿宋" w:cs="Times New Roman"/>
          <w:color w:val="auto"/>
          <w:sz w:val="32"/>
          <w:szCs w:val="32"/>
          <w:highlight w:val="none"/>
        </w:rPr>
        <w:t>人次（不包括陪同人员），共计支出</w:t>
      </w:r>
      <w:r>
        <w:rPr>
          <w:rFonts w:hint="eastAsia" w:eastAsia="仿宋" w:cs="Times New Roman"/>
          <w:color w:val="auto"/>
          <w:sz w:val="32"/>
          <w:szCs w:val="32"/>
          <w:highlight w:val="none"/>
          <w:lang w:val="en-US" w:eastAsia="zh-CN"/>
        </w:rPr>
        <w:t>0.65</w:t>
      </w:r>
      <w:r>
        <w:rPr>
          <w:rFonts w:hint="default" w:ascii="Times New Roman" w:hAnsi="Times New Roman" w:eastAsia="仿宋" w:cs="Times New Roman"/>
          <w:color w:val="auto"/>
          <w:sz w:val="32"/>
          <w:szCs w:val="32"/>
          <w:highlight w:val="none"/>
        </w:rPr>
        <w:t>万元</w:t>
      </w:r>
      <w:r>
        <w:rPr>
          <w:rFonts w:hint="eastAsia" w:eastAsia="仿宋" w:cs="Times New Roman"/>
          <w:color w:val="auto"/>
          <w:sz w:val="32"/>
          <w:szCs w:val="32"/>
          <w:highlight w:val="none"/>
          <w:lang w:eastAsia="zh-CN"/>
        </w:rPr>
        <w:t>，具体内容包括</w:t>
      </w:r>
      <w:r>
        <w:rPr>
          <w:rFonts w:hint="eastAsia" w:ascii="Times New Roman" w:hAnsi="Times New Roman" w:eastAsia="仿宋" w:cs="Times New Roman"/>
          <w:color w:val="auto"/>
          <w:sz w:val="32"/>
          <w:szCs w:val="32"/>
          <w:highlight w:val="none"/>
          <w:lang w:eastAsia="zh-CN"/>
        </w:rPr>
        <w:t>接待上级来访</w:t>
      </w:r>
      <w:r>
        <w:rPr>
          <w:rFonts w:hint="eastAsia" w:eastAsia="仿宋" w:cs="Times New Roman"/>
          <w:color w:val="auto"/>
          <w:sz w:val="32"/>
          <w:szCs w:val="32"/>
          <w:highlight w:val="none"/>
          <w:lang w:val="en-US" w:eastAsia="zh-CN"/>
        </w:rPr>
        <w:t>0.2万元</w:t>
      </w:r>
      <w:r>
        <w:rPr>
          <w:rFonts w:hint="eastAsia" w:ascii="Times New Roman" w:hAnsi="Times New Roman" w:eastAsia="仿宋" w:cs="Times New Roman"/>
          <w:color w:val="auto"/>
          <w:sz w:val="32"/>
          <w:szCs w:val="32"/>
          <w:highlight w:val="none"/>
          <w:lang w:eastAsia="zh-CN"/>
        </w:rPr>
        <w:t>、</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交流0.1万元、</w:t>
      </w:r>
      <w:r>
        <w:rPr>
          <w:rFonts w:hint="eastAsia" w:ascii="仿宋_GB2312" w:eastAsia="仿宋_GB2312"/>
          <w:color w:val="auto"/>
          <w:sz w:val="32"/>
          <w:szCs w:val="32"/>
          <w:highlight w:val="none"/>
          <w:lang w:val="en-US" w:eastAsia="zh-CN"/>
        </w:rPr>
        <w:t>学生活动费及运动会学生用餐、交通费、体检费等0.35万元。</w:t>
      </w:r>
    </w:p>
    <w:p w14:paraId="79AC1DB2">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color w:val="auto"/>
          <w:sz w:val="32"/>
          <w:szCs w:val="32"/>
          <w:highlight w:val="none"/>
        </w:rPr>
        <w:t>外事接待支出</w:t>
      </w:r>
      <w:r>
        <w:rPr>
          <w:rFonts w:hint="eastAsia" w:ascii="仿宋_GB2312" w:hAnsi="Times New Roman" w:eastAsia="仿宋_GB2312" w:cs="仿宋_GB2312"/>
          <w:color w:val="auto"/>
          <w:kern w:val="2"/>
          <w:sz w:val="32"/>
          <w:szCs w:val="32"/>
          <w:highlight w:val="none"/>
          <w:lang w:val="en-US" w:eastAsia="zh-CN" w:bidi="ar"/>
        </w:rPr>
        <w:t>决算与2020年持平</w:t>
      </w:r>
      <w:r>
        <w:rPr>
          <w:rFonts w:hint="eastAsia" w:ascii="Times New Roman" w:hAnsi="Times New Roman" w:eastAsia="仿宋" w:cs="Times New Roman"/>
          <w:color w:val="auto"/>
          <w:sz w:val="32"/>
          <w:szCs w:val="32"/>
          <w:highlight w:val="none"/>
        </w:rPr>
        <w:t>。</w:t>
      </w:r>
    </w:p>
    <w:p w14:paraId="383370D6">
      <w:pPr>
        <w:spacing w:line="600" w:lineRule="exact"/>
        <w:outlineLvl w:val="1"/>
        <w:rPr>
          <w:rFonts w:ascii="黑体" w:eastAsia="黑体"/>
          <w:color w:val="auto"/>
          <w:sz w:val="32"/>
          <w:szCs w:val="32"/>
          <w:highlight w:val="none"/>
        </w:rPr>
      </w:pPr>
      <w:bookmarkStart w:id="90" w:name="_Toc15396610"/>
      <w:bookmarkStart w:id="91" w:name="_Toc15377218"/>
    </w:p>
    <w:p w14:paraId="7590F13A">
      <w:pPr>
        <w:pStyle w:val="4"/>
        <w:bidi w:val="0"/>
        <w:ind w:firstLine="643" w:firstLineChars="200"/>
        <w:jc w:val="both"/>
        <w:rPr>
          <w:color w:val="auto"/>
          <w:highlight w:val="none"/>
        </w:rPr>
      </w:pPr>
      <w:bookmarkStart w:id="92" w:name="_Toc23311"/>
      <w:bookmarkStart w:id="93" w:name="_Toc11249"/>
      <w:r>
        <w:rPr>
          <w:rFonts w:hint="eastAsia"/>
          <w:color w:val="auto"/>
          <w:highlight w:val="none"/>
        </w:rPr>
        <w:t>八、政府性基金预算支出决算情况说明</w:t>
      </w:r>
      <w:bookmarkEnd w:id="90"/>
      <w:bookmarkEnd w:id="91"/>
      <w:bookmarkEnd w:id="92"/>
      <w:bookmarkEnd w:id="93"/>
    </w:p>
    <w:p w14:paraId="1371166D">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21年政府性基金预算财政拨款支出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年本单位未在政府性基金预算拨款安排“三公”经费支出。</w:t>
      </w:r>
    </w:p>
    <w:p w14:paraId="67BA3CAA">
      <w:pPr>
        <w:pStyle w:val="16"/>
        <w:rPr>
          <w:color w:val="auto"/>
          <w:highlight w:val="none"/>
        </w:rPr>
      </w:pPr>
    </w:p>
    <w:p w14:paraId="55865DB2">
      <w:pPr>
        <w:pStyle w:val="4"/>
        <w:numPr>
          <w:ilvl w:val="0"/>
          <w:numId w:val="3"/>
        </w:numPr>
        <w:bidi w:val="0"/>
        <w:ind w:left="0" w:leftChars="0" w:firstLine="643" w:firstLineChars="200"/>
        <w:rPr>
          <w:color w:val="auto"/>
          <w:highlight w:val="none"/>
        </w:rPr>
      </w:pPr>
      <w:bookmarkStart w:id="94" w:name="_Toc32380"/>
      <w:bookmarkStart w:id="95" w:name="_Toc15396611"/>
      <w:bookmarkStart w:id="96" w:name="_Toc20033"/>
      <w:bookmarkStart w:id="97" w:name="_Toc15377219"/>
      <w:r>
        <w:rPr>
          <w:rFonts w:hint="eastAsia"/>
          <w:color w:val="auto"/>
          <w:highlight w:val="none"/>
        </w:rPr>
        <w:t>国有资本经营预算支出决算情况说明</w:t>
      </w:r>
      <w:bookmarkEnd w:id="94"/>
      <w:bookmarkEnd w:id="95"/>
      <w:bookmarkEnd w:id="96"/>
      <w:bookmarkEnd w:id="97"/>
    </w:p>
    <w:p w14:paraId="6B5B35E5">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21年国有资本经营预算财政拨款支出0万元，年初未安排预算。</w:t>
      </w:r>
    </w:p>
    <w:p w14:paraId="4B8EAA4A">
      <w:pPr>
        <w:spacing w:line="580" w:lineRule="exact"/>
        <w:rPr>
          <w:rFonts w:ascii="方正小标宋简体" w:hAnsi="方正小标宋简体" w:eastAsia="方正小标宋简体" w:cs="方正小标宋简体"/>
          <w:color w:val="auto"/>
          <w:sz w:val="44"/>
          <w:szCs w:val="44"/>
          <w:highlight w:val="none"/>
        </w:rPr>
      </w:pPr>
    </w:p>
    <w:p w14:paraId="43A7DB04">
      <w:pPr>
        <w:pStyle w:val="4"/>
        <w:numPr>
          <w:ilvl w:val="0"/>
          <w:numId w:val="3"/>
        </w:numPr>
        <w:bidi w:val="0"/>
        <w:ind w:left="0" w:leftChars="0" w:firstLine="643" w:firstLineChars="200"/>
        <w:rPr>
          <w:color w:val="auto"/>
          <w:highlight w:val="none"/>
        </w:rPr>
      </w:pPr>
      <w:bookmarkStart w:id="98" w:name="_Toc32223"/>
      <w:bookmarkStart w:id="99" w:name="_Toc7879"/>
      <w:bookmarkStart w:id="100" w:name="_Toc15396612"/>
      <w:bookmarkStart w:id="101" w:name="_Toc15377221"/>
      <w:r>
        <w:rPr>
          <w:rFonts w:hint="eastAsia"/>
          <w:color w:val="auto"/>
          <w:highlight w:val="none"/>
        </w:rPr>
        <w:t>预算绩效管理情况</w:t>
      </w:r>
      <w:bookmarkEnd w:id="98"/>
      <w:bookmarkEnd w:id="99"/>
    </w:p>
    <w:p w14:paraId="5AE75EDA">
      <w:pPr>
        <w:spacing w:line="58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根据预算绩效管理要求，本单位在2021年度预算编制阶段，因无项目支出，故不涉及事前评估和项目绩效目标，预算执行过程中，</w:t>
      </w:r>
      <w:r>
        <w:rPr>
          <w:rFonts w:hint="eastAsia" w:ascii="仿宋_GB2312" w:hAnsi="仿宋_GB2312" w:eastAsia="仿宋_GB2312" w:cs="仿宋_GB2312"/>
          <w:color w:val="auto"/>
          <w:sz w:val="32"/>
          <w:szCs w:val="32"/>
          <w:highlight w:val="none"/>
          <w:lang w:eastAsia="zh-CN"/>
        </w:rPr>
        <w:t>对追加预算教师周转房建设项目项目</w:t>
      </w:r>
      <w:r>
        <w:rPr>
          <w:rFonts w:hint="eastAsia" w:ascii="仿宋_GB2312" w:hAnsi="仿宋_GB2312" w:eastAsia="仿宋_GB2312" w:cs="仿宋_GB2312"/>
          <w:color w:val="auto"/>
          <w:sz w:val="32"/>
          <w:szCs w:val="32"/>
          <w:highlight w:val="none"/>
        </w:rPr>
        <w:t>编制了绩效目标</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开展</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运行</w:t>
      </w:r>
      <w:r>
        <w:rPr>
          <w:rFonts w:hint="eastAsia" w:ascii="仿宋_GB2312" w:hAnsi="仿宋_GB2312" w:eastAsia="仿宋_GB2312" w:cs="仿宋_GB2312"/>
          <w:color w:val="auto"/>
          <w:sz w:val="32"/>
          <w:szCs w:val="32"/>
          <w:highlight w:val="none"/>
        </w:rPr>
        <w:t>监控，年终执行完毕后，对</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14:paraId="6CFAA2BB">
      <w:pPr>
        <w:pStyle w:val="2"/>
        <w:spacing w:before="93"/>
        <w:rPr>
          <w:color w:val="auto"/>
          <w:highlight w:val="none"/>
        </w:rPr>
      </w:pPr>
    </w:p>
    <w:p w14:paraId="7510AED5">
      <w:pPr>
        <w:pStyle w:val="4"/>
        <w:numPr>
          <w:ilvl w:val="0"/>
          <w:numId w:val="3"/>
        </w:numPr>
        <w:bidi w:val="0"/>
        <w:ind w:left="0" w:leftChars="0" w:firstLine="643" w:firstLineChars="200"/>
        <w:rPr>
          <w:color w:val="auto"/>
          <w:highlight w:val="none"/>
        </w:rPr>
      </w:pPr>
      <w:bookmarkStart w:id="102" w:name="_Toc8097"/>
      <w:bookmarkStart w:id="103" w:name="_Toc22090"/>
      <w:r>
        <w:rPr>
          <w:rFonts w:hint="eastAsia"/>
          <w:color w:val="auto"/>
          <w:highlight w:val="none"/>
        </w:rPr>
        <w:t>其他重要事项的情况说明</w:t>
      </w:r>
      <w:bookmarkEnd w:id="100"/>
      <w:bookmarkEnd w:id="101"/>
      <w:bookmarkEnd w:id="102"/>
      <w:bookmarkEnd w:id="103"/>
    </w:p>
    <w:p w14:paraId="07CC7282">
      <w:pPr>
        <w:spacing w:line="600" w:lineRule="exact"/>
        <w:ind w:firstLine="643" w:firstLineChars="200"/>
        <w:outlineLvl w:val="2"/>
        <w:rPr>
          <w:rFonts w:ascii="仿宋" w:hAnsi="仿宋" w:eastAsia="仿宋"/>
          <w:color w:val="auto"/>
          <w:sz w:val="32"/>
          <w:szCs w:val="32"/>
          <w:highlight w:val="none"/>
        </w:rPr>
      </w:pPr>
      <w:bookmarkStart w:id="104" w:name="_Toc15377222"/>
      <w:bookmarkStart w:id="105" w:name="_Toc13201"/>
      <w:r>
        <w:rPr>
          <w:rFonts w:hint="eastAsia" w:ascii="仿宋" w:hAnsi="仿宋" w:eastAsia="仿宋"/>
          <w:b/>
          <w:color w:val="auto"/>
          <w:sz w:val="32"/>
          <w:szCs w:val="32"/>
          <w:highlight w:val="none"/>
        </w:rPr>
        <w:t>（一）机关运行经费支出情况</w:t>
      </w:r>
      <w:bookmarkEnd w:id="104"/>
      <w:bookmarkEnd w:id="105"/>
    </w:p>
    <w:p w14:paraId="264D9A27">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color w:val="auto"/>
          <w:sz w:val="32"/>
          <w:szCs w:val="32"/>
          <w:highlight w:val="none"/>
          <w:lang w:val="en-US"/>
        </w:rPr>
      </w:pPr>
      <w:bookmarkStart w:id="106" w:name="_Toc15377223"/>
      <w:r>
        <w:rPr>
          <w:rFonts w:hint="eastAsia" w:ascii="仿宋_GB2312" w:hAnsi="Times New Roman" w:eastAsia="仿宋_GB2312" w:cs="仿宋_GB2312"/>
          <w:color w:val="auto"/>
          <w:kern w:val="2"/>
          <w:sz w:val="32"/>
          <w:szCs w:val="32"/>
          <w:highlight w:val="none"/>
          <w:lang w:val="en-US" w:eastAsia="zh-CN" w:bidi="ar"/>
        </w:rPr>
        <w:t>202</w:t>
      </w:r>
      <w:r>
        <w:rPr>
          <w:rFonts w:hint="eastAsia" w:ascii="仿宋_GB2312" w:eastAsia="仿宋_GB2312" w:cs="仿宋_GB2312"/>
          <w:color w:val="auto"/>
          <w:kern w:val="2"/>
          <w:sz w:val="32"/>
          <w:szCs w:val="32"/>
          <w:highlight w:val="none"/>
          <w:lang w:val="en-US" w:eastAsia="zh-CN" w:bidi="ar"/>
        </w:rPr>
        <w:t>1</w:t>
      </w:r>
      <w:r>
        <w:rPr>
          <w:rFonts w:hint="eastAsia" w:ascii="仿宋_GB2312" w:hAnsi="Times New Roman" w:eastAsia="仿宋_GB2312" w:cs="仿宋_GB2312"/>
          <w:color w:val="auto"/>
          <w:kern w:val="2"/>
          <w:sz w:val="32"/>
          <w:szCs w:val="32"/>
          <w:highlight w:val="none"/>
          <w:lang w:val="en-US" w:eastAsia="zh-CN" w:bidi="ar"/>
        </w:rPr>
        <w:t>年，我部门</w:t>
      </w:r>
      <w:r>
        <w:rPr>
          <w:rFonts w:hint="eastAsia" w:ascii="仿宋_GB2312" w:eastAsia="仿宋_GB2312" w:cs="仿宋_GB2312"/>
          <w:color w:val="auto"/>
          <w:kern w:val="2"/>
          <w:sz w:val="32"/>
          <w:szCs w:val="32"/>
          <w:highlight w:val="none"/>
          <w:lang w:val="en-US" w:eastAsia="zh-CN" w:bidi="ar"/>
        </w:rPr>
        <w:t>机关</w:t>
      </w:r>
      <w:r>
        <w:rPr>
          <w:rFonts w:hint="eastAsia" w:ascii="仿宋_GB2312" w:hAnsi="Times New Roman" w:eastAsia="仿宋_GB2312" w:cs="仿宋_GB2312"/>
          <w:color w:val="auto"/>
          <w:kern w:val="2"/>
          <w:sz w:val="32"/>
          <w:szCs w:val="32"/>
          <w:highlight w:val="none"/>
          <w:lang w:val="en-US" w:eastAsia="zh-CN" w:bidi="ar"/>
        </w:rPr>
        <w:t>运行经费支出0元，</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。主要原因是本单位为事业单位，</w:t>
      </w:r>
      <w:r>
        <w:rPr>
          <w:rFonts w:hint="eastAsia" w:ascii="仿宋_GB2312" w:eastAsia="仿宋_GB2312" w:cs="仿宋_GB2312"/>
          <w:color w:val="auto"/>
          <w:kern w:val="2"/>
          <w:sz w:val="32"/>
          <w:szCs w:val="32"/>
          <w:highlight w:val="none"/>
          <w:lang w:val="en-US" w:eastAsia="zh-CN" w:bidi="ar"/>
        </w:rPr>
        <w:t>未发生</w:t>
      </w:r>
      <w:r>
        <w:rPr>
          <w:rFonts w:hint="eastAsia" w:ascii="仿宋_GB2312" w:hAnsi="Times New Roman" w:eastAsia="仿宋_GB2312" w:cs="仿宋_GB2312"/>
          <w:color w:val="auto"/>
          <w:kern w:val="2"/>
          <w:sz w:val="32"/>
          <w:szCs w:val="32"/>
          <w:highlight w:val="none"/>
          <w:lang w:val="en-US" w:eastAsia="zh-CN" w:bidi="ar"/>
        </w:rPr>
        <w:t>机关运行经费支出。</w:t>
      </w:r>
    </w:p>
    <w:p w14:paraId="15A0BEF1">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107" w:name="_Toc16694"/>
      <w:r>
        <w:rPr>
          <w:rFonts w:hint="eastAsia" w:ascii="仿宋" w:hAnsi="仿宋" w:eastAsia="仿宋"/>
          <w:b/>
          <w:color w:val="auto"/>
          <w:sz w:val="32"/>
          <w:szCs w:val="32"/>
          <w:highlight w:val="none"/>
        </w:rPr>
        <w:t>（二）政府采购支出情况</w:t>
      </w:r>
      <w:bookmarkEnd w:id="106"/>
      <w:bookmarkEnd w:id="107"/>
    </w:p>
    <w:p w14:paraId="5D974E69">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21年，我单位政府采购支出</w:t>
      </w:r>
      <w:r>
        <w:rPr>
          <w:rFonts w:hint="eastAsia" w:ascii="仿宋_GB2312" w:eastAsia="仿宋_GB2312"/>
          <w:color w:val="auto"/>
          <w:sz w:val="32"/>
          <w:szCs w:val="32"/>
          <w:highlight w:val="none"/>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w:t>
      </w:r>
    </w:p>
    <w:p w14:paraId="700F32B8">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108" w:name="_Toc21785"/>
      <w:bookmarkStart w:id="109" w:name="_Toc15377224"/>
      <w:r>
        <w:rPr>
          <w:rFonts w:hint="eastAsia" w:ascii="仿宋" w:hAnsi="仿宋" w:eastAsia="仿宋"/>
          <w:b/>
          <w:color w:val="auto"/>
          <w:sz w:val="32"/>
          <w:szCs w:val="32"/>
          <w:highlight w:val="none"/>
        </w:rPr>
        <w:t>（三）国有资产占有使用情况</w:t>
      </w:r>
      <w:bookmarkEnd w:id="108"/>
      <w:bookmarkEnd w:id="109"/>
    </w:p>
    <w:p w14:paraId="7851A76A">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4BCE2A74">
      <w:pPr>
        <w:pStyle w:val="2"/>
        <w:spacing w:before="93"/>
        <w:rPr>
          <w:color w:val="auto"/>
          <w:highlight w:val="none"/>
        </w:rPr>
      </w:pPr>
    </w:p>
    <w:p w14:paraId="1B52C6DB">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14:paraId="2305058C">
      <w:pPr>
        <w:pStyle w:val="3"/>
        <w:numPr>
          <w:ilvl w:val="0"/>
          <w:numId w:val="4"/>
        </w:numPr>
        <w:bidi w:val="0"/>
        <w:jc w:val="center"/>
        <w:rPr>
          <w:color w:val="auto"/>
          <w:highlight w:val="none"/>
        </w:rPr>
      </w:pPr>
      <w:bookmarkStart w:id="110" w:name="_Toc15396613"/>
      <w:bookmarkStart w:id="111" w:name="_Toc22117"/>
      <w:bookmarkStart w:id="112" w:name="_Toc22376"/>
      <w:bookmarkStart w:id="113" w:name="_Toc15377225"/>
      <w:r>
        <w:rPr>
          <w:rFonts w:hint="eastAsia"/>
          <w:color w:val="auto"/>
          <w:highlight w:val="none"/>
        </w:rPr>
        <w:t>名词解释</w:t>
      </w:r>
      <w:bookmarkEnd w:id="110"/>
      <w:bookmarkEnd w:id="111"/>
      <w:bookmarkEnd w:id="112"/>
      <w:bookmarkEnd w:id="113"/>
    </w:p>
    <w:p w14:paraId="28B483F4">
      <w:pPr>
        <w:spacing w:line="600" w:lineRule="exact"/>
        <w:jc w:val="left"/>
        <w:rPr>
          <w:rFonts w:ascii="宋体"/>
          <w:b/>
          <w:color w:val="auto"/>
          <w:sz w:val="44"/>
          <w:szCs w:val="44"/>
          <w:highlight w:val="none"/>
        </w:rPr>
      </w:pPr>
    </w:p>
    <w:p w14:paraId="206C2356">
      <w:pPr>
        <w:pStyle w:val="2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14:paraId="59081A0E">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使用非财政拨款结余：指事业单位使用以前年度积累的非财政拨款结余弥补当年收支差额的金额。</w:t>
      </w:r>
      <w:r>
        <w:rPr>
          <w:rFonts w:ascii="仿宋_GB2312" w:eastAsia="仿宋_GB2312"/>
          <w:color w:val="auto"/>
          <w:sz w:val="32"/>
          <w:szCs w:val="32"/>
          <w:highlight w:val="none"/>
        </w:rPr>
        <w:t xml:space="preserve"> </w:t>
      </w:r>
    </w:p>
    <w:p w14:paraId="5962A94E">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14:paraId="0B4BED4E">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结余分配：指事业单位按照会计制度规定缴纳的所得税、提取的专用结余以及转入非财政拨款结余的金额等。</w:t>
      </w:r>
    </w:p>
    <w:p w14:paraId="78A34D1E">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5</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14:paraId="534291B9">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教育（类）普通教育（款）小学教育（项）：指小学教育。</w:t>
      </w:r>
    </w:p>
    <w:p w14:paraId="61E8D706">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7.教育（类）</w:t>
      </w:r>
      <w:r>
        <w:rPr>
          <w:rFonts w:hint="eastAsia" w:ascii="仿宋_GB2312" w:eastAsia="仿宋_GB2312"/>
          <w:color w:val="auto"/>
          <w:sz w:val="32"/>
          <w:szCs w:val="32"/>
          <w:highlight w:val="none"/>
          <w:lang w:eastAsia="zh-CN"/>
        </w:rPr>
        <w:t>普通教育</w:t>
      </w:r>
      <w:r>
        <w:rPr>
          <w:rFonts w:hint="eastAsia" w:ascii="仿宋_GB2312" w:eastAsia="仿宋_GB2312"/>
          <w:color w:val="auto"/>
          <w:sz w:val="32"/>
          <w:szCs w:val="32"/>
          <w:highlight w:val="none"/>
        </w:rPr>
        <w:t>（款）其他教育</w:t>
      </w:r>
      <w:r>
        <w:rPr>
          <w:rFonts w:hint="eastAsia" w:ascii="仿宋_GB2312" w:eastAsia="仿宋_GB2312"/>
          <w:color w:val="auto"/>
          <w:sz w:val="32"/>
          <w:szCs w:val="32"/>
          <w:highlight w:val="none"/>
          <w:lang w:eastAsia="zh-CN"/>
        </w:rPr>
        <w:t>支出</w:t>
      </w:r>
      <w:r>
        <w:rPr>
          <w:rFonts w:hint="eastAsia" w:ascii="仿宋_GB2312" w:eastAsia="仿宋_GB2312"/>
          <w:color w:val="auto"/>
          <w:sz w:val="32"/>
          <w:szCs w:val="32"/>
          <w:highlight w:val="none"/>
        </w:rPr>
        <w:t>（项）：其他教育费附加安排。</w:t>
      </w:r>
    </w:p>
    <w:p w14:paraId="41D94040">
      <w:pPr>
        <w:numPr>
          <w:ilvl w:val="0"/>
          <w:numId w:val="0"/>
        </w:numPr>
        <w:spacing w:line="600" w:lineRule="exact"/>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文化旅游体育与传媒支出（类）</w:t>
      </w:r>
      <w:r>
        <w:rPr>
          <w:rFonts w:hint="eastAsia" w:ascii="仿宋_GB2312" w:eastAsia="仿宋_GB2312"/>
          <w:color w:val="auto"/>
          <w:sz w:val="32"/>
          <w:szCs w:val="32"/>
          <w:highlight w:val="none"/>
          <w:lang w:val="en-US" w:eastAsia="zh-CN"/>
        </w:rPr>
        <w:t>207</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val="en-US" w:eastAsia="zh-CN"/>
        </w:rPr>
        <w:t>99</w:t>
      </w:r>
      <w:r>
        <w:rPr>
          <w:rFonts w:hint="eastAsia" w:ascii="仿宋_GB2312" w:eastAsia="仿宋_GB2312"/>
          <w:color w:val="auto"/>
          <w:sz w:val="32"/>
          <w:szCs w:val="32"/>
          <w:highlight w:val="none"/>
        </w:rPr>
        <w:t>（项）</w:t>
      </w:r>
      <w:r>
        <w:rPr>
          <w:rFonts w:hint="eastAsia" w:ascii="仿宋_GB2312" w:eastAsia="仿宋_GB2312"/>
          <w:color w:val="auto"/>
          <w:sz w:val="32"/>
          <w:szCs w:val="32"/>
          <w:highlight w:val="none"/>
          <w:lang w:val="en-US" w:eastAsia="zh-CN"/>
        </w:rPr>
        <w:t>02：指宣传文化发展专项支出。</w:t>
      </w:r>
    </w:p>
    <w:p w14:paraId="7BEE4278">
      <w:pPr>
        <w:numPr>
          <w:ilvl w:val="0"/>
          <w:numId w:val="0"/>
        </w:numPr>
        <w:spacing w:line="600" w:lineRule="exact"/>
        <w:ind w:firstLine="640" w:firstLineChars="20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9.社会保障和就业支出（类）行政事业单位养老支出（款）机关事业单位基本养老保险缴费支出（项）: 指机关事业单位实施养老保险制度由单位缴纳的基本养老保险费支出。</w:t>
      </w:r>
    </w:p>
    <w:p w14:paraId="0C55D375">
      <w:pPr>
        <w:pStyle w:val="16"/>
        <w:ind w:left="0" w:leftChars="0" w:firstLine="640" w:firstLineChars="200"/>
        <w:rPr>
          <w:rFonts w:hint="eastAsia"/>
          <w:color w:val="auto"/>
          <w:highlight w:val="none"/>
          <w:lang w:val="en-US" w:eastAsia="zh-CN"/>
        </w:rPr>
      </w:pPr>
      <w:r>
        <w:rPr>
          <w:rFonts w:hint="eastAsia" w:ascii="仿宋_GB2312" w:hAnsi="Calibri" w:eastAsia="仿宋_GB2312" w:cs="仿宋"/>
          <w:color w:val="auto"/>
          <w:kern w:val="0"/>
          <w:sz w:val="32"/>
          <w:szCs w:val="32"/>
          <w:highlight w:val="none"/>
          <w:lang w:val="en-US" w:eastAsia="zh-CN" w:bidi="ar-SA"/>
        </w:rPr>
        <w:t>10.社会保障和就业支出（类）其他社会保障和就业支出（款）其他社会保障和就业支出（项）: 指其他用于社会保障和就业方面的支出。</w:t>
      </w:r>
    </w:p>
    <w:p w14:paraId="30220B08">
      <w:pPr>
        <w:pStyle w:val="2"/>
        <w:ind w:firstLine="640" w:firstLineChars="200"/>
        <w:rPr>
          <w:color w:val="auto"/>
          <w:highlight w:val="none"/>
        </w:rPr>
      </w:pPr>
      <w:r>
        <w:rPr>
          <w:rFonts w:hint="eastAsia" w:hAnsi="Calibri" w:cs="仿宋"/>
          <w:color w:val="auto"/>
          <w:kern w:val="0"/>
          <w:sz w:val="32"/>
          <w:szCs w:val="32"/>
          <w:highlight w:val="none"/>
          <w:lang w:val="en-US" w:eastAsia="zh-CN"/>
        </w:rPr>
        <w:t>11.</w:t>
      </w:r>
      <w:r>
        <w:rPr>
          <w:rFonts w:hint="eastAsia" w:ascii="仿宋_GB2312" w:hAnsi="Calibri" w:eastAsia="仿宋_GB2312" w:cs="仿宋"/>
          <w:color w:val="auto"/>
          <w:kern w:val="0"/>
          <w:sz w:val="32"/>
          <w:szCs w:val="32"/>
          <w:highlight w:val="none"/>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14:paraId="5751E7AC">
      <w:pPr>
        <w:pStyle w:val="2"/>
        <w:ind w:firstLine="640" w:firstLineChars="200"/>
        <w:rPr>
          <w:color w:val="auto"/>
          <w:highlight w:val="none"/>
        </w:rPr>
      </w:pPr>
      <w:r>
        <w:rPr>
          <w:rFonts w:hint="eastAsia" w:hAnsi="Calibri" w:cs="仿宋"/>
          <w:color w:val="auto"/>
          <w:kern w:val="0"/>
          <w:sz w:val="32"/>
          <w:szCs w:val="32"/>
          <w:highlight w:val="none"/>
          <w:lang w:val="en-US" w:eastAsia="zh-CN"/>
        </w:rPr>
        <w:t>12.</w:t>
      </w:r>
      <w:r>
        <w:rPr>
          <w:rFonts w:hint="eastAsia" w:ascii="仿宋_GB2312" w:hAnsi="Calibri" w:eastAsia="仿宋_GB2312" w:cs="仿宋"/>
          <w:color w:val="auto"/>
          <w:kern w:val="0"/>
          <w:sz w:val="32"/>
          <w:szCs w:val="32"/>
          <w:highlight w:val="none"/>
          <w:lang w:val="en-US" w:eastAsia="zh-CN"/>
        </w:rPr>
        <w:t>住房保障支出（类）住房改革支出（款）住房公积金（项）：指行政事业单位按人力资源和社会保障部、财政部规定的基本工资和津贴补贴以及规定比例为职工缴纳的住房公积金。</w:t>
      </w:r>
    </w:p>
    <w:p w14:paraId="1EDEDD4B">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14:paraId="52C04B77">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70BBCC0B">
      <w:pPr>
        <w:pStyle w:val="27"/>
        <w:spacing w:line="56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5</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114" w:name="_Toc15377226"/>
    </w:p>
    <w:p w14:paraId="5D62C847">
      <w:pPr>
        <w:pStyle w:val="27"/>
        <w:spacing w:line="560" w:lineRule="exact"/>
        <w:jc w:val="center"/>
        <w:rPr>
          <w:rStyle w:val="29"/>
          <w:rFonts w:ascii="黑体" w:hAnsi="黑体" w:eastAsia="黑体"/>
          <w:b w:val="0"/>
          <w:color w:val="auto"/>
          <w:highlight w:val="none"/>
        </w:rPr>
      </w:pPr>
      <w:r>
        <w:rPr>
          <w:rFonts w:ascii="宋体"/>
          <w:b/>
          <w:color w:val="auto"/>
          <w:sz w:val="44"/>
          <w:szCs w:val="44"/>
          <w:highlight w:val="none"/>
        </w:rPr>
        <w:br w:type="page"/>
      </w:r>
      <w:bookmarkStart w:id="115" w:name="_Toc15396614"/>
      <w:bookmarkStart w:id="116" w:name="_Toc31042"/>
      <w:bookmarkStart w:id="117" w:name="_Toc15467"/>
      <w:r>
        <w:rPr>
          <w:rStyle w:val="29"/>
          <w:rFonts w:hint="eastAsia"/>
          <w:color w:val="auto"/>
          <w:highlight w:val="none"/>
        </w:rPr>
        <w:t>第四部分 附件</w:t>
      </w:r>
      <w:bookmarkEnd w:id="115"/>
    </w:p>
    <w:bookmarkEnd w:id="116"/>
    <w:bookmarkEnd w:id="117"/>
    <w:p w14:paraId="14B161BC">
      <w:pPr>
        <w:spacing w:line="572" w:lineRule="exact"/>
        <w:jc w:val="left"/>
        <w:outlineLvl w:val="0"/>
        <w:rPr>
          <w:rFonts w:hint="eastAsia" w:ascii="仿宋_GB2312" w:hAnsi="仿宋_GB2312" w:eastAsia="黑体" w:cs="仿宋_GB2312"/>
          <w:color w:val="auto"/>
          <w:sz w:val="32"/>
          <w:szCs w:val="32"/>
          <w:highlight w:val="none"/>
          <w:lang w:val="en-US" w:eastAsia="zh-CN"/>
        </w:rPr>
      </w:pPr>
      <w:bookmarkStart w:id="118" w:name="_Toc11431"/>
      <w:bookmarkStart w:id="119" w:name="_Toc12629"/>
      <w:bookmarkStart w:id="120" w:name="_Toc4103"/>
      <w:bookmarkStart w:id="121" w:name="_Toc15396618"/>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bookmarkEnd w:id="118"/>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14:paraId="778C5957">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14:paraId="66DEC3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2021年部门预算项目绩效目标自评</w:t>
            </w:r>
            <w:r>
              <w:rPr>
                <w:rFonts w:hint="eastAsia" w:ascii="宋体" w:hAnsi="宋体" w:cs="宋体"/>
                <w:b/>
                <w:color w:val="auto"/>
                <w:sz w:val="32"/>
                <w:szCs w:val="32"/>
                <w:highlight w:val="none"/>
                <w:lang w:eastAsia="zh-CN"/>
              </w:rPr>
              <w:t>（乡村少年宫运行经费）</w:t>
            </w:r>
          </w:p>
        </w:tc>
        <w:tc>
          <w:tcPr>
            <w:tcW w:w="236" w:type="dxa"/>
            <w:tcBorders>
              <w:top w:val="nil"/>
              <w:left w:val="nil"/>
              <w:bottom w:val="nil"/>
              <w:right w:val="nil"/>
            </w:tcBorders>
            <w:shd w:val="clear" w:color="auto" w:fill="auto"/>
            <w:vAlign w:val="center"/>
          </w:tcPr>
          <w:p w14:paraId="4FCE9394">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14:paraId="19FF7E0C">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332C80">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8859D6">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360330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C1B2E">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C82A8">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eastAsia="zh-CN"/>
              </w:rPr>
              <w:t>广元市昭化区虎跳镇丁家小学</w:t>
            </w:r>
          </w:p>
        </w:tc>
      </w:tr>
      <w:tr w14:paraId="507F80E9">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CEBF7E">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14:paraId="065F4A2D">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14:paraId="6D913E00">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F7AE6">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28FFE">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2</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D57EA">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43DC7">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2</w:t>
            </w:r>
          </w:p>
        </w:tc>
      </w:tr>
      <w:tr w14:paraId="4E4346DD">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14E96C">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889C0">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14:paraId="3C767A4F">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4D413">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2</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4C816">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14:paraId="1D1A67F9">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DC32B">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2</w:t>
            </w:r>
          </w:p>
        </w:tc>
      </w:tr>
      <w:tr w14:paraId="65C0C049">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59558">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D51A0">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83772">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17314">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E3744">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14:paraId="38A266D1">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06F04B">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14:paraId="5BFB1D9D">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822E88">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03DC02">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14:paraId="116D83B8">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4AB5AC">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14:paraId="7367857E">
            <w:pPr>
              <w:keepNext w:val="0"/>
              <w:keepLines w:val="0"/>
              <w:widowControl/>
              <w:suppressLineNumbers w:val="0"/>
              <w:spacing w:before="0" w:beforeAutospacing="0" w:after="0" w:afterAutospacing="0" w:line="320" w:lineRule="exact"/>
              <w:ind w:left="0" w:right="0"/>
              <w:jc w:val="left"/>
              <w:textAlignment w:val="top"/>
              <w:rPr>
                <w:rFonts w:hint="default" w:ascii="宋体" w:hAnsi="宋体" w:cs="宋体"/>
                <w:color w:val="auto"/>
                <w:sz w:val="24"/>
                <w:highlight w:val="none"/>
              </w:rPr>
            </w:pPr>
            <w:r>
              <w:rPr>
                <w:rFonts w:hint="default" w:ascii="宋体" w:hAnsi="宋体" w:cs="宋体"/>
                <w:color w:val="auto"/>
                <w:sz w:val="22"/>
                <w:szCs w:val="22"/>
                <w:highlight w:val="none"/>
              </w:rPr>
              <w:t>保障乡村少年宫正常运转。将“乡村学校少年宫”建设成满足学生精神文化需求、促进学生全面发展、深化学生素质教育的有效载体，建设成家长认可、布局合理、功能完备的未成年人教育阵地。</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14:paraId="3265AE5C">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2"/>
                <w:szCs w:val="22"/>
                <w:highlight w:val="none"/>
                <w:lang w:eastAsia="zh-CN"/>
              </w:rPr>
              <w:t>保障了乡村</w:t>
            </w:r>
            <w:r>
              <w:rPr>
                <w:rFonts w:hint="default" w:ascii="宋体" w:hAnsi="宋体" w:eastAsia="宋体" w:cs="宋体"/>
                <w:color w:val="auto"/>
                <w:sz w:val="22"/>
                <w:szCs w:val="22"/>
                <w:highlight w:val="none"/>
              </w:rPr>
              <w:t>少年宫</w:t>
            </w:r>
            <w:r>
              <w:rPr>
                <w:rFonts w:hint="eastAsia" w:ascii="宋体" w:hAnsi="宋体" w:eastAsia="宋体" w:cs="宋体"/>
                <w:color w:val="auto"/>
                <w:sz w:val="22"/>
                <w:szCs w:val="22"/>
                <w:highlight w:val="none"/>
                <w:lang w:eastAsia="zh-CN"/>
              </w:rPr>
              <w:t>的</w:t>
            </w:r>
            <w:r>
              <w:rPr>
                <w:rFonts w:hint="default" w:ascii="宋体" w:hAnsi="宋体" w:eastAsia="宋体" w:cs="宋体"/>
                <w:color w:val="auto"/>
                <w:sz w:val="22"/>
                <w:szCs w:val="22"/>
                <w:highlight w:val="none"/>
              </w:rPr>
              <w:t>正常运转。满足</w:t>
            </w:r>
            <w:r>
              <w:rPr>
                <w:rFonts w:hint="eastAsia" w:ascii="宋体" w:hAnsi="宋体" w:eastAsia="宋体" w:cs="宋体"/>
                <w:color w:val="auto"/>
                <w:sz w:val="22"/>
                <w:szCs w:val="22"/>
                <w:highlight w:val="none"/>
                <w:lang w:eastAsia="zh-CN"/>
              </w:rPr>
              <w:t>了</w:t>
            </w:r>
            <w:r>
              <w:rPr>
                <w:rFonts w:hint="default" w:ascii="宋体" w:hAnsi="宋体" w:eastAsia="宋体" w:cs="宋体"/>
                <w:color w:val="auto"/>
                <w:sz w:val="22"/>
                <w:szCs w:val="22"/>
                <w:highlight w:val="none"/>
              </w:rPr>
              <w:t>学生精神文化需求、促进</w:t>
            </w:r>
            <w:r>
              <w:rPr>
                <w:rFonts w:hint="eastAsia" w:ascii="宋体" w:hAnsi="宋体" w:eastAsia="宋体" w:cs="宋体"/>
                <w:color w:val="auto"/>
                <w:sz w:val="22"/>
                <w:szCs w:val="22"/>
                <w:highlight w:val="none"/>
                <w:lang w:eastAsia="zh-CN"/>
              </w:rPr>
              <w:t>了</w:t>
            </w:r>
            <w:r>
              <w:rPr>
                <w:rFonts w:hint="default" w:ascii="宋体" w:hAnsi="宋体" w:eastAsia="宋体" w:cs="宋体"/>
                <w:color w:val="auto"/>
                <w:sz w:val="22"/>
                <w:szCs w:val="22"/>
                <w:highlight w:val="none"/>
              </w:rPr>
              <w:t>学生全面发展</w:t>
            </w:r>
            <w:r>
              <w:rPr>
                <w:rFonts w:hint="eastAsia" w:ascii="宋体" w:hAnsi="宋体" w:eastAsia="宋体" w:cs="宋体"/>
                <w:color w:val="auto"/>
                <w:sz w:val="22"/>
                <w:szCs w:val="22"/>
                <w:highlight w:val="none"/>
                <w:lang w:eastAsia="zh-CN"/>
              </w:rPr>
              <w:t>，是</w:t>
            </w:r>
            <w:r>
              <w:rPr>
                <w:rFonts w:hint="default" w:ascii="宋体" w:hAnsi="宋体" w:eastAsia="宋体" w:cs="宋体"/>
                <w:color w:val="auto"/>
                <w:sz w:val="22"/>
                <w:szCs w:val="22"/>
                <w:highlight w:val="none"/>
              </w:rPr>
              <w:t>家长认可、布局合理、功能完备的未成年人教育阵地。</w:t>
            </w:r>
          </w:p>
        </w:tc>
      </w:tr>
      <w:tr w14:paraId="6AE3EA18">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14:paraId="2D902724">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14:paraId="3BE3D96C">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14:paraId="59B12498">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06394">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14:paraId="26A057B3">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70191">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14:paraId="604F9903">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D4432">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211C8">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14:paraId="60164AA7">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44F0D772">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91A1A4">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14:paraId="6D6F38AB">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589D7">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024F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乡村少年宫数量</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929A7">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1所</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5C689">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1所</w:t>
            </w:r>
          </w:p>
        </w:tc>
      </w:tr>
      <w:tr w14:paraId="1EC409CA">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shd w:val="clear" w:color="auto" w:fill="auto"/>
            <w:vAlign w:val="center"/>
          </w:tcPr>
          <w:p w14:paraId="4D771E36">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4FF84E">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64F2F0F2">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AC205">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default" w:ascii="仿宋_GB2312" w:hAnsi="仿宋_GB2312" w:eastAsia="仿宋_GB2312" w:cs="仿宋_GB2312"/>
                <w:color w:val="auto"/>
                <w:sz w:val="20"/>
                <w:szCs w:val="20"/>
                <w:highlight w:val="none"/>
              </w:rPr>
              <w:t>科学设置项目</w:t>
            </w:r>
            <w:r>
              <w:rPr>
                <w:rFonts w:hint="eastAsia" w:ascii="仿宋_GB2312" w:hAnsi="仿宋_GB2312" w:eastAsia="仿宋_GB2312" w:cs="仿宋_GB2312"/>
                <w:color w:val="auto"/>
                <w:sz w:val="20"/>
                <w:szCs w:val="20"/>
                <w:highlight w:val="none"/>
                <w:lang w:eastAsia="zh-CN"/>
              </w:rPr>
              <w:t>，</w:t>
            </w:r>
          </w:p>
          <w:p w14:paraId="2542A184">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扎实开展活动</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C6B0E">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9141B">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有效</w:t>
            </w:r>
          </w:p>
        </w:tc>
      </w:tr>
      <w:tr w14:paraId="614E5843">
        <w:tblPrEx>
          <w:tblCellMar>
            <w:top w:w="0" w:type="dxa"/>
            <w:left w:w="108" w:type="dxa"/>
            <w:bottom w:w="0" w:type="dxa"/>
            <w:right w:w="108" w:type="dxa"/>
          </w:tblCellMar>
        </w:tblPrEx>
        <w:trPr>
          <w:gridAfter w:val="1"/>
          <w:wAfter w:w="236" w:type="dxa"/>
          <w:trHeight w:val="601" w:hRule="atLeast"/>
        </w:trPr>
        <w:tc>
          <w:tcPr>
            <w:tcW w:w="1113" w:type="dxa"/>
            <w:vMerge w:val="continue"/>
            <w:tcBorders>
              <w:left w:val="single" w:color="000000" w:sz="4" w:space="0"/>
              <w:right w:val="single" w:color="000000" w:sz="4" w:space="0"/>
            </w:tcBorders>
            <w:shd w:val="clear" w:color="auto" w:fill="auto"/>
            <w:vAlign w:val="center"/>
          </w:tcPr>
          <w:p w14:paraId="194FC801">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CE1A2F">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14:paraId="17DEEC43">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76D5C">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乡村少年宫正常运转</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FAC5B">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正常运转</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E9989">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正常运转</w:t>
            </w:r>
          </w:p>
        </w:tc>
      </w:tr>
      <w:tr w14:paraId="068AE3F4">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shd w:val="clear" w:color="auto" w:fill="auto"/>
            <w:vAlign w:val="center"/>
          </w:tcPr>
          <w:p w14:paraId="056E1ED4">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1A9F3">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5E19F62D">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C132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按照财务管理制度规定，资金实行专项管理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44CB6">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专款专账</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F9B47">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专款专账</w:t>
            </w:r>
          </w:p>
        </w:tc>
      </w:tr>
      <w:tr w14:paraId="7ACA498D">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205119A6">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280601">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FA37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A8E55">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运行</w:t>
            </w:r>
            <w:r>
              <w:rPr>
                <w:rFonts w:hint="default" w:ascii="仿宋_GB2312" w:hAnsi="仿宋_GB2312" w:eastAsia="仿宋_GB2312" w:cs="仿宋_GB2312"/>
                <w:color w:val="auto"/>
                <w:sz w:val="20"/>
                <w:szCs w:val="20"/>
                <w:highlight w:val="none"/>
              </w:rPr>
              <w:t>经费保障期限</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817EA">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A4511">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1年</w:t>
            </w:r>
          </w:p>
        </w:tc>
      </w:tr>
      <w:tr w14:paraId="4EA41BE8">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14:paraId="4367D9E8">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0D6FE">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EABC6">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7B757">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运行经费</w:t>
            </w:r>
            <w:r>
              <w:rPr>
                <w:rFonts w:hint="eastAsia" w:ascii="仿宋_GB2312" w:hAnsi="仿宋_GB2312" w:eastAsia="仿宋_GB2312" w:cs="仿宋_GB2312"/>
                <w:color w:val="auto"/>
                <w:sz w:val="20"/>
                <w:szCs w:val="20"/>
                <w:highlight w:val="none"/>
                <w:lang w:eastAsia="zh-CN"/>
              </w:rPr>
              <w:t>年</w:t>
            </w:r>
            <w:r>
              <w:rPr>
                <w:rFonts w:hint="default" w:ascii="仿宋_GB2312" w:hAnsi="仿宋_GB2312" w:eastAsia="仿宋_GB2312" w:cs="仿宋_GB2312"/>
                <w:color w:val="auto"/>
                <w:sz w:val="20"/>
                <w:szCs w:val="20"/>
                <w:highlight w:val="none"/>
              </w:rPr>
              <w:t>补助标准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A2082">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宋体" w:hAnsi="宋体" w:cs="宋体"/>
                <w:color w:val="auto"/>
                <w:sz w:val="24"/>
                <w:highlight w:val="none"/>
                <w:lang w:val="en-US" w:eastAsia="zh-CN"/>
              </w:rPr>
              <w:t>2</w:t>
            </w:r>
            <w:r>
              <w:rPr>
                <w:rFonts w:hint="eastAsia" w:ascii="仿宋_GB2312" w:hAnsi="仿宋_GB2312" w:eastAsia="仿宋_GB2312" w:cs="仿宋_GB2312"/>
                <w:color w:val="auto"/>
                <w:sz w:val="20"/>
                <w:szCs w:val="20"/>
                <w:highlight w:val="none"/>
                <w:lang w:val="en-US" w:eastAsia="zh-CN"/>
              </w:rPr>
              <w:t>万元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22A87">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宋体" w:hAnsi="宋体" w:cs="宋体"/>
                <w:color w:val="auto"/>
                <w:sz w:val="24"/>
                <w:highlight w:val="none"/>
                <w:lang w:val="en-US" w:eastAsia="zh-CN"/>
              </w:rPr>
              <w:t>2</w:t>
            </w:r>
            <w:r>
              <w:rPr>
                <w:rFonts w:hint="eastAsia" w:ascii="仿宋_GB2312" w:hAnsi="仿宋_GB2312" w:eastAsia="仿宋_GB2312" w:cs="仿宋_GB2312"/>
                <w:color w:val="auto"/>
                <w:sz w:val="20"/>
                <w:szCs w:val="20"/>
                <w:highlight w:val="none"/>
                <w:lang w:val="en-US" w:eastAsia="zh-CN"/>
              </w:rPr>
              <w:t>万元</w:t>
            </w:r>
          </w:p>
        </w:tc>
      </w:tr>
      <w:tr w14:paraId="77B60E1A">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14:paraId="0DE2D996">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0265F3">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14:paraId="70404A22">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0D0FF66E">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社会效益  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439D3">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提升学生综合素质</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CFDD3">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B977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14:paraId="3694941E">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32F1C6E0">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CB2256">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130EC36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FDE30">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丰富学生课余生活</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0F1EA">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88702">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14:paraId="68368B71">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14:paraId="79D3EC76">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14:paraId="12C93014">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14:paraId="6E8B5BE2">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4ADF3B40">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14:paraId="27C968C4">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74734">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E0E50">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09EBD">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r w14:paraId="7E6531D0">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14:paraId="2281ABD5">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14:paraId="20E4BB56">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309FD588">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CB8BF">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51BDE">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17980">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96%</w:t>
            </w:r>
          </w:p>
        </w:tc>
      </w:tr>
    </w:tbl>
    <w:p w14:paraId="0514C421">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14:paraId="219C34FD">
      <w:pPr>
        <w:spacing w:line="572" w:lineRule="exact"/>
        <w:jc w:val="left"/>
        <w:outlineLvl w:val="0"/>
        <w:rPr>
          <w:rFonts w:hint="eastAsia" w:ascii="仿宋_GB2312" w:hAnsi="仿宋_GB2312" w:eastAsia="黑体" w:cs="仿宋_GB2312"/>
          <w:color w:val="auto"/>
          <w:sz w:val="32"/>
          <w:szCs w:val="32"/>
          <w:highlight w:val="none"/>
          <w:lang w:val="en-US" w:eastAsia="zh-CN"/>
        </w:rPr>
      </w:pPr>
      <w:bookmarkStart w:id="122" w:name="_Toc31816"/>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2</w:t>
      </w:r>
      <w:bookmarkEnd w:id="122"/>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14:paraId="435CD4CC">
        <w:trPr>
          <w:trHeight w:val="739" w:hRule="atLeast"/>
        </w:trPr>
        <w:tc>
          <w:tcPr>
            <w:tcW w:w="9218" w:type="dxa"/>
            <w:gridSpan w:val="6"/>
            <w:tcBorders>
              <w:top w:val="nil"/>
              <w:left w:val="nil"/>
              <w:bottom w:val="nil"/>
              <w:right w:val="nil"/>
            </w:tcBorders>
            <w:shd w:val="clear" w:color="auto" w:fill="auto"/>
            <w:vAlign w:val="center"/>
          </w:tcPr>
          <w:p w14:paraId="1C92D122">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rPr>
              <w:t>2021年部门预算项目绩效目标自评</w:t>
            </w:r>
            <w:r>
              <w:rPr>
                <w:rFonts w:hint="eastAsia" w:ascii="仿宋" w:hAnsi="仿宋" w:eastAsia="仿宋" w:cs="仿宋"/>
                <w:b/>
                <w:color w:val="auto"/>
                <w:sz w:val="32"/>
                <w:szCs w:val="32"/>
                <w:highlight w:val="none"/>
                <w:lang w:eastAsia="zh-CN"/>
              </w:rPr>
              <w:t>（教师周转房建设项目）</w:t>
            </w:r>
          </w:p>
        </w:tc>
        <w:tc>
          <w:tcPr>
            <w:tcW w:w="236" w:type="dxa"/>
            <w:tcBorders>
              <w:top w:val="nil"/>
              <w:left w:val="nil"/>
              <w:bottom w:val="nil"/>
              <w:right w:val="nil"/>
            </w:tcBorders>
            <w:shd w:val="clear" w:color="auto" w:fill="auto"/>
            <w:vAlign w:val="center"/>
          </w:tcPr>
          <w:p w14:paraId="7544506A">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kern w:val="0"/>
                <w:sz w:val="32"/>
                <w:szCs w:val="32"/>
                <w:highlight w:val="none"/>
              </w:rPr>
            </w:pPr>
          </w:p>
        </w:tc>
      </w:tr>
      <w:tr w14:paraId="56747239">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EE1320">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CC6D78">
            <w:pPr>
              <w:keepNext w:val="0"/>
              <w:keepLines w:val="0"/>
              <w:widowControl/>
              <w:suppressLineNumbers w:val="0"/>
              <w:spacing w:before="0" w:beforeAutospacing="0" w:after="0" w:afterAutospacing="0" w:line="320" w:lineRule="exact"/>
              <w:ind w:left="0" w:right="0"/>
              <w:textAlignment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360330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BD4E1">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EF2C8">
            <w:pPr>
              <w:keepNext w:val="0"/>
              <w:keepLines w:val="0"/>
              <w:widowControl/>
              <w:suppressLineNumbers w:val="0"/>
              <w:spacing w:before="0" w:beforeAutospacing="0" w:after="0" w:afterAutospacing="0" w:line="320" w:lineRule="exact"/>
              <w:ind w:left="0" w:right="0"/>
              <w:textAlignment w:val="center"/>
              <w:rPr>
                <w:rFonts w:hint="eastAsia" w:ascii="仿宋" w:hAnsi="仿宋" w:eastAsia="仿宋" w:cs="仿宋"/>
                <w:color w:val="auto"/>
                <w:sz w:val="24"/>
                <w:highlight w:val="none"/>
                <w:lang w:eastAsia="zh-CN"/>
              </w:rPr>
            </w:pPr>
            <w:r>
              <w:rPr>
                <w:rFonts w:hint="eastAsia" w:ascii="宋体" w:hAnsi="宋体" w:cs="宋体"/>
                <w:color w:val="auto"/>
                <w:sz w:val="24"/>
                <w:highlight w:val="none"/>
                <w:lang w:eastAsia="zh-CN"/>
              </w:rPr>
              <w:t>广元市昭化区虎跳镇丁家小学</w:t>
            </w:r>
          </w:p>
        </w:tc>
      </w:tr>
      <w:tr w14:paraId="4F622C73">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7FDD9B">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项目预算</w:t>
            </w:r>
          </w:p>
          <w:p w14:paraId="3333A8C7">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执行情况</w:t>
            </w:r>
          </w:p>
          <w:p w14:paraId="3D274FFF">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1D5F1">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6EC36">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300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A40C7">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FD59B">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300</w:t>
            </w:r>
          </w:p>
        </w:tc>
      </w:tr>
      <w:tr w14:paraId="717875D7">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584197">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15552">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14:paraId="03C4E867">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B8DE7">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300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3C3A5">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14:paraId="44B6283F">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36D09">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300</w:t>
            </w:r>
          </w:p>
        </w:tc>
      </w:tr>
      <w:tr w14:paraId="177C6E0E">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B8D40">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C53A8">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C4E7A">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FE12C">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F109C">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p>
        </w:tc>
      </w:tr>
      <w:tr w14:paraId="70A5D60D">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F6623C">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年度总体目标</w:t>
            </w:r>
          </w:p>
          <w:p w14:paraId="37216303">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FD8C50">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F5F1A2">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目标实际完成情况</w:t>
            </w:r>
          </w:p>
        </w:tc>
      </w:tr>
      <w:tr w14:paraId="09A93869">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F1163C">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14:paraId="73471CB2">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lang w:eastAsia="zh-CN"/>
              </w:rPr>
              <w:t>新建教师周转房</w:t>
            </w:r>
            <w:r>
              <w:rPr>
                <w:rFonts w:hint="eastAsia" w:ascii="仿宋" w:hAnsi="仿宋" w:eastAsia="仿宋" w:cs="仿宋"/>
                <w:color w:val="auto"/>
                <w:sz w:val="22"/>
                <w:szCs w:val="22"/>
                <w:highlight w:val="none"/>
                <w:lang w:val="en-US" w:eastAsia="zh-CN"/>
              </w:rPr>
              <w:t>950</w:t>
            </w:r>
            <w:r>
              <w:rPr>
                <w:rFonts w:hint="eastAsia" w:ascii="仿宋" w:hAnsi="仿宋" w:eastAsia="仿宋" w:cs="仿宋"/>
                <w:color w:val="auto"/>
                <w:sz w:val="22"/>
                <w:szCs w:val="22"/>
                <w:highlight w:val="none"/>
              </w:rPr>
              <w:t>平方米，改善学校办学条件和基础设施配套，提供高质量硬件设施设备，营造良好的学习氛围</w:t>
            </w:r>
            <w:r>
              <w:rPr>
                <w:rFonts w:hint="eastAsia" w:ascii="仿宋" w:hAnsi="仿宋" w:eastAsia="仿宋" w:cs="仿宋"/>
                <w:color w:val="auto"/>
                <w:sz w:val="22"/>
                <w:szCs w:val="22"/>
                <w:highlight w:val="none"/>
                <w:lang w:eastAsia="zh-CN"/>
              </w:rPr>
              <w:t>。</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14:paraId="0C9AEA19">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lang w:eastAsia="zh-CN"/>
              </w:rPr>
              <w:t>完成</w:t>
            </w:r>
            <w:r>
              <w:rPr>
                <w:rFonts w:hint="eastAsia" w:ascii="仿宋" w:hAnsi="仿宋" w:eastAsia="仿宋" w:cs="仿宋"/>
                <w:color w:val="auto"/>
                <w:sz w:val="22"/>
                <w:szCs w:val="22"/>
                <w:highlight w:val="none"/>
                <w:lang w:val="en-US" w:eastAsia="zh-CN"/>
              </w:rPr>
              <w:t>950</w:t>
            </w:r>
            <w:r>
              <w:rPr>
                <w:rFonts w:hint="eastAsia" w:ascii="仿宋" w:hAnsi="仿宋" w:eastAsia="仿宋" w:cs="仿宋"/>
                <w:color w:val="auto"/>
                <w:sz w:val="22"/>
                <w:szCs w:val="22"/>
                <w:highlight w:val="none"/>
              </w:rPr>
              <w:t>平方米</w:t>
            </w:r>
            <w:r>
              <w:rPr>
                <w:rFonts w:hint="eastAsia" w:ascii="仿宋" w:hAnsi="仿宋" w:eastAsia="仿宋" w:cs="仿宋"/>
                <w:color w:val="auto"/>
                <w:sz w:val="22"/>
                <w:szCs w:val="22"/>
                <w:highlight w:val="none"/>
                <w:lang w:eastAsia="zh-CN"/>
              </w:rPr>
              <w:t>的教师周转房建设，</w:t>
            </w:r>
            <w:r>
              <w:rPr>
                <w:rFonts w:hint="eastAsia" w:ascii="仿宋" w:hAnsi="仿宋" w:eastAsia="仿宋" w:cs="仿宋"/>
                <w:color w:val="auto"/>
                <w:sz w:val="22"/>
                <w:szCs w:val="22"/>
                <w:highlight w:val="none"/>
              </w:rPr>
              <w:t>改善</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学校办学条件和基础设施配套，提供</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高质量硬件设施设备，营造</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良好的学习氛围</w:t>
            </w:r>
            <w:r>
              <w:rPr>
                <w:rFonts w:hint="eastAsia" w:ascii="仿宋" w:hAnsi="仿宋" w:eastAsia="仿宋" w:cs="仿宋"/>
                <w:color w:val="auto"/>
                <w:sz w:val="22"/>
                <w:szCs w:val="22"/>
                <w:highlight w:val="none"/>
                <w:lang w:eastAsia="zh-CN"/>
              </w:rPr>
              <w:t>。</w:t>
            </w:r>
          </w:p>
        </w:tc>
      </w:tr>
      <w:tr w14:paraId="13F6B0D5">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14:paraId="3F7AC94A">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14:paraId="07615D64">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一级</w:t>
            </w:r>
          </w:p>
          <w:p w14:paraId="1992CC30">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1BBC4">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二级</w:t>
            </w:r>
          </w:p>
          <w:p w14:paraId="6772CBF3">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B604E">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三级</w:t>
            </w:r>
          </w:p>
          <w:p w14:paraId="50C79710">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C8C13">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EECD5">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实际完成指标值</w:t>
            </w:r>
          </w:p>
        </w:tc>
      </w:tr>
      <w:tr w14:paraId="6BFD2201">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4D6B97A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38CE5F">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完成</w:t>
            </w:r>
          </w:p>
          <w:p w14:paraId="72C51655">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3F73FFE1">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D2DB0">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DA7C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950m²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4288F">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950m²</w:t>
            </w:r>
          </w:p>
        </w:tc>
      </w:tr>
      <w:tr w14:paraId="4B21A7D4">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0031850B">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14:paraId="14D26B7E">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476C0F61">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9D3DB">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惠及教师人数</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F68BF">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16</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1A487">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16</w:t>
            </w:r>
          </w:p>
        </w:tc>
      </w:tr>
      <w:tr w14:paraId="22D68F67">
        <w:tblPrEx>
          <w:tblCellMar>
            <w:top w:w="0" w:type="dxa"/>
            <w:left w:w="108" w:type="dxa"/>
            <w:bottom w:w="0" w:type="dxa"/>
            <w:right w:w="108" w:type="dxa"/>
          </w:tblCellMar>
        </w:tblPrEx>
        <w:trPr>
          <w:gridAfter w:val="1"/>
          <w:wAfter w:w="236" w:type="dxa"/>
          <w:trHeight w:val="575" w:hRule="atLeast"/>
        </w:trPr>
        <w:tc>
          <w:tcPr>
            <w:tcW w:w="1113" w:type="dxa"/>
            <w:vMerge w:val="continue"/>
            <w:tcBorders>
              <w:left w:val="single" w:color="000000" w:sz="4" w:space="0"/>
              <w:right w:val="single" w:color="000000" w:sz="4" w:space="0"/>
            </w:tcBorders>
            <w:shd w:val="clear" w:color="auto" w:fill="auto"/>
            <w:vAlign w:val="center"/>
          </w:tcPr>
          <w:p w14:paraId="7B19A308">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001BD8">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7D749358">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C2110">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AFEA1">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89E32">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lang w:val="en-US" w:eastAsia="zh-CN"/>
              </w:rPr>
              <w:t>100%</w:t>
            </w:r>
          </w:p>
        </w:tc>
      </w:tr>
      <w:tr w14:paraId="48113DE8">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14:paraId="66B06946">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3CEE8B">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14:paraId="6D16DC6C">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41902">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校舍</w:t>
            </w:r>
            <w:r>
              <w:rPr>
                <w:rFonts w:hint="eastAsia" w:ascii="仿宋" w:hAnsi="仿宋" w:eastAsia="仿宋" w:cs="仿宋"/>
                <w:color w:val="auto"/>
                <w:sz w:val="20"/>
                <w:szCs w:val="20"/>
                <w:highlight w:val="none"/>
                <w:lang w:eastAsia="zh-CN"/>
              </w:rPr>
              <w:t>维修</w:t>
            </w:r>
            <w:r>
              <w:rPr>
                <w:rFonts w:hint="eastAsia" w:ascii="仿宋" w:hAnsi="仿宋" w:eastAsia="仿宋" w:cs="仿宋"/>
                <w:color w:val="auto"/>
                <w:sz w:val="20"/>
                <w:szCs w:val="20"/>
                <w:highlight w:val="none"/>
              </w:rPr>
              <w:t>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8D824">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3A26A">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r>
      <w:tr w14:paraId="0F7B7701">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shd w:val="clear" w:color="auto" w:fill="auto"/>
            <w:vAlign w:val="center"/>
          </w:tcPr>
          <w:p w14:paraId="4712B55F">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419D1C">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221C1D2C">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A6318">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设备购置质量标准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59DD5">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4FCB6">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r>
      <w:tr w14:paraId="2E1CEF20">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14:paraId="36881928">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328C9C">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000000" w:sz="4" w:space="0"/>
              <w:left w:val="single" w:color="000000" w:sz="4" w:space="0"/>
              <w:right w:val="single" w:color="000000" w:sz="4" w:space="0"/>
            </w:tcBorders>
            <w:shd w:val="clear" w:color="auto" w:fill="auto"/>
            <w:vAlign w:val="center"/>
          </w:tcPr>
          <w:p w14:paraId="4C6D320F">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8F050">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校舍维修建设周期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138CC">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882C3">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1年</w:t>
            </w:r>
          </w:p>
        </w:tc>
      </w:tr>
      <w:tr w14:paraId="50C54F74">
        <w:tblPrEx>
          <w:tblCellMar>
            <w:top w:w="0" w:type="dxa"/>
            <w:left w:w="108" w:type="dxa"/>
            <w:bottom w:w="0" w:type="dxa"/>
            <w:right w:w="108" w:type="dxa"/>
          </w:tblCellMar>
        </w:tblPrEx>
        <w:trPr>
          <w:gridAfter w:val="1"/>
          <w:wAfter w:w="236" w:type="dxa"/>
          <w:trHeight w:val="611" w:hRule="atLeast"/>
        </w:trPr>
        <w:tc>
          <w:tcPr>
            <w:tcW w:w="1113" w:type="dxa"/>
            <w:vMerge w:val="continue"/>
            <w:tcBorders>
              <w:left w:val="single" w:color="000000" w:sz="4" w:space="0"/>
              <w:right w:val="single" w:color="000000" w:sz="4" w:space="0"/>
            </w:tcBorders>
            <w:shd w:val="clear" w:color="auto" w:fill="auto"/>
            <w:vAlign w:val="center"/>
          </w:tcPr>
          <w:p w14:paraId="65F97041">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DD3CFF">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14:paraId="65CD0B92">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DFDDE">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校舍</w:t>
            </w:r>
            <w:r>
              <w:rPr>
                <w:rFonts w:hint="eastAsia" w:ascii="仿宋" w:hAnsi="仿宋" w:eastAsia="仿宋" w:cs="仿宋"/>
                <w:color w:val="auto"/>
                <w:sz w:val="20"/>
                <w:szCs w:val="20"/>
                <w:highlight w:val="none"/>
                <w:lang w:eastAsia="zh-CN"/>
              </w:rPr>
              <w:t>维修</w:t>
            </w:r>
            <w:r>
              <w:rPr>
                <w:rFonts w:hint="eastAsia" w:ascii="仿宋" w:hAnsi="仿宋" w:eastAsia="仿宋" w:cs="仿宋"/>
                <w:color w:val="auto"/>
                <w:sz w:val="20"/>
                <w:szCs w:val="20"/>
                <w:highlight w:val="none"/>
              </w:rPr>
              <w:t>类项目每平方米造价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99E01">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≤3500元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38EA5">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rPr>
            </w:pPr>
            <w:r>
              <w:rPr>
                <w:rFonts w:hint="eastAsia" w:ascii="仿宋" w:hAnsi="仿宋" w:eastAsia="仿宋" w:cs="仿宋"/>
                <w:color w:val="auto"/>
                <w:sz w:val="20"/>
                <w:szCs w:val="20"/>
                <w:highlight w:val="none"/>
                <w:lang w:val="en-US" w:eastAsia="zh-CN"/>
              </w:rPr>
              <w:t>3158元</w:t>
            </w:r>
          </w:p>
        </w:tc>
      </w:tr>
      <w:tr w14:paraId="284041A3">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14:paraId="40339CD6">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14:paraId="7AA3CA12">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效益</w:t>
            </w:r>
          </w:p>
          <w:p w14:paraId="02F9ECDC">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4684A4B1">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14D0336B">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改善办学条件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2A60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70A63">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14:paraId="5F4DC4DE">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41B4C49D">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14:paraId="4ED6FC83">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3879F70E">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生态效益</w:t>
            </w:r>
          </w:p>
          <w:p w14:paraId="6DBA77B5">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1E63EE3D">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建筑能源消耗水平降低</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24B1E">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254E9">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14:paraId="796A0878">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080D1D4A">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14:paraId="488A93FD">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0B51F65C">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3452002D">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解决老师住房难问题</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E47CF">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2BD5E">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有效</w:t>
            </w:r>
          </w:p>
        </w:tc>
      </w:tr>
      <w:tr w14:paraId="0317325C">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14:paraId="01F40F36">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14:paraId="67C7008D">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满意</w:t>
            </w:r>
          </w:p>
          <w:p w14:paraId="77F85FF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52AB6D2">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满意度</w:t>
            </w:r>
          </w:p>
          <w:p w14:paraId="153ADC67">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70069">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教师</w:t>
            </w:r>
            <w:r>
              <w:rPr>
                <w:rFonts w:hint="eastAsia" w:ascii="仿宋" w:hAnsi="仿宋" w:eastAsia="仿宋" w:cs="仿宋"/>
                <w:color w:val="auto"/>
                <w:sz w:val="20"/>
                <w:szCs w:val="20"/>
                <w:highlight w:val="none"/>
              </w:rPr>
              <w:t>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27668">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53E73">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98%</w:t>
            </w:r>
          </w:p>
        </w:tc>
      </w:tr>
      <w:tr w14:paraId="708E98B0">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14:paraId="013D538E">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14:paraId="11006827">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E84E2EE">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02BE6">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3AEA6">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2AC15">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96%</w:t>
            </w:r>
          </w:p>
        </w:tc>
      </w:tr>
    </w:tbl>
    <w:p w14:paraId="5004EA46">
      <w:pPr>
        <w:pStyle w:val="3"/>
        <w:bidi w:val="0"/>
        <w:jc w:val="center"/>
        <w:rPr>
          <w:color w:val="auto"/>
          <w:highlight w:val="none"/>
        </w:rPr>
      </w:pPr>
      <w:r>
        <w:rPr>
          <w:rFonts w:hint="eastAsia"/>
          <w:color w:val="auto"/>
          <w:highlight w:val="none"/>
        </w:rPr>
        <w:t>第五部分 附表</w:t>
      </w:r>
      <w:bookmarkEnd w:id="114"/>
      <w:bookmarkEnd w:id="119"/>
      <w:bookmarkEnd w:id="120"/>
      <w:bookmarkEnd w:id="121"/>
      <w:bookmarkStart w:id="123" w:name="_Toc15396619"/>
    </w:p>
    <w:p w14:paraId="1F6002C0">
      <w:pPr>
        <w:pStyle w:val="4"/>
        <w:rPr>
          <w:rFonts w:ascii="仿宋" w:hAnsi="仿宋" w:eastAsia="仿宋"/>
          <w:color w:val="auto"/>
          <w:highlight w:val="none"/>
        </w:rPr>
      </w:pPr>
      <w:bookmarkStart w:id="124" w:name="_Toc10345"/>
      <w:bookmarkStart w:id="125" w:name="_Toc6685"/>
      <w:r>
        <w:rPr>
          <w:rFonts w:hint="eastAsia" w:ascii="仿宋" w:hAnsi="仿宋" w:eastAsia="仿宋"/>
          <w:b w:val="0"/>
          <w:color w:val="auto"/>
          <w:highlight w:val="none"/>
        </w:rPr>
        <w:t>一、收</w:t>
      </w:r>
      <w:r>
        <w:rPr>
          <w:rStyle w:val="30"/>
          <w:rFonts w:hint="eastAsia" w:ascii="仿宋" w:hAnsi="仿宋" w:eastAsia="仿宋"/>
          <w:b w:val="0"/>
          <w:bCs w:val="0"/>
          <w:color w:val="auto"/>
          <w:highlight w:val="none"/>
        </w:rPr>
        <w:t>入支出决算总表</w:t>
      </w:r>
      <w:bookmarkEnd w:id="123"/>
      <w:bookmarkEnd w:id="124"/>
      <w:bookmarkEnd w:id="125"/>
    </w:p>
    <w:p w14:paraId="4E31C382">
      <w:pPr>
        <w:pStyle w:val="4"/>
        <w:rPr>
          <w:rFonts w:ascii="仿宋" w:hAnsi="仿宋" w:eastAsia="仿宋"/>
          <w:color w:val="auto"/>
          <w:highlight w:val="none"/>
        </w:rPr>
      </w:pPr>
      <w:bookmarkStart w:id="126" w:name="_Toc27468"/>
      <w:bookmarkStart w:id="127" w:name="_Toc15538"/>
      <w:bookmarkStart w:id="128" w:name="_Toc15396620"/>
      <w:r>
        <w:rPr>
          <w:rFonts w:hint="eastAsia" w:ascii="仿宋" w:hAnsi="仿宋" w:eastAsia="仿宋"/>
          <w:b w:val="0"/>
          <w:color w:val="auto"/>
          <w:highlight w:val="none"/>
        </w:rPr>
        <w:t>二、收</w:t>
      </w:r>
      <w:r>
        <w:rPr>
          <w:rStyle w:val="30"/>
          <w:rFonts w:hint="eastAsia" w:ascii="仿宋" w:hAnsi="仿宋" w:eastAsia="仿宋"/>
          <w:b w:val="0"/>
          <w:bCs w:val="0"/>
          <w:color w:val="auto"/>
          <w:highlight w:val="none"/>
        </w:rPr>
        <w:t>入决算表</w:t>
      </w:r>
      <w:bookmarkEnd w:id="126"/>
      <w:bookmarkEnd w:id="127"/>
      <w:bookmarkEnd w:id="128"/>
    </w:p>
    <w:p w14:paraId="4D9F1CEB">
      <w:pPr>
        <w:pStyle w:val="4"/>
        <w:rPr>
          <w:rFonts w:ascii="仿宋" w:hAnsi="仿宋" w:eastAsia="仿宋"/>
          <w:color w:val="auto"/>
          <w:highlight w:val="none"/>
        </w:rPr>
      </w:pPr>
      <w:bookmarkStart w:id="129" w:name="_Toc19711"/>
      <w:bookmarkStart w:id="130" w:name="_Toc28376"/>
      <w:bookmarkStart w:id="131" w:name="_Toc15396621"/>
      <w:r>
        <w:rPr>
          <w:rStyle w:val="30"/>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0"/>
          <w:rFonts w:hint="eastAsia" w:ascii="仿宋" w:hAnsi="仿宋" w:eastAsia="仿宋"/>
          <w:b w:val="0"/>
          <w:bCs w:val="0"/>
          <w:color w:val="auto"/>
          <w:highlight w:val="none"/>
        </w:rPr>
        <w:t>出决算表</w:t>
      </w:r>
      <w:bookmarkEnd w:id="129"/>
      <w:bookmarkEnd w:id="130"/>
      <w:bookmarkEnd w:id="131"/>
    </w:p>
    <w:p w14:paraId="7CF63501">
      <w:pPr>
        <w:pStyle w:val="4"/>
        <w:rPr>
          <w:rFonts w:ascii="仿宋" w:hAnsi="仿宋" w:eastAsia="仿宋"/>
          <w:b w:val="0"/>
          <w:color w:val="auto"/>
          <w:highlight w:val="none"/>
        </w:rPr>
      </w:pPr>
      <w:bookmarkStart w:id="132" w:name="_Toc18319"/>
      <w:bookmarkStart w:id="133" w:name="_Toc15396622"/>
      <w:bookmarkStart w:id="134" w:name="_Toc28315"/>
      <w:r>
        <w:rPr>
          <w:rStyle w:val="30"/>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政拨款收入支出决算总表</w:t>
      </w:r>
      <w:bookmarkEnd w:id="132"/>
      <w:bookmarkEnd w:id="133"/>
      <w:bookmarkEnd w:id="134"/>
    </w:p>
    <w:p w14:paraId="23951E44">
      <w:pPr>
        <w:pStyle w:val="4"/>
        <w:rPr>
          <w:rStyle w:val="30"/>
          <w:rFonts w:ascii="仿宋" w:hAnsi="仿宋" w:eastAsia="仿宋"/>
          <w:b w:val="0"/>
          <w:bCs w:val="0"/>
          <w:color w:val="auto"/>
          <w:highlight w:val="none"/>
        </w:rPr>
      </w:pPr>
      <w:bookmarkStart w:id="135" w:name="_Toc16651"/>
      <w:bookmarkStart w:id="136" w:name="_Toc23720"/>
      <w:bookmarkStart w:id="137" w:name="_Toc15396623"/>
      <w:r>
        <w:rPr>
          <w:rStyle w:val="30"/>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政拨款支出决算明细表</w:t>
      </w:r>
      <w:bookmarkEnd w:id="135"/>
      <w:bookmarkEnd w:id="136"/>
      <w:bookmarkEnd w:id="137"/>
      <w:bookmarkStart w:id="138" w:name="_Toc15396624"/>
    </w:p>
    <w:p w14:paraId="2B7685B1">
      <w:pPr>
        <w:pStyle w:val="4"/>
        <w:rPr>
          <w:rFonts w:ascii="仿宋" w:hAnsi="仿宋" w:eastAsia="仿宋"/>
          <w:color w:val="auto"/>
          <w:highlight w:val="none"/>
        </w:rPr>
      </w:pPr>
      <w:bookmarkStart w:id="139" w:name="_Toc14708"/>
      <w:bookmarkStart w:id="140" w:name="_Toc16830"/>
      <w:r>
        <w:rPr>
          <w:rStyle w:val="30"/>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般公共预算财政拨款支出决算表</w:t>
      </w:r>
      <w:bookmarkEnd w:id="138"/>
      <w:bookmarkEnd w:id="139"/>
      <w:bookmarkEnd w:id="140"/>
    </w:p>
    <w:p w14:paraId="18CECAD6">
      <w:pPr>
        <w:pStyle w:val="4"/>
        <w:rPr>
          <w:rFonts w:ascii="仿宋" w:hAnsi="仿宋" w:eastAsia="仿宋"/>
          <w:color w:val="auto"/>
          <w:highlight w:val="none"/>
        </w:rPr>
      </w:pPr>
      <w:bookmarkStart w:id="141" w:name="_Toc20491"/>
      <w:bookmarkStart w:id="142" w:name="_Toc3959"/>
      <w:bookmarkStart w:id="143" w:name="_Toc15396625"/>
      <w:r>
        <w:rPr>
          <w:rStyle w:val="30"/>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般公共预算财政拨款支出决算明细表</w:t>
      </w:r>
      <w:bookmarkEnd w:id="141"/>
      <w:bookmarkEnd w:id="142"/>
      <w:bookmarkEnd w:id="143"/>
    </w:p>
    <w:p w14:paraId="48F7FE4B">
      <w:pPr>
        <w:pStyle w:val="4"/>
        <w:rPr>
          <w:rFonts w:ascii="仿宋" w:hAnsi="仿宋" w:eastAsia="仿宋"/>
          <w:color w:val="auto"/>
          <w:highlight w:val="none"/>
        </w:rPr>
      </w:pPr>
      <w:bookmarkStart w:id="144" w:name="_Toc15396626"/>
      <w:bookmarkStart w:id="145" w:name="_Toc17963"/>
      <w:bookmarkStart w:id="146" w:name="_Toc19108"/>
      <w:r>
        <w:rPr>
          <w:rStyle w:val="30"/>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般公共预算财政拨款基本支出决算表</w:t>
      </w:r>
      <w:bookmarkEnd w:id="144"/>
      <w:bookmarkEnd w:id="145"/>
      <w:bookmarkEnd w:id="146"/>
    </w:p>
    <w:p w14:paraId="3EAE7F23">
      <w:pPr>
        <w:pStyle w:val="4"/>
        <w:rPr>
          <w:rFonts w:ascii="仿宋" w:hAnsi="仿宋" w:eastAsia="仿宋"/>
          <w:color w:val="auto"/>
          <w:highlight w:val="none"/>
        </w:rPr>
      </w:pPr>
      <w:bookmarkStart w:id="147" w:name="_Toc15883"/>
      <w:bookmarkStart w:id="148" w:name="_Toc15396627"/>
      <w:bookmarkStart w:id="149" w:name="_Toc9806"/>
      <w:r>
        <w:rPr>
          <w:rStyle w:val="30"/>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般公共预算财政拨款项目支出决算表</w:t>
      </w:r>
      <w:bookmarkEnd w:id="147"/>
      <w:bookmarkEnd w:id="148"/>
      <w:bookmarkEnd w:id="149"/>
    </w:p>
    <w:p w14:paraId="40C0A713">
      <w:pPr>
        <w:pStyle w:val="4"/>
        <w:rPr>
          <w:rFonts w:ascii="仿宋" w:hAnsi="仿宋" w:eastAsia="仿宋"/>
          <w:color w:val="auto"/>
          <w:highlight w:val="none"/>
        </w:rPr>
      </w:pPr>
      <w:bookmarkStart w:id="150" w:name="_Toc28645"/>
      <w:bookmarkStart w:id="151" w:name="_Toc15396628"/>
      <w:bookmarkStart w:id="152" w:name="_Toc15647"/>
      <w:r>
        <w:rPr>
          <w:rStyle w:val="30"/>
          <w:rFonts w:hint="eastAsia" w:ascii="仿宋" w:hAnsi="仿宋" w:eastAsia="仿宋"/>
          <w:b w:val="0"/>
          <w:bCs w:val="0"/>
          <w:color w:val="auto"/>
          <w:highlight w:val="none"/>
        </w:rPr>
        <w:t>十、</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般公共预算财政拨款“三公”经费支出决算表</w:t>
      </w:r>
      <w:bookmarkEnd w:id="150"/>
      <w:bookmarkEnd w:id="151"/>
      <w:bookmarkEnd w:id="152"/>
    </w:p>
    <w:p w14:paraId="07AE005C">
      <w:pPr>
        <w:pStyle w:val="4"/>
        <w:rPr>
          <w:rFonts w:ascii="仿宋" w:hAnsi="仿宋" w:eastAsia="仿宋"/>
          <w:color w:val="auto"/>
          <w:highlight w:val="none"/>
        </w:rPr>
      </w:pPr>
      <w:bookmarkStart w:id="153" w:name="_Toc1431"/>
      <w:bookmarkStart w:id="154" w:name="_Toc5806"/>
      <w:bookmarkStart w:id="155" w:name="_Toc15396629"/>
      <w:r>
        <w:rPr>
          <w:rStyle w:val="30"/>
          <w:rFonts w:hint="eastAsia" w:ascii="仿宋" w:hAnsi="仿宋" w:eastAsia="仿宋"/>
          <w:b w:val="0"/>
          <w:bCs w:val="0"/>
          <w:color w:val="auto"/>
          <w:highlight w:val="none"/>
        </w:rPr>
        <w:t>十一、</w:t>
      </w:r>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府性基金预算财政拨款收入支出决算表</w:t>
      </w:r>
      <w:bookmarkEnd w:id="153"/>
      <w:bookmarkEnd w:id="154"/>
      <w:bookmarkEnd w:id="155"/>
    </w:p>
    <w:p w14:paraId="638A85CC">
      <w:pPr>
        <w:pStyle w:val="4"/>
        <w:rPr>
          <w:rFonts w:ascii="仿宋" w:hAnsi="仿宋" w:eastAsia="仿宋"/>
          <w:color w:val="auto"/>
          <w:highlight w:val="none"/>
        </w:rPr>
      </w:pPr>
      <w:bookmarkStart w:id="156" w:name="_Toc15396630"/>
      <w:bookmarkStart w:id="157" w:name="_Toc7602"/>
      <w:bookmarkStart w:id="158" w:name="_Toc7085"/>
      <w:r>
        <w:rPr>
          <w:rStyle w:val="30"/>
          <w:rFonts w:hint="eastAsia" w:ascii="仿宋" w:hAnsi="仿宋" w:eastAsia="仿宋"/>
          <w:b w:val="0"/>
          <w:bCs w:val="0"/>
          <w:color w:val="auto"/>
          <w:highlight w:val="none"/>
        </w:rPr>
        <w:t>十二、</w:t>
      </w:r>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府性基金预算财政拨款“三公”经费支出决算表</w:t>
      </w:r>
      <w:bookmarkEnd w:id="156"/>
      <w:bookmarkEnd w:id="157"/>
      <w:bookmarkEnd w:id="158"/>
    </w:p>
    <w:p w14:paraId="11BDF067">
      <w:pPr>
        <w:pStyle w:val="4"/>
        <w:rPr>
          <w:rStyle w:val="30"/>
          <w:rFonts w:ascii="仿宋" w:hAnsi="仿宋" w:eastAsia="仿宋"/>
          <w:b w:val="0"/>
          <w:bCs w:val="0"/>
          <w:color w:val="auto"/>
          <w:highlight w:val="none"/>
        </w:rPr>
      </w:pPr>
      <w:bookmarkStart w:id="159" w:name="_Toc15396631"/>
      <w:bookmarkStart w:id="160" w:name="_Toc2329"/>
      <w:bookmarkStart w:id="161" w:name="_Toc17538"/>
      <w:r>
        <w:rPr>
          <w:rStyle w:val="30"/>
          <w:rFonts w:hint="eastAsia" w:ascii="仿宋" w:hAnsi="仿宋" w:eastAsia="仿宋"/>
          <w:b w:val="0"/>
          <w:bCs w:val="0"/>
          <w:color w:val="auto"/>
          <w:highlight w:val="none"/>
        </w:rPr>
        <w:t>十三、</w:t>
      </w:r>
      <w:r>
        <w:rPr>
          <w:rFonts w:hint="eastAsia" w:ascii="仿宋" w:hAnsi="仿宋" w:eastAsia="仿宋"/>
          <w:b w:val="0"/>
          <w:color w:val="auto"/>
          <w:highlight w:val="none"/>
        </w:rPr>
        <w:t>国</w:t>
      </w:r>
      <w:r>
        <w:rPr>
          <w:rStyle w:val="30"/>
          <w:rFonts w:hint="eastAsia" w:ascii="仿宋" w:hAnsi="仿宋" w:eastAsia="仿宋"/>
          <w:b w:val="0"/>
          <w:bCs w:val="0"/>
          <w:color w:val="auto"/>
          <w:highlight w:val="none"/>
        </w:rPr>
        <w:t>有资本经营预算财政拨款收入支出决算表</w:t>
      </w:r>
      <w:bookmarkEnd w:id="159"/>
      <w:bookmarkEnd w:id="160"/>
      <w:bookmarkEnd w:id="161"/>
    </w:p>
    <w:p w14:paraId="6DCB07CA">
      <w:pPr>
        <w:rPr>
          <w:rFonts w:eastAsia="仿宋"/>
          <w:color w:val="auto"/>
          <w:highlight w:val="none"/>
        </w:rPr>
      </w:pPr>
      <w:bookmarkStart w:id="162" w:name="_Toc30635"/>
      <w:bookmarkStart w:id="163" w:name="_Toc21054"/>
      <w:r>
        <w:rPr>
          <w:rStyle w:val="30"/>
          <w:rFonts w:hint="eastAsia" w:ascii="仿宋" w:hAnsi="仿宋" w:eastAsia="仿宋"/>
          <w:b w:val="0"/>
          <w:bCs w:val="0"/>
          <w:color w:val="auto"/>
          <w:highlight w:val="none"/>
        </w:rPr>
        <w:t>十四、国有资本经营预算财政拨款支出决算表</w:t>
      </w:r>
      <w:bookmarkEnd w:id="162"/>
      <w:bookmarkEnd w:id="163"/>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2829D9F-A8C6-44A7-826A-A2433D54312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615DB7B-7921-4CE9-8BCD-00A38A5D6CCC}"/>
  </w:font>
  <w:font w:name="Cambria">
    <w:panose1 w:val="02040503050406030204"/>
    <w:charset w:val="00"/>
    <w:family w:val="roman"/>
    <w:pitch w:val="default"/>
    <w:sig w:usb0="E00006FF" w:usb1="420024FF" w:usb2="02000000" w:usb3="00000000" w:csb0="2000019F" w:csb1="00000000"/>
    <w:embedRegular r:id="rId3" w:fontKey="{B1F201A4-EC23-4BDE-A07D-723C429C5C3C}"/>
  </w:font>
  <w:font w:name="仿宋_GB2312">
    <w:altName w:val="仿宋"/>
    <w:panose1 w:val="00000000000000000000"/>
    <w:charset w:val="86"/>
    <w:family w:val="modern"/>
    <w:pitch w:val="default"/>
    <w:sig w:usb0="00000000" w:usb1="00000000" w:usb2="00000000" w:usb3="00000000" w:csb0="00040000" w:csb1="00000000"/>
    <w:embedRegular r:id="rId4" w:fontKey="{60AEC224-0A0E-41EC-8892-8D437C8FD67A}"/>
  </w:font>
  <w:font w:name="仿宋">
    <w:panose1 w:val="02010609060101010101"/>
    <w:charset w:val="86"/>
    <w:family w:val="auto"/>
    <w:pitch w:val="default"/>
    <w:sig w:usb0="800002BF" w:usb1="38CF7CFA" w:usb2="00000016" w:usb3="00000000" w:csb0="00040001" w:csb1="00000000"/>
    <w:embedRegular r:id="rId5" w:fontKey="{440A8B00-C1B1-4CC6-AD65-149FB84C475C}"/>
  </w:font>
  <w:font w:name="等线 Light">
    <w:panose1 w:val="02010600030101010101"/>
    <w:charset w:val="86"/>
    <w:family w:val="auto"/>
    <w:pitch w:val="default"/>
    <w:sig w:usb0="A00002BF" w:usb1="38CF7CFA" w:usb2="00000016" w:usb3="00000000" w:csb0="0004000F" w:csb1="00000000"/>
    <w:embedRegular r:id="rId6" w:fontKey="{F234C9F9-6F8E-42AA-A308-6B92EE526A26}"/>
  </w:font>
  <w:font w:name="方正小标宋简体">
    <w:panose1 w:val="02000000000000000000"/>
    <w:charset w:val="86"/>
    <w:family w:val="script"/>
    <w:pitch w:val="default"/>
    <w:sig w:usb0="00000001" w:usb1="08000000" w:usb2="00000000" w:usb3="00000000" w:csb0="00040000" w:csb1="00000000"/>
    <w:embedRegular r:id="rId7" w:fontKey="{CC25B205-B243-42BD-A4C1-60E247427E7F}"/>
  </w:font>
  <w:font w:name="方正小标宋_GBK">
    <w:panose1 w:val="02000000000000000000"/>
    <w:charset w:val="86"/>
    <w:family w:val="auto"/>
    <w:pitch w:val="default"/>
    <w:sig w:usb0="A00002BF" w:usb1="38CF7CFA" w:usb2="00082016" w:usb3="00000000" w:csb0="00040001" w:csb1="00000000"/>
    <w:embedRegular r:id="rId8" w:fontKey="{447CC3CF-E339-4943-9640-533DA911714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5D4F980E">
        <w:pPr>
          <w:pStyle w:val="11"/>
          <w:jc w:val="center"/>
        </w:pPr>
        <w:r>
          <w:fldChar w:fldCharType="begin"/>
        </w:r>
        <w:r>
          <w:instrText xml:space="preserve">PAGE   \* MERGEFORMAT</w:instrText>
        </w:r>
        <w:r>
          <w:fldChar w:fldCharType="separate"/>
        </w:r>
        <w:r>
          <w:rPr>
            <w:lang w:val="zh-CN"/>
          </w:rPr>
          <w:t>12</w:t>
        </w:r>
        <w:r>
          <w:fldChar w:fldCharType="end"/>
        </w:r>
      </w:p>
    </w:sdtContent>
  </w:sdt>
  <w:p w14:paraId="5A3BA0E3">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F4EB2">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492B4FE"/>
    <w:multiLevelType w:val="singleLevel"/>
    <w:tmpl w:val="6492B4FE"/>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F1361C"/>
    <w:rsid w:val="000222C6"/>
    <w:rsid w:val="0002549F"/>
    <w:rsid w:val="00041DE6"/>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23445EE"/>
    <w:rsid w:val="0A2032A3"/>
    <w:rsid w:val="0B7B343A"/>
    <w:rsid w:val="0B8A37D8"/>
    <w:rsid w:val="0CDB6FDB"/>
    <w:rsid w:val="0E602E48"/>
    <w:rsid w:val="0EC71F0D"/>
    <w:rsid w:val="10C055FF"/>
    <w:rsid w:val="112C7A85"/>
    <w:rsid w:val="118107EC"/>
    <w:rsid w:val="11DD6519"/>
    <w:rsid w:val="12910332"/>
    <w:rsid w:val="13556CBD"/>
    <w:rsid w:val="15275352"/>
    <w:rsid w:val="157E27B0"/>
    <w:rsid w:val="16BB723D"/>
    <w:rsid w:val="177D300F"/>
    <w:rsid w:val="18015F3F"/>
    <w:rsid w:val="1A8B70F7"/>
    <w:rsid w:val="1BE8440E"/>
    <w:rsid w:val="1D155CEE"/>
    <w:rsid w:val="20F57F95"/>
    <w:rsid w:val="219B79A3"/>
    <w:rsid w:val="23066A21"/>
    <w:rsid w:val="240371BF"/>
    <w:rsid w:val="24D54B4E"/>
    <w:rsid w:val="25C741E6"/>
    <w:rsid w:val="274328C3"/>
    <w:rsid w:val="27842671"/>
    <w:rsid w:val="28CD6DED"/>
    <w:rsid w:val="29FD04D3"/>
    <w:rsid w:val="2ABE7A3E"/>
    <w:rsid w:val="2BAE4DE0"/>
    <w:rsid w:val="2C0D4D5A"/>
    <w:rsid w:val="2EFA178C"/>
    <w:rsid w:val="30B46D73"/>
    <w:rsid w:val="319F7F4E"/>
    <w:rsid w:val="32E05DEF"/>
    <w:rsid w:val="335625AD"/>
    <w:rsid w:val="353C0D20"/>
    <w:rsid w:val="35F21D78"/>
    <w:rsid w:val="38D022C5"/>
    <w:rsid w:val="38D41A31"/>
    <w:rsid w:val="39AE70AB"/>
    <w:rsid w:val="3C0C0783"/>
    <w:rsid w:val="3F795B0E"/>
    <w:rsid w:val="3F9F3A96"/>
    <w:rsid w:val="409D35B1"/>
    <w:rsid w:val="493C27E9"/>
    <w:rsid w:val="496F39ED"/>
    <w:rsid w:val="49FF41D3"/>
    <w:rsid w:val="4A185DC8"/>
    <w:rsid w:val="4BE068DB"/>
    <w:rsid w:val="4BF6002B"/>
    <w:rsid w:val="4C497E60"/>
    <w:rsid w:val="4ECE2238"/>
    <w:rsid w:val="4FD61684"/>
    <w:rsid w:val="503645ED"/>
    <w:rsid w:val="508F3649"/>
    <w:rsid w:val="51DB4B86"/>
    <w:rsid w:val="52FB5859"/>
    <w:rsid w:val="55333C3E"/>
    <w:rsid w:val="58737E60"/>
    <w:rsid w:val="5A080075"/>
    <w:rsid w:val="5EEF25B2"/>
    <w:rsid w:val="610A6086"/>
    <w:rsid w:val="61D208C9"/>
    <w:rsid w:val="63D50AD8"/>
    <w:rsid w:val="64A80084"/>
    <w:rsid w:val="64CA39A1"/>
    <w:rsid w:val="65B126BB"/>
    <w:rsid w:val="66AD5A86"/>
    <w:rsid w:val="6BA976DB"/>
    <w:rsid w:val="6C4A05C8"/>
    <w:rsid w:val="6C6E6699"/>
    <w:rsid w:val="6EDA0CDC"/>
    <w:rsid w:val="72734D90"/>
    <w:rsid w:val="727D7081"/>
    <w:rsid w:val="72E456B5"/>
    <w:rsid w:val="73355E4C"/>
    <w:rsid w:val="74E366CA"/>
    <w:rsid w:val="77501CC0"/>
    <w:rsid w:val="79E7B28D"/>
    <w:rsid w:val="7A9875FE"/>
    <w:rsid w:val="7AC82E51"/>
    <w:rsid w:val="7BAF050F"/>
    <w:rsid w:val="7BFA24EA"/>
    <w:rsid w:val="7CAB154F"/>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4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7"/>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8"/>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rPr>
      <w:sz w:val="24"/>
    </w:rPr>
  </w:style>
  <w:style w:type="paragraph" w:styleId="16">
    <w:name w:val="Body Text First Indent 2"/>
    <w:basedOn w:val="8"/>
    <w:link w:val="39"/>
    <w:qFormat/>
    <w:uiPriority w:val="99"/>
    <w:pPr>
      <w:ind w:firstLine="420" w:firstLineChars="200"/>
    </w:p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3"/>
    <w:qFormat/>
    <w:uiPriority w:val="9"/>
    <w:rPr>
      <w:rFonts w:ascii="Times New Roman" w:hAnsi="Times New Roman"/>
      <w:b/>
      <w:bCs/>
      <w:kern w:val="44"/>
      <w:sz w:val="44"/>
      <w:szCs w:val="44"/>
    </w:rPr>
  </w:style>
  <w:style w:type="character" w:customStyle="1" w:styleId="30">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4"/>
    <w:qFormat/>
    <w:uiPriority w:val="0"/>
    <w:rPr>
      <w:rFonts w:ascii="等线 Light" w:hAnsi="等线 Light" w:eastAsia="等线 Light" w:cs="Times New Roman"/>
      <w:b/>
      <w:bCs/>
      <w:kern w:val="2"/>
      <w:sz w:val="32"/>
      <w:szCs w:val="32"/>
    </w:rPr>
  </w:style>
  <w:style w:type="character" w:customStyle="1" w:styleId="37">
    <w:name w:val="正文文本 Char1"/>
    <w:basedOn w:val="18"/>
    <w:link w:val="2"/>
    <w:qFormat/>
    <w:uiPriority w:val="0"/>
    <w:rPr>
      <w:rFonts w:hint="eastAsia" w:ascii="仿宋_GB2312" w:eastAsia="仿宋_GB2312" w:cs="仿宋_GB2312"/>
      <w:sz w:val="24"/>
    </w:rPr>
  </w:style>
  <w:style w:type="character" w:customStyle="1" w:styleId="38">
    <w:name w:val="正文文本缩进 字符"/>
    <w:basedOn w:val="18"/>
    <w:link w:val="8"/>
    <w:qFormat/>
    <w:uiPriority w:val="0"/>
    <w:rPr>
      <w:rFonts w:hint="default" w:ascii="Times New Roman" w:hAnsi="Times New Roman" w:cs="Times New Roman"/>
      <w:kern w:val="2"/>
      <w:sz w:val="21"/>
      <w:szCs w:val="24"/>
    </w:rPr>
  </w:style>
  <w:style w:type="character" w:customStyle="1" w:styleId="39">
    <w:name w:val="正文首行缩进 2 字符"/>
    <w:basedOn w:val="38"/>
    <w:link w:val="16"/>
    <w:qFormat/>
    <w:uiPriority w:val="0"/>
    <w:rPr>
      <w:rFonts w:hint="default" w:ascii="Times New Roman" w:hAnsi="Times New Roman" w:cs="Times New Roman"/>
      <w:kern w:val="2"/>
      <w:sz w:val="21"/>
      <w:szCs w:val="24"/>
    </w:rPr>
  </w:style>
  <w:style w:type="character" w:customStyle="1" w:styleId="40">
    <w:name w:val="标题 2 字符"/>
    <w:basedOn w:val="18"/>
    <w:link w:val="4"/>
    <w:qFormat/>
    <w:uiPriority w:val="0"/>
    <w:rPr>
      <w:rFonts w:ascii="等线 Light" w:hAnsi="等线 Light" w:eastAsia="等线 Light"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697.2</c:v>
                </c:pt>
                <c:pt idx="1">
                  <c:v>708.33</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697.2</c:v>
                </c:pt>
                <c:pt idx="1">
                  <c:v>708.33</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6ded8975-747a-4a40-9f80-ca48463c1a11}"/>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9f7bea8c-3242-4be6-8ed8-cdd9b09a62a7}"/>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57.36</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42.64</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406.33</c:v>
                </c:pt>
                <c:pt idx="1">
                  <c:v>302</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extLst>
      <c:ext uri="{0b15fc19-7d7d-44ad-8c2d-2c3a37ce22c3}">
        <chartProps xmlns="https://web.wps.cn/et/2018/main" chartId="{830ff49d-6f1c-49fb-95b8-2f522f2b50cb}"/>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697.2</c:v>
                </c:pt>
                <c:pt idx="1">
                  <c:v>708.33</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697.2</c:v>
                </c:pt>
                <c:pt idx="1">
                  <c:v>708.33</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df493afc-fd7b-473d-b62e-fc1e17555fcd}"/>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697.2</c:v>
                </c:pt>
                <c:pt idx="1">
                  <c:v>708.33</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cfb98af0-c53a-4cda-92e9-fb42465fb0a4}"/>
      </c:ext>
    </c:extLst>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80" b="1" i="0" u="none" strike="noStrike" kern="1200" baseline="0">
                <a:solidFill>
                  <a:schemeClr val="dk1">
                    <a:lumMod val="65000"/>
                    <a:lumOff val="35000"/>
                  </a:schemeClr>
                </a:solidFill>
                <a:latin typeface="+mn-lt"/>
                <a:ea typeface="+mn-ea"/>
                <a:cs typeface="+mn-cs"/>
              </a:defRPr>
            </a:pPr>
            <a:r>
              <a:rPr sz="1080"/>
              <a:t>一般公共预算财政拨款支出决算结构</a:t>
            </a:r>
            <a:endParaRPr sz="1080"/>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Pt>
            <c:idx val="1"/>
            <c:bubble3D val="0"/>
            <c:spPr>
              <a:solidFill>
                <a:schemeClr val="accent2"/>
              </a:solidFill>
              <a:ln>
                <a:noFill/>
              </a:ln>
              <a:effectLst>
                <a:outerShdw blurRad="317500" algn="ctr" rotWithShape="0">
                  <a:prstClr val="black">
                    <a:alpha val="25000"/>
                  </a:prstClr>
                </a:outerShdw>
              </a:effectLst>
            </c:spPr>
          </c:dPt>
          <c:dLbls>
            <c:dLbl>
              <c:idx val="0"/>
              <c:layout>
                <c:manualLayout>
                  <c:x val="-0.00187524234346355"/>
                  <c:y val="-0.363504402515277"/>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sz="900"/>
                      <a:t>99.72</a:t>
                    </a:r>
                    <a:r>
                      <a:rPr sz="900"/>
                      <a:t>%</a:t>
                    </a:r>
                    <a:endParaRPr sz="900"/>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sz="900"/>
                      <a:t>0</a:t>
                    </a:r>
                    <a:r>
                      <a:rPr lang="en-US" altLang="zh-CN" sz="900"/>
                      <a:t>.28</a:t>
                    </a:r>
                    <a:r>
                      <a:rPr sz="900"/>
                      <a:t>%</a:t>
                    </a:r>
                    <a:endParaRPr sz="900"/>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教育支出（类）</c:v>
                </c:pt>
                <c:pt idx="1">
                  <c:v>文化旅游体育与传媒支出</c:v>
                </c:pt>
              </c:strCache>
            </c:strRef>
          </c:cat>
          <c:val>
            <c:numRef>
              <c:f>Sheet1!$B$2:$B$3</c:f>
              <c:numCache>
                <c:formatCode>General</c:formatCode>
                <c:ptCount val="2"/>
                <c:pt idx="0">
                  <c:v>99.72</c:v>
                </c:pt>
                <c:pt idx="1">
                  <c:v>0.28</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81eff879-7a34-41df-873d-726f83ab0c47}"/>
      </c:ext>
    </c:extLst>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extLst>
      <c:ext uri="{0b15fc19-7d7d-44ad-8c2d-2c3a37ce22c3}">
        <chartProps xmlns="https://web.wps.cn/et/2018/main" chartId="{ec4de98c-19cb-4eda-979e-c2f182d8d44e}"/>
      </c:ext>
    </c:extLst>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22</Pages>
  <Words>7455</Words>
  <Characters>7891</Characters>
  <Lines>47</Lines>
  <Paragraphs>13</Paragraphs>
  <TotalTime>2</TotalTime>
  <ScaleCrop>false</ScaleCrop>
  <LinksUpToDate>false</LinksUpToDate>
  <CharactersWithSpaces>8021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昭化融媒体</cp:lastModifiedBy>
  <cp:lastPrinted>2022-09-27T03:56:00Z</cp:lastPrinted>
  <dcterms:modified xsi:type="dcterms:W3CDTF">2025-01-06T05:12:30Z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90E9467CCEFE4D188C1A3EBDCF3991AB</vt:lpwstr>
  </property>
  <property fmtid="{D5CDD505-2E9C-101B-9397-08002B2CF9AE}" pid="4" name="KSOTemplateDocerSaveRecord">
    <vt:lpwstr>eyJoZGlkIjoiMGVhYTg4NGNkZWJkODFjNzcyZDRjM2M4Y2UzNjI5ZmUiLCJ1c2VySWQiOiI2MTE2MzEwMDYifQ==</vt:lpwstr>
  </property>
</Properties>
</file>