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111" w:name="_GoBack"/>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5396475"/>
      <w:bookmarkStart w:id="3" w:name="_Toc1681"/>
      <w:bookmarkStart w:id="4" w:name="_Toc15377425"/>
      <w:bookmarkStart w:id="5" w:name="_Toc15396597"/>
      <w:bookmarkStart w:id="6" w:name="_Toc15378441"/>
      <w:bookmarkStart w:id="7" w:name="_Toc23980"/>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8" w:name="_Toc17433"/>
      <w:bookmarkStart w:id="9" w:name="_Toc1473"/>
      <w:bookmarkStart w:id="10" w:name="_Toc15377194"/>
      <w:bookmarkStart w:id="11" w:name="_Toc15378442"/>
      <w:bookmarkStart w:id="12" w:name="_Toc15396476"/>
      <w:bookmarkStart w:id="13" w:name="_Toc15396598"/>
      <w:bookmarkStart w:id="14" w:name="_Toc15377426"/>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bookmarkEnd w:id="8"/>
      <w:bookmarkEnd w:id="9"/>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6" w:name="_Toc9679"/>
      <w:bookmarkStart w:id="17" w:name="_Toc2341"/>
      <w:r>
        <w:rPr>
          <w:rFonts w:hint="eastAsia" w:ascii="方正小标宋_GBK" w:hAnsi="方正小标宋_GBK" w:eastAsia="方正小标宋_GBK" w:cs="方正小标宋_GBK"/>
          <w:color w:val="auto"/>
          <w:sz w:val="72"/>
          <w:szCs w:val="72"/>
          <w:highlight w:val="none"/>
          <w:lang w:val="en-US" w:eastAsia="zh-CN"/>
        </w:rPr>
        <w:t>太公</w:t>
      </w:r>
      <w:r>
        <w:rPr>
          <w:rFonts w:hint="eastAsia" w:ascii="方正小标宋_GBK" w:hAnsi="方正小标宋_GBK" w:eastAsia="方正小标宋_GBK" w:cs="方正小标宋_GBK"/>
          <w:color w:val="auto"/>
          <w:sz w:val="72"/>
          <w:szCs w:val="72"/>
          <w:highlight w:val="none"/>
          <w:lang w:eastAsia="zh-CN"/>
        </w:rPr>
        <w:t>镇黄龙小学</w:t>
      </w:r>
      <w:r>
        <w:rPr>
          <w:rFonts w:hint="eastAsia" w:ascii="方正小标宋_GBK" w:hAnsi="方正小标宋_GBK" w:eastAsia="方正小标宋_GBK" w:cs="方正小标宋_GBK"/>
          <w:color w:val="auto"/>
          <w:sz w:val="72"/>
          <w:szCs w:val="72"/>
          <w:highlight w:val="none"/>
        </w:rPr>
        <w:t>单位决算</w:t>
      </w:r>
      <w:bookmarkEnd w:id="10"/>
      <w:bookmarkEnd w:id="11"/>
      <w:bookmarkEnd w:id="12"/>
      <w:bookmarkEnd w:id="13"/>
      <w:bookmarkEnd w:id="14"/>
      <w:bookmarkEnd w:id="15"/>
      <w:bookmarkEnd w:id="16"/>
      <w:bookmarkEnd w:id="17"/>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sz w:val="24"/>
          <w:szCs w:val="24"/>
          <w:highlight w:val="none"/>
        </w:rPr>
        <w:fldChar w:fldCharType="separate"/>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_Toc17785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_Toc17785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_Toc7404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_Toc7404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_Toc4463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_Toc4463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_Toc10437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_Toc10437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_Toc11923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_Toc11923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_Toc12678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_Toc12678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_Toc23757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_Toc23757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_Toc16373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_Toc16373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_Toc29438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_Toc29438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_Toc4818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_Toc4818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_Toc23871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_Toc23871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_Toc16944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_Toc16944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_Toc6245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_Toc20829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_Toc20829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_Toc32481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_Toc32481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_Toc16282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_Toc16282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_Toc27698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_Toc31149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_Toc31149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_Toc2969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_Toc2969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_Toc15951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_Toc15951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_Toc26411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_Toc26411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_Toc26015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_Toc26015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p>
    <w:p>
      <w:pPr>
        <w:rPr>
          <w:color w:val="auto"/>
          <w:highlight w:val="none"/>
        </w:rPr>
      </w:pPr>
    </w:p>
    <w:p>
      <w:pPr>
        <w:pStyle w:val="3"/>
        <w:bidi w:val="0"/>
        <w:rPr>
          <w:color w:val="auto"/>
          <w:highlight w:val="none"/>
        </w:rPr>
      </w:pPr>
      <w:bookmarkStart w:id="18" w:name="_Toc15396599"/>
      <w:bookmarkStart w:id="19" w:name="_Toc17785"/>
      <w:bookmarkStart w:id="20" w:name="_Toc15377196"/>
      <w:r>
        <w:rPr>
          <w:rFonts w:hint="eastAsia"/>
          <w:color w:val="auto"/>
          <w:highlight w:val="none"/>
        </w:rPr>
        <w:t>第一部分 单位概况</w:t>
      </w:r>
      <w:bookmarkEnd w:id="18"/>
      <w:bookmarkEnd w:id="19"/>
      <w:bookmarkEnd w:id="20"/>
    </w:p>
    <w:p>
      <w:pPr>
        <w:widowControl/>
        <w:jc w:val="left"/>
        <w:rPr>
          <w:rFonts w:ascii="黑体" w:eastAsia="黑体"/>
          <w:color w:val="auto"/>
          <w:sz w:val="32"/>
          <w:szCs w:val="32"/>
          <w:highlight w:val="none"/>
        </w:rPr>
      </w:pPr>
    </w:p>
    <w:p>
      <w:pPr>
        <w:pStyle w:val="4"/>
        <w:numPr>
          <w:ilvl w:val="0"/>
          <w:numId w:val="1"/>
        </w:numPr>
        <w:bidi w:val="0"/>
        <w:rPr>
          <w:rFonts w:hint="eastAsia" w:ascii="仿宋" w:hAnsi="仿宋" w:eastAsia="仿宋" w:cs="仿宋"/>
          <w:color w:val="auto"/>
          <w:highlight w:val="none"/>
        </w:rPr>
      </w:pPr>
      <w:bookmarkStart w:id="21" w:name="_Toc7404"/>
      <w:bookmarkStart w:id="22" w:name="_Toc15377197"/>
      <w:bookmarkStart w:id="23" w:name="_Toc15396600"/>
      <w:r>
        <w:rPr>
          <w:rFonts w:hint="eastAsia" w:ascii="仿宋" w:hAnsi="仿宋" w:eastAsia="仿宋" w:cs="仿宋"/>
          <w:color w:val="auto"/>
          <w:highlight w:val="none"/>
        </w:rPr>
        <w:t>职能简介</w:t>
      </w:r>
      <w:bookmarkEnd w:id="21"/>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w:t>
      </w:r>
      <w:r>
        <w:rPr>
          <w:rFonts w:hint="eastAsia" w:ascii="仿宋" w:hAnsi="仿宋" w:eastAsia="仿宋" w:cs="仿宋"/>
          <w:color w:val="auto"/>
          <w:sz w:val="32"/>
          <w:szCs w:val="32"/>
          <w:highlight w:val="none"/>
        </w:rPr>
        <w:t>在内的具体管理活动。</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bidi w:val="0"/>
        <w:rPr>
          <w:rFonts w:hint="eastAsia" w:ascii="仿宋" w:hAnsi="仿宋" w:eastAsia="仿宋" w:cs="仿宋"/>
          <w:color w:val="auto"/>
          <w:highlight w:val="none"/>
        </w:rPr>
      </w:pPr>
      <w:bookmarkStart w:id="24" w:name="_Toc4463"/>
      <w:r>
        <w:rPr>
          <w:rFonts w:hint="eastAsia" w:ascii="仿宋" w:hAnsi="仿宋" w:eastAsia="仿宋" w:cs="仿宋"/>
          <w:color w:val="auto"/>
          <w:highlight w:val="none"/>
        </w:rPr>
        <w:t>二、2021年重点工作</w:t>
      </w:r>
      <w:bookmarkEnd w:id="22"/>
      <w:bookmarkEnd w:id="23"/>
      <w:r>
        <w:rPr>
          <w:rFonts w:hint="eastAsia" w:ascii="仿宋" w:hAnsi="仿宋" w:eastAsia="仿宋" w:cs="仿宋"/>
          <w:color w:val="auto"/>
          <w:highlight w:val="none"/>
        </w:rPr>
        <w:t>完成情况</w:t>
      </w:r>
      <w:bookmarkEnd w:id="24"/>
    </w:p>
    <w:p>
      <w:pPr>
        <w:keepNext w:val="0"/>
        <w:keepLines w:val="0"/>
        <w:pageBreakBefore w:val="0"/>
        <w:widowControl w:val="0"/>
        <w:kinsoku/>
        <w:wordWrap/>
        <w:overflowPunct/>
        <w:topLinePunct w:val="0"/>
        <w:autoSpaceDE/>
        <w:autoSpaceDN/>
        <w:bidi w:val="0"/>
        <w:adjustRightInd/>
        <w:snapToGrid/>
        <w:spacing w:line="400" w:lineRule="atLeast"/>
        <w:ind w:left="0" w:leftChars="0"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1、党建工作扎实展开。一是认真开展党员四大学习(加强学习强国学习、学习十九届五中全会精神、学习法律法规、业务学习）；二是认真落实好“三会一课”、“党员固定日活动”、“党员三个一”、“志愿服务活动”和“教育扶贫”等活动，以强化组织建设，增强党组织的凝聚力；三是坚持贯彻民主集中制原则，凡重大事项均要通过支委会、行政会、教代会听取意见、统一思想、集体决策；四是学校支部制定了年度党风廉政建设工作计划，建立了“作风纪律”负面问题清单，制定了整改台账，签订了一个责任书和三个承诺书（《党风廉政建设责任书》、《黄龙小学教师师德师风承诺书》、《八小时之外活动自律承诺书》，《共产党员遵规守纪承诺书》）。</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640" w:firstLineChars="200"/>
        <w:textAlignment w:val="auto"/>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val="en-US" w:eastAsia="zh-CN"/>
        </w:rPr>
        <w:t>2</w:t>
      </w:r>
      <w:r>
        <w:rPr>
          <w:rFonts w:hint="eastAsia" w:ascii="仿宋" w:hAnsi="仿宋" w:eastAsia="仿宋" w:cs="仿宋"/>
          <w:b w:val="0"/>
          <w:bCs w:val="0"/>
          <w:color w:val="auto"/>
          <w:sz w:val="32"/>
          <w:szCs w:val="32"/>
          <w:highlight w:val="none"/>
          <w:lang w:eastAsia="zh-CN"/>
        </w:rPr>
        <w:t>、班子建设团结务实。由于今年班子人员补充较多，班子建设成为迫在眉睫。在班子建设上采用了“六个一工作法”（即：每周召开一次行政例会，每人管好一个处室，每人上好一门课，每人管好一个年级，每人带好一名普通教师，每期读一本好书）。一年来，学校班子团结勤政、战斗力逐步增强，群众逐渐提高，班子成员勤政廉洁，无违纪现象和不廉行为发生。</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3、教师队伍建设有力。我校教师队伍处于新旧更替阶段，为保证我校教育教学质量不滑坡，新教师的培养尤为重要。在新教师培养方面学校启用了“配导师、走出去、请进来、重实践”的培养模式。我校今年9月新进教师惠超、刘蓉蓉、何明娜、王菁4人，在开学初学校教科室举行了师徒结对仪式，4位新教师在11月份参加了为期一个月的“2020年国培计划中西部项目新教师入职培训”，12月8日昭化区“好老师共同体”学校（元坝一小、虎跳小学）联合送教到我校。</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4、特色发展初具雏形。今年秋季学校行政研究决定把我校的空地改造成劳动教育实践基地。在此基础上把我校打造成微田园特色学校。我们明确提出了“一二三四五”微田园特色学校建设方案，即“一个标准(课程标准），两个发展（促进学生发展，促进学校内涵发展），三个学段（低段1-2年级，中段3-4年级，高段5-6年级），四有（有教案，有教师，有课时，有阵地），五个结合（与实际结合，与课堂结合，与课外活动结合，与学生生活结合，与学生年龄特征相结合）”。</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5、疫情防控有效开展。我校严格按照中央和省市地各级指挥部安排部署，第一时间启动重大风险防控应急预案。强化组织领导，加大教育宣传，健全两案九制，精准信息摸排，紧密行程跟踪，坚持体温检测，严格门卫值班，有效做好消毒消杀和异常处置，加强各类传染病、流行病筛查预防。确保了人员安全和人心稳定。</w:t>
      </w:r>
    </w:p>
    <w:p>
      <w:pPr>
        <w:pStyle w:val="16"/>
        <w:ind w:left="0" w:leftChars="0" w:firstLine="640" w:firstLineChars="200"/>
        <w:rPr>
          <w:rFonts w:hint="eastAsia" w:ascii="仿宋" w:hAnsi="仿宋" w:eastAsia="仿宋" w:cs="仿宋"/>
          <w:color w:val="auto"/>
          <w:highlight w:val="none"/>
        </w:rPr>
      </w:pPr>
      <w:r>
        <w:rPr>
          <w:rFonts w:hint="eastAsia" w:ascii="仿宋" w:hAnsi="仿宋" w:eastAsia="仿宋" w:cs="仿宋"/>
          <w:b w:val="0"/>
          <w:bCs w:val="0"/>
          <w:color w:val="auto"/>
          <w:sz w:val="32"/>
          <w:szCs w:val="32"/>
          <w:highlight w:val="none"/>
          <w:lang w:val="en-US" w:eastAsia="zh-CN"/>
        </w:rPr>
        <w:t>6、教育质量常抓不懈。根据我校实际确定了学校教育教学质量在明年的考核中上升五位，甩掉基本合格，进入目标考核合格单位的目标。根据这一目标我们采用了“确立目标、分解目标、过程跟踪、责任问效”四步工作法。首先把学校目标分解到各处室、各班级，再分解到教师个人，做到人人有目标、人人有方向。然后在教学、在课堂等过程中跟进目标，我校本期已开展了两次成绩分析会，开学初的分析会重在定目标、定方向，第二次成绩分析会重在查问题、改方法。最后对目标完成情况纳入教师的绩效考核、年度考核</w:t>
      </w:r>
      <w:r>
        <w:rPr>
          <w:rFonts w:hint="eastAsia" w:ascii="仿宋" w:hAnsi="仿宋" w:eastAsia="仿宋" w:cs="华文仿宋"/>
          <w:color w:val="auto"/>
          <w:sz w:val="32"/>
          <w:szCs w:val="32"/>
          <w:highlight w:val="none"/>
          <w:lang w:val="en-US" w:eastAsia="zh-CN"/>
        </w:rPr>
        <w:t>和评优评先</w:t>
      </w:r>
      <w:r>
        <w:rPr>
          <w:rFonts w:hint="eastAsia" w:ascii="仿宋_GB2312" w:hAnsi="仿宋_GB2312" w:eastAsia="仿宋_GB2312"/>
          <w:b w:val="0"/>
          <w:color w:val="auto"/>
          <w:w w:val="100"/>
          <w:sz w:val="28"/>
          <w:szCs w:val="18"/>
          <w:highlight w:val="none"/>
          <w:lang w:eastAsia="zh-CN"/>
        </w:rPr>
        <w:t>。</w:t>
      </w:r>
    </w:p>
    <w:p>
      <w:pPr>
        <w:rPr>
          <w:rFonts w:hint="eastAsia" w:ascii="仿宋" w:hAnsi="仿宋" w:eastAsia="仿宋" w:cs="仿宋"/>
          <w:b w:val="0"/>
          <w:color w:val="auto"/>
          <w:highlight w:val="none"/>
        </w:rPr>
      </w:pPr>
      <w:bookmarkStart w:id="25" w:name="_Toc15377204"/>
      <w:bookmarkStart w:id="26" w:name="_Toc15396602"/>
      <w:r>
        <w:rPr>
          <w:rFonts w:hint="eastAsia" w:ascii="仿宋" w:hAnsi="仿宋" w:eastAsia="仿宋" w:cs="仿宋"/>
          <w:b w:val="0"/>
          <w:color w:val="auto"/>
          <w:highlight w:val="none"/>
        </w:rPr>
        <w:br w:type="page"/>
      </w:r>
    </w:p>
    <w:p>
      <w:pPr>
        <w:pStyle w:val="3"/>
        <w:bidi w:val="0"/>
        <w:rPr>
          <w:rFonts w:hint="eastAsia" w:ascii="仿宋" w:hAnsi="仿宋" w:eastAsia="仿宋" w:cs="仿宋"/>
          <w:color w:val="auto"/>
          <w:highlight w:val="none"/>
        </w:rPr>
      </w:pPr>
      <w:bookmarkStart w:id="27" w:name="_Toc10437"/>
      <w:r>
        <w:rPr>
          <w:rFonts w:hint="eastAsia" w:ascii="仿宋" w:hAnsi="仿宋" w:eastAsia="仿宋" w:cs="仿宋"/>
          <w:color w:val="auto"/>
          <w:highlight w:val="none"/>
        </w:rPr>
        <w:t>第二部分 2021年度单位决算情况说明</w:t>
      </w:r>
      <w:bookmarkEnd w:id="25"/>
      <w:bookmarkEnd w:id="26"/>
      <w:bookmarkEnd w:id="27"/>
    </w:p>
    <w:p>
      <w:pPr>
        <w:rPr>
          <w:rFonts w:hint="eastAsia" w:ascii="仿宋" w:hAnsi="仿宋" w:eastAsia="仿宋" w:cs="仿宋"/>
          <w:color w:val="auto"/>
          <w:highlight w:val="none"/>
        </w:rPr>
      </w:pPr>
    </w:p>
    <w:p>
      <w:pPr>
        <w:pStyle w:val="4"/>
        <w:numPr>
          <w:ilvl w:val="0"/>
          <w:numId w:val="2"/>
        </w:numPr>
        <w:bidi w:val="0"/>
        <w:ind w:left="0" w:leftChars="0" w:firstLine="643" w:firstLineChars="200"/>
        <w:rPr>
          <w:rFonts w:hint="eastAsia" w:ascii="仿宋" w:hAnsi="仿宋" w:eastAsia="仿宋" w:cs="仿宋"/>
          <w:color w:val="auto"/>
          <w:highlight w:val="none"/>
        </w:rPr>
      </w:pPr>
      <w:bookmarkStart w:id="28" w:name="_Toc5075"/>
      <w:bookmarkStart w:id="29" w:name="_Toc15396603"/>
      <w:bookmarkStart w:id="30" w:name="_Toc15377205"/>
      <w:r>
        <w:rPr>
          <w:rFonts w:hint="eastAsia" w:ascii="仿宋" w:hAnsi="仿宋" w:eastAsia="仿宋" w:cs="仿宋"/>
          <w:color w:val="auto"/>
          <w:highlight w:val="none"/>
        </w:rPr>
        <w:t>收入支出决算总体情况说明</w:t>
      </w:r>
      <w:bookmarkEnd w:id="28"/>
      <w:bookmarkEnd w:id="29"/>
      <w:bookmarkEnd w:id="30"/>
    </w:p>
    <w:p>
      <w:pPr>
        <w:spacing w:line="600" w:lineRule="exact"/>
        <w:ind w:firstLine="640" w:firstLineChars="200"/>
        <w:outlineLvl w:val="1"/>
        <w:rPr>
          <w:rFonts w:hint="eastAsia" w:ascii="仿宋" w:hAnsi="仿宋" w:eastAsia="仿宋" w:cs="仿宋"/>
          <w:color w:val="auto"/>
          <w:highlight w:val="none"/>
          <w:lang w:eastAsia="zh-CN"/>
        </w:rPr>
      </w:pPr>
      <w:bookmarkStart w:id="31" w:name="_Toc9801"/>
      <w:bookmarkStart w:id="32" w:name="_Toc20585"/>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570.7</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减少32.53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减少5.39%</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bookmarkEnd w:id="31"/>
      <w:bookmarkEnd w:id="32"/>
    </w:p>
    <w:p>
      <w:pPr>
        <w:pStyle w:val="4"/>
        <w:numPr>
          <w:ilvl w:val="0"/>
          <w:numId w:val="2"/>
        </w:numPr>
        <w:bidi w:val="0"/>
        <w:ind w:left="0" w:leftChars="0" w:firstLine="643" w:firstLineChars="200"/>
        <w:jc w:val="left"/>
        <w:rPr>
          <w:rFonts w:hint="eastAsia" w:ascii="仿宋" w:hAnsi="仿宋" w:eastAsia="仿宋" w:cs="仿宋"/>
          <w:color w:val="auto"/>
          <w:highlight w:val="none"/>
        </w:rPr>
      </w:pPr>
      <w:bookmarkStart w:id="33" w:name="_Toc15396604"/>
      <w:bookmarkStart w:id="34" w:name="_Toc15377206"/>
      <w:bookmarkStart w:id="35" w:name="_Toc11923"/>
      <w:r>
        <w:rPr>
          <w:rFonts w:hint="eastAsia" w:ascii="仿宋" w:hAnsi="仿宋" w:eastAsia="仿宋" w:cs="仿宋"/>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color w:val="auto"/>
          <w:highlight w:val="none"/>
        </w:rPr>
        <w:t>收入决算情况说明</w:t>
      </w:r>
      <w:bookmarkEnd w:id="33"/>
      <w:bookmarkEnd w:id="34"/>
      <w:bookmarkEnd w:id="35"/>
    </w:p>
    <w:p>
      <w:pPr>
        <w:spacing w:line="600" w:lineRule="exact"/>
        <w:ind w:firstLine="640" w:firstLineChars="200"/>
        <w:outlineLvl w:val="1"/>
        <w:rPr>
          <w:rFonts w:hint="eastAsia" w:ascii="仿宋" w:hAnsi="仿宋" w:eastAsia="仿宋" w:cs="仿宋"/>
          <w:color w:val="auto"/>
          <w:sz w:val="32"/>
          <w:szCs w:val="32"/>
          <w:highlight w:val="none"/>
          <w:lang w:eastAsia="zh-CN"/>
        </w:rPr>
      </w:pPr>
      <w:bookmarkStart w:id="36" w:name="_Toc28868"/>
      <w:bookmarkStart w:id="37" w:name="_Toc32714"/>
      <w:r>
        <w:rPr>
          <w:rFonts w:hint="eastAsia" w:ascii="仿宋" w:hAnsi="仿宋" w:eastAsia="仿宋" w:cs="仿宋"/>
          <w:color w:val="auto"/>
          <w:sz w:val="32"/>
          <w:szCs w:val="32"/>
          <w:highlight w:val="none"/>
        </w:rPr>
        <w:t>2021年本年收入合计</w:t>
      </w:r>
      <w:r>
        <w:rPr>
          <w:rFonts w:hint="eastAsia" w:ascii="仿宋" w:hAnsi="仿宋" w:eastAsia="仿宋" w:cs="仿宋"/>
          <w:color w:val="auto"/>
          <w:sz w:val="32"/>
          <w:szCs w:val="32"/>
          <w:highlight w:val="none"/>
          <w:lang w:val="en-US" w:eastAsia="zh-CN"/>
        </w:rPr>
        <w:t>570.7</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570.7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bookmarkEnd w:id="36"/>
      <w:bookmarkEnd w:id="37"/>
    </w:p>
    <w:p>
      <w:pPr>
        <w:pStyle w:val="16"/>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4"/>
        <w:bidi w:val="0"/>
        <w:rPr>
          <w:rFonts w:hint="eastAsia" w:ascii="仿宋" w:hAnsi="仿宋" w:eastAsia="仿宋" w:cs="仿宋"/>
          <w:color w:val="auto"/>
          <w:highlight w:val="none"/>
        </w:rPr>
      </w:pPr>
      <w:bookmarkStart w:id="38" w:name="_Toc15377207"/>
      <w:bookmarkStart w:id="39" w:name="_Toc15396605"/>
      <w:bookmarkStart w:id="40" w:name="_Toc2775"/>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支出决算情况说明</w:t>
      </w:r>
      <w:bookmarkEnd w:id="38"/>
      <w:bookmarkEnd w:id="39"/>
      <w:bookmarkEnd w:id="40"/>
    </w:p>
    <w:p>
      <w:pPr>
        <w:spacing w:line="600" w:lineRule="exact"/>
        <w:ind w:firstLine="640" w:firstLineChars="200"/>
        <w:outlineLvl w:val="1"/>
        <w:rPr>
          <w:rFonts w:hint="eastAsia" w:ascii="仿宋" w:hAnsi="仿宋" w:eastAsia="仿宋" w:cs="仿宋"/>
          <w:color w:val="auto"/>
          <w:sz w:val="32"/>
          <w:szCs w:val="32"/>
          <w:highlight w:val="none"/>
        </w:rPr>
      </w:pPr>
      <w:bookmarkStart w:id="41" w:name="_Toc6817"/>
      <w:bookmarkStart w:id="42" w:name="_Toc30363"/>
      <w:r>
        <w:rPr>
          <w:rFonts w:hint="eastAsia" w:ascii="仿宋" w:hAnsi="仿宋" w:eastAsia="仿宋" w:cs="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color w:val="auto"/>
          <w:sz w:val="32"/>
          <w:szCs w:val="32"/>
          <w:highlight w:val="none"/>
        </w:rPr>
        <w:t>2021年本年支出合计</w:t>
      </w:r>
      <w:r>
        <w:rPr>
          <w:rFonts w:hint="eastAsia" w:ascii="仿宋" w:hAnsi="仿宋" w:eastAsia="仿宋" w:cs="仿宋"/>
          <w:color w:val="auto"/>
          <w:sz w:val="32"/>
          <w:szCs w:val="32"/>
          <w:highlight w:val="none"/>
          <w:lang w:eastAsia="zh-CN"/>
        </w:rPr>
        <w:t>570.7</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eastAsia="zh-CN"/>
        </w:rPr>
        <w:t>410.7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71.96</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eastAsia="zh-CN"/>
        </w:rPr>
        <w:t>160.00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28.04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w:t>
      </w:r>
      <w:bookmarkEnd w:id="41"/>
      <w:bookmarkEnd w:id="42"/>
    </w:p>
    <w:p>
      <w:pPr>
        <w:pStyle w:val="4"/>
        <w:bidi w:val="0"/>
        <w:rPr>
          <w:rFonts w:hint="eastAsia" w:ascii="仿宋" w:hAnsi="仿宋" w:eastAsia="仿宋" w:cs="仿宋"/>
          <w:color w:val="auto"/>
          <w:highlight w:val="none"/>
        </w:rPr>
      </w:pPr>
      <w:bookmarkStart w:id="43" w:name="_Toc12678"/>
      <w:bookmarkStart w:id="44" w:name="_Toc15377208"/>
      <w:bookmarkStart w:id="45" w:name="_Toc15396606"/>
      <w:r>
        <w:rPr>
          <w:rFonts w:hint="eastAsia" w:ascii="仿宋" w:hAnsi="仿宋" w:eastAsia="仿宋" w:cs="仿宋"/>
          <w:color w:val="auto"/>
          <w:highlight w:val="none"/>
        </w:rPr>
        <w:t>四、财政拨款收入支出决算总体情况说明</w:t>
      </w:r>
      <w:bookmarkEnd w:id="43"/>
      <w:bookmarkEnd w:id="44"/>
      <w:bookmarkEnd w:id="4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2021年财政拨款收、支总计</w:t>
      </w:r>
      <w:r>
        <w:rPr>
          <w:rFonts w:hint="eastAsia" w:ascii="仿宋" w:hAnsi="仿宋" w:eastAsia="仿宋" w:cs="仿宋"/>
          <w:color w:val="auto"/>
          <w:sz w:val="32"/>
          <w:szCs w:val="32"/>
          <w:highlight w:val="none"/>
          <w:lang w:eastAsia="zh-CN"/>
        </w:rPr>
        <w:t>570.7</w:t>
      </w:r>
      <w:r>
        <w:rPr>
          <w:rFonts w:hint="eastAsia" w:ascii="仿宋" w:hAnsi="仿宋" w:eastAsia="仿宋" w:cs="仿宋"/>
          <w:color w:val="auto"/>
          <w:sz w:val="32"/>
          <w:szCs w:val="32"/>
          <w:highlight w:val="none"/>
        </w:rPr>
        <w:t>万元。与2020年相比，财政拨款收、支总计各</w:t>
      </w:r>
      <w:r>
        <w:rPr>
          <w:rFonts w:hint="eastAsia" w:ascii="仿宋" w:hAnsi="仿宋" w:eastAsia="仿宋" w:cs="仿宋"/>
          <w:color w:val="auto"/>
          <w:sz w:val="32"/>
          <w:szCs w:val="32"/>
          <w:highlight w:val="none"/>
          <w:lang w:eastAsia="zh-CN"/>
        </w:rPr>
        <w:t>减少32.53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减少5.39%</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p>
    <w:p>
      <w:pPr>
        <w:pStyle w:val="16"/>
        <w:rPr>
          <w:rFonts w:hint="eastAsia" w:ascii="仿宋" w:hAnsi="仿宋" w:eastAsia="仿宋" w:cs="仿宋"/>
          <w:color w:val="auto"/>
          <w:highlight w:val="none"/>
        </w:rPr>
      </w:pPr>
      <w:r>
        <w:rPr>
          <w:rFonts w:hint="eastAsia" w:ascii="仿宋" w:hAnsi="仿宋" w:eastAsia="仿宋" w:cs="仿宋"/>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4"/>
        <w:bidi w:val="0"/>
        <w:rPr>
          <w:rFonts w:hint="eastAsia" w:ascii="仿宋" w:hAnsi="仿宋" w:eastAsia="仿宋" w:cs="仿宋"/>
          <w:color w:val="auto"/>
          <w:highlight w:val="none"/>
        </w:rPr>
      </w:pPr>
      <w:bookmarkStart w:id="46" w:name="_Toc16782"/>
      <w:bookmarkStart w:id="47" w:name="_Toc15396607"/>
      <w:bookmarkStart w:id="48" w:name="_Toc15377209"/>
      <w:r>
        <w:rPr>
          <w:rFonts w:hint="eastAsia" w:ascii="仿宋" w:hAnsi="仿宋" w:eastAsia="仿宋" w:cs="仿宋"/>
          <w:color w:val="auto"/>
          <w:highlight w:val="none"/>
        </w:rPr>
        <w:t>五、一般公共预算财政拨款支出决算情况说明</w:t>
      </w:r>
      <w:bookmarkEnd w:id="46"/>
      <w:bookmarkEnd w:id="47"/>
      <w:bookmarkEnd w:id="48"/>
    </w:p>
    <w:p>
      <w:pPr>
        <w:spacing w:line="600" w:lineRule="exact"/>
        <w:ind w:firstLine="643" w:firstLineChars="200"/>
        <w:outlineLvl w:val="2"/>
        <w:rPr>
          <w:rFonts w:hint="eastAsia" w:ascii="仿宋" w:hAnsi="仿宋" w:eastAsia="仿宋" w:cs="仿宋"/>
          <w:b/>
          <w:color w:val="auto"/>
          <w:sz w:val="32"/>
          <w:szCs w:val="32"/>
          <w:highlight w:val="none"/>
        </w:rPr>
      </w:pPr>
      <w:bookmarkStart w:id="49" w:name="_Toc15377210"/>
      <w:r>
        <w:rPr>
          <w:rFonts w:hint="eastAsia" w:ascii="仿宋" w:hAnsi="仿宋" w:eastAsia="仿宋" w:cs="仿宋"/>
          <w:b/>
          <w:color w:val="auto"/>
          <w:sz w:val="32"/>
          <w:szCs w:val="32"/>
          <w:highlight w:val="none"/>
        </w:rPr>
        <w:t>（一）一般公共预算财政拨款支出决算总体情况</w:t>
      </w:r>
      <w:bookmarkEnd w:id="49"/>
    </w:p>
    <w:p>
      <w:pPr>
        <w:spacing w:line="600" w:lineRule="exact"/>
        <w:ind w:firstLine="64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eastAsia="zh-CN"/>
        </w:rPr>
        <w:t>570.7</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%。与2020年</w:t>
      </w:r>
      <w:r>
        <w:rPr>
          <w:rFonts w:hint="eastAsia" w:ascii="仿宋" w:hAnsi="仿宋" w:eastAsia="仿宋" w:cs="仿宋"/>
          <w:color w:val="auto"/>
          <w:sz w:val="32"/>
          <w:szCs w:val="32"/>
          <w:highlight w:val="none"/>
          <w:lang w:val="en-US" w:eastAsia="zh-CN"/>
        </w:rPr>
        <w:t>603.23</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rPr>
        <w:t>相比，一般公共预算财政拨款支出</w:t>
      </w:r>
      <w:r>
        <w:rPr>
          <w:rFonts w:hint="eastAsia" w:ascii="仿宋" w:hAnsi="仿宋" w:eastAsia="仿宋" w:cs="仿宋"/>
          <w:color w:val="auto"/>
          <w:sz w:val="32"/>
          <w:szCs w:val="32"/>
          <w:highlight w:val="none"/>
          <w:lang w:eastAsia="zh-CN"/>
        </w:rPr>
        <w:t>减少32.53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减少5.39%</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p>
    <w:p>
      <w:pPr>
        <w:spacing w:line="600" w:lineRule="exact"/>
        <w:ind w:firstLine="643" w:firstLineChars="200"/>
        <w:outlineLvl w:val="2"/>
        <w:rPr>
          <w:rFonts w:hint="eastAsia" w:ascii="仿宋" w:hAnsi="仿宋" w:eastAsia="仿宋" w:cs="仿宋"/>
          <w:b/>
          <w:color w:val="auto"/>
          <w:sz w:val="32"/>
          <w:szCs w:val="32"/>
          <w:highlight w:val="none"/>
        </w:rPr>
      </w:pPr>
      <w:bookmarkStart w:id="50" w:name="_Toc15377211"/>
      <w:r>
        <w:rPr>
          <w:rFonts w:hint="eastAsia" w:ascii="仿宋" w:hAnsi="仿宋" w:eastAsia="仿宋" w:cs="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color w:val="auto"/>
          <w:sz w:val="32"/>
          <w:szCs w:val="32"/>
          <w:highlight w:val="none"/>
        </w:rPr>
        <w:t>（二）一般公共预算财政拨款支出决算结构情况</w:t>
      </w:r>
      <w:bookmarkEnd w:id="50"/>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val="en-US" w:eastAsia="zh-CN"/>
        </w:rPr>
        <w:t>570.7</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教育支出（类）</w:t>
      </w:r>
      <w:r>
        <w:rPr>
          <w:rFonts w:hint="eastAsia" w:ascii="仿宋" w:hAnsi="仿宋" w:eastAsia="仿宋" w:cs="仿宋"/>
          <w:color w:val="auto"/>
          <w:sz w:val="32"/>
          <w:szCs w:val="32"/>
          <w:highlight w:val="none"/>
          <w:lang w:val="en-US" w:eastAsia="zh-CN"/>
        </w:rPr>
        <w:t>570.7</w:t>
      </w:r>
      <w:r>
        <w:rPr>
          <w:rFonts w:hint="eastAsia" w:ascii="仿宋" w:hAnsi="仿宋" w:eastAsia="仿宋" w:cs="仿宋"/>
          <w:color w:val="auto"/>
          <w:sz w:val="32"/>
          <w:szCs w:val="32"/>
          <w:highlight w:val="none"/>
        </w:rPr>
        <w:t>万元，占100%。</w:t>
      </w:r>
    </w:p>
    <w:p>
      <w:pPr>
        <w:spacing w:line="600" w:lineRule="exact"/>
        <w:ind w:left="0" w:leftChars="0" w:firstLine="643" w:firstLineChars="200"/>
        <w:rPr>
          <w:rFonts w:hint="eastAsia" w:ascii="仿宋" w:hAnsi="仿宋" w:eastAsia="仿宋" w:cs="仿宋"/>
          <w:b/>
          <w:color w:val="auto"/>
          <w:sz w:val="32"/>
          <w:szCs w:val="32"/>
          <w:highlight w:val="none"/>
        </w:rPr>
      </w:pPr>
      <w:bookmarkStart w:id="51" w:name="_Toc15377212"/>
      <w:r>
        <w:rPr>
          <w:rFonts w:hint="eastAsia" w:ascii="仿宋" w:hAnsi="仿宋" w:eastAsia="仿宋" w:cs="仿宋"/>
          <w:b/>
          <w:color w:val="auto"/>
          <w:sz w:val="32"/>
          <w:szCs w:val="32"/>
          <w:highlight w:val="none"/>
        </w:rPr>
        <w:t>（三）一般公共预算财政拨款支出决算具体情况</w:t>
      </w:r>
      <w:bookmarkEnd w:id="51"/>
    </w:p>
    <w:p>
      <w:pPr>
        <w:spacing w:line="600" w:lineRule="exact"/>
        <w:ind w:firstLine="643" w:firstLineChars="200"/>
        <w:outlineLvl w:val="2"/>
        <w:rPr>
          <w:rFonts w:hint="eastAsia" w:ascii="仿宋" w:hAnsi="仿宋" w:eastAsia="仿宋" w:cs="仿宋"/>
          <w:color w:val="auto"/>
          <w:sz w:val="32"/>
          <w:szCs w:val="32"/>
          <w:highlight w:val="none"/>
        </w:rPr>
      </w:pPr>
      <w:bookmarkStart w:id="52" w:name="_Toc15377444"/>
      <w:bookmarkStart w:id="53" w:name="_Toc15378460"/>
      <w:bookmarkStart w:id="54" w:name="_Toc15377213"/>
      <w:r>
        <w:rPr>
          <w:rFonts w:hint="eastAsia" w:ascii="仿宋" w:hAnsi="仿宋" w:eastAsia="仿宋" w:cs="仿宋"/>
          <w:b/>
          <w:color w:val="auto"/>
          <w:sz w:val="32"/>
          <w:szCs w:val="32"/>
          <w:highlight w:val="none"/>
        </w:rPr>
        <w:t>2021年一般公共预算支出决算数为</w:t>
      </w:r>
      <w:r>
        <w:rPr>
          <w:rFonts w:hint="eastAsia" w:ascii="仿宋" w:hAnsi="仿宋" w:eastAsia="仿宋" w:cs="仿宋"/>
          <w:b/>
          <w:color w:val="auto"/>
          <w:sz w:val="32"/>
          <w:szCs w:val="32"/>
          <w:highlight w:val="none"/>
          <w:lang w:val="en-US" w:eastAsia="zh-CN"/>
        </w:rPr>
        <w:t>570.7万元</w:t>
      </w:r>
      <w:r>
        <w:rPr>
          <w:rFonts w:hint="eastAsia" w:ascii="仿宋" w:hAnsi="仿宋" w:eastAsia="仿宋" w:cs="仿宋"/>
          <w:color w:val="auto"/>
          <w:sz w:val="32"/>
          <w:szCs w:val="32"/>
          <w:highlight w:val="none"/>
        </w:rPr>
        <w:t>，</w:t>
      </w:r>
      <w:r>
        <w:rPr>
          <w:rStyle w:val="19"/>
          <w:rFonts w:hint="eastAsia" w:ascii="仿宋" w:hAnsi="仿宋" w:eastAsia="仿宋" w:cs="仿宋"/>
          <w:bCs/>
          <w:color w:val="auto"/>
          <w:sz w:val="32"/>
          <w:szCs w:val="32"/>
          <w:highlight w:val="none"/>
        </w:rPr>
        <w:t>完成预算100%。其中：</w:t>
      </w:r>
      <w:bookmarkEnd w:id="52"/>
      <w:bookmarkEnd w:id="53"/>
      <w:bookmarkEnd w:id="54"/>
    </w:p>
    <w:p>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color w:val="auto"/>
          <w:sz w:val="32"/>
          <w:szCs w:val="32"/>
          <w:highlight w:val="none"/>
        </w:rPr>
        <w:t>1.教育205（类）普通教育02（款）</w:t>
      </w:r>
      <w:r>
        <w:rPr>
          <w:rStyle w:val="19"/>
          <w:rFonts w:hint="eastAsia" w:ascii="仿宋" w:hAnsi="仿宋" w:eastAsia="仿宋" w:cs="仿宋"/>
          <w:bCs/>
          <w:color w:val="auto"/>
          <w:sz w:val="32"/>
          <w:szCs w:val="32"/>
          <w:highlight w:val="none"/>
          <w:lang w:eastAsia="zh-CN"/>
        </w:rPr>
        <w:t>小学</w:t>
      </w:r>
      <w:r>
        <w:rPr>
          <w:rStyle w:val="19"/>
          <w:rFonts w:hint="eastAsia" w:ascii="仿宋" w:hAnsi="仿宋" w:eastAsia="仿宋" w:cs="仿宋"/>
          <w:bCs/>
          <w:color w:val="auto"/>
          <w:sz w:val="32"/>
          <w:szCs w:val="32"/>
          <w:highlight w:val="none"/>
        </w:rPr>
        <w:t>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eastAsia="zh-CN"/>
        </w:rPr>
        <w:t>410.7</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cs="仿宋"/>
          <w:b w:val="0"/>
          <w:bCs/>
          <w:color w:val="auto"/>
          <w:sz w:val="32"/>
          <w:szCs w:val="32"/>
          <w:highlight w:val="none"/>
        </w:rPr>
      </w:pPr>
      <w:r>
        <w:rPr>
          <w:rStyle w:val="19"/>
          <w:rFonts w:hint="eastAsia" w:ascii="仿宋" w:hAnsi="仿宋" w:eastAsia="仿宋" w:cs="仿宋"/>
          <w:bCs/>
          <w:color w:val="auto"/>
          <w:sz w:val="32"/>
          <w:szCs w:val="32"/>
          <w:highlight w:val="none"/>
        </w:rPr>
        <w:t>2.教育205（类）普通教育0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（款）</w:t>
      </w:r>
      <w:r>
        <w:rPr>
          <w:rStyle w:val="19"/>
          <w:rFonts w:hint="eastAsia" w:ascii="仿宋" w:hAnsi="仿宋" w:eastAsia="仿宋" w:cs="仿宋"/>
          <w:bCs/>
          <w:color w:val="auto"/>
          <w:sz w:val="32"/>
          <w:szCs w:val="32"/>
          <w:highlight w:val="none"/>
          <w:lang w:eastAsia="zh-CN"/>
        </w:rPr>
        <w:t>其他普通教育支出</w:t>
      </w:r>
      <w:r>
        <w:rPr>
          <w:rStyle w:val="19"/>
          <w:rFonts w:hint="eastAsia" w:ascii="仿宋" w:hAnsi="仿宋" w:eastAsia="仿宋" w:cs="仿宋"/>
          <w:bCs/>
          <w:color w:val="auto"/>
          <w:sz w:val="32"/>
          <w:szCs w:val="32"/>
          <w:highlight w:val="none"/>
        </w:rPr>
        <w:t>0</w:t>
      </w:r>
      <w:r>
        <w:rPr>
          <w:rStyle w:val="19"/>
          <w:rFonts w:hint="eastAsia" w:ascii="仿宋" w:hAnsi="仿宋" w:eastAsia="仿宋" w:cs="仿宋"/>
          <w:bCs/>
          <w:color w:val="auto"/>
          <w:sz w:val="32"/>
          <w:szCs w:val="32"/>
          <w:highlight w:val="none"/>
          <w:lang w:val="en-US" w:eastAsia="zh-CN"/>
        </w:rPr>
        <w:t>9</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val="en-US" w:eastAsia="zh-CN"/>
        </w:rPr>
        <w:t>160.00</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pStyle w:val="16"/>
        <w:rPr>
          <w:rFonts w:hint="eastAsia" w:ascii="仿宋" w:hAnsi="仿宋" w:eastAsia="仿宋" w:cs="仿宋"/>
          <w:color w:val="auto"/>
          <w:highlight w:val="none"/>
        </w:rPr>
      </w:pPr>
    </w:p>
    <w:p>
      <w:pPr>
        <w:pStyle w:val="4"/>
        <w:bidi w:val="0"/>
        <w:rPr>
          <w:rFonts w:hint="eastAsia" w:ascii="仿宋" w:hAnsi="仿宋" w:eastAsia="仿宋" w:cs="仿宋"/>
          <w:color w:val="auto"/>
          <w:highlight w:val="none"/>
        </w:rPr>
      </w:pPr>
      <w:bookmarkStart w:id="55" w:name="_Toc15396608"/>
      <w:bookmarkStart w:id="56" w:name="_Toc15377214"/>
      <w:bookmarkStart w:id="57" w:name="_Toc23757"/>
      <w:r>
        <w:rPr>
          <w:rFonts w:hint="eastAsia" w:ascii="仿宋" w:hAnsi="仿宋" w:eastAsia="仿宋" w:cs="仿宋"/>
          <w:color w:val="auto"/>
          <w:highlight w:val="none"/>
        </w:rPr>
        <w:t>六、一般公共预算财政拨款基本支出决算情况说明</w:t>
      </w:r>
      <w:bookmarkEnd w:id="55"/>
      <w:bookmarkEnd w:id="56"/>
      <w:bookmarkEnd w:id="57"/>
      <w:r>
        <w:rPr>
          <w:rFonts w:hint="eastAsia" w:ascii="仿宋" w:hAnsi="仿宋" w:eastAsia="仿宋" w:cs="仿宋"/>
          <w:color w:val="auto"/>
          <w:highlight w:val="none"/>
        </w:rPr>
        <w:tab/>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2021年一般公共预算财政拨款基本支出</w:t>
      </w:r>
      <w:r>
        <w:rPr>
          <w:rFonts w:hint="eastAsia" w:ascii="仿宋" w:hAnsi="仿宋" w:eastAsia="仿宋" w:cs="仿宋"/>
          <w:color w:val="auto"/>
          <w:sz w:val="32"/>
          <w:szCs w:val="32"/>
          <w:highlight w:val="none"/>
          <w:lang w:eastAsia="zh-CN"/>
        </w:rPr>
        <w:t>410.7</w:t>
      </w:r>
      <w:r>
        <w:rPr>
          <w:rFonts w:hint="eastAsia" w:ascii="仿宋" w:hAnsi="仿宋" w:eastAsia="仿宋" w:cs="仿宋"/>
          <w:color w:val="auto"/>
          <w:sz w:val="32"/>
          <w:szCs w:val="32"/>
          <w:highlight w:val="none"/>
        </w:rPr>
        <w:t>万元，其中：</w:t>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365.74</w:t>
      </w:r>
      <w:r>
        <w:rPr>
          <w:rFonts w:hint="eastAsia" w:ascii="仿宋" w:hAnsi="仿宋" w:eastAsia="仿宋" w:cs="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其他社会保障缴费、其他工资福利支出、生活补助、助学金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奖励金、住房公积金等。</w:t>
      </w:r>
    </w:p>
    <w:p>
      <w:pPr>
        <w:spacing w:line="600" w:lineRule="exact"/>
        <w:ind w:firstLine="645"/>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公用经费</w:t>
      </w:r>
      <w:r>
        <w:rPr>
          <w:rFonts w:hint="eastAsia" w:ascii="仿宋" w:hAnsi="仿宋" w:eastAsia="仿宋" w:cs="仿宋"/>
          <w:color w:val="auto"/>
          <w:sz w:val="32"/>
          <w:szCs w:val="32"/>
          <w:highlight w:val="none"/>
          <w:lang w:val="en-US" w:eastAsia="zh-CN"/>
        </w:rPr>
        <w:t>44.961</w:t>
      </w:r>
      <w:r>
        <w:rPr>
          <w:rFonts w:hint="eastAsia" w:ascii="仿宋" w:hAnsi="仿宋" w:eastAsia="仿宋" w:cs="仿宋"/>
          <w:color w:val="auto"/>
          <w:sz w:val="32"/>
          <w:szCs w:val="32"/>
          <w:highlight w:val="none"/>
        </w:rPr>
        <w:t>万元，主要包括：办公费、印刷费、手续费、水费、电费、邮电费、差旅费、维修（护）费、培训费、公务接待费、工会经费等。</w:t>
      </w:r>
    </w:p>
    <w:p>
      <w:pPr>
        <w:pStyle w:val="4"/>
        <w:bidi w:val="0"/>
        <w:rPr>
          <w:rFonts w:hint="eastAsia" w:ascii="仿宋" w:hAnsi="仿宋" w:eastAsia="仿宋" w:cs="仿宋"/>
          <w:color w:val="auto"/>
          <w:highlight w:val="none"/>
        </w:rPr>
      </w:pPr>
      <w:bookmarkStart w:id="58" w:name="_Toc15377215"/>
      <w:bookmarkStart w:id="59" w:name="_Toc16373"/>
      <w:bookmarkStart w:id="60" w:name="_Toc15396609"/>
      <w:r>
        <w:rPr>
          <w:rFonts w:hint="eastAsia" w:ascii="仿宋" w:hAnsi="仿宋" w:eastAsia="仿宋" w:cs="仿宋"/>
          <w:color w:val="auto"/>
          <w:highlight w:val="none"/>
        </w:rPr>
        <w:t>七、“三公”经费财政拨款支出决算情况说明</w:t>
      </w:r>
      <w:bookmarkEnd w:id="58"/>
      <w:bookmarkEnd w:id="59"/>
      <w:bookmarkEnd w:id="60"/>
    </w:p>
    <w:p>
      <w:pPr>
        <w:spacing w:line="600" w:lineRule="exact"/>
        <w:ind w:firstLine="640"/>
        <w:outlineLvl w:val="2"/>
        <w:rPr>
          <w:rFonts w:hint="eastAsia" w:ascii="仿宋" w:hAnsi="仿宋" w:eastAsia="仿宋" w:cs="仿宋"/>
          <w:b/>
          <w:color w:val="auto"/>
          <w:sz w:val="32"/>
          <w:szCs w:val="32"/>
          <w:highlight w:val="none"/>
        </w:rPr>
      </w:pPr>
      <w:bookmarkStart w:id="61" w:name="_Toc15377216"/>
      <w:r>
        <w:rPr>
          <w:rFonts w:hint="eastAsia" w:ascii="仿宋" w:hAnsi="仿宋" w:eastAsia="仿宋" w:cs="仿宋"/>
          <w:b/>
          <w:color w:val="auto"/>
          <w:sz w:val="32"/>
          <w:szCs w:val="32"/>
          <w:highlight w:val="none"/>
        </w:rPr>
        <w:t>（一）“三公”经费财政拨款支出决算总体情况说明</w:t>
      </w:r>
      <w:bookmarkEnd w:id="61"/>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2021年“三公”经费财政拨款支出决算为</w:t>
      </w:r>
      <w:r>
        <w:rPr>
          <w:rFonts w:hint="eastAsia" w:ascii="仿宋" w:hAnsi="仿宋" w:eastAsia="仿宋" w:cs="仿宋"/>
          <w:color w:val="auto"/>
          <w:sz w:val="32"/>
          <w:szCs w:val="32"/>
          <w:highlight w:val="none"/>
          <w:lang w:val="en-US" w:eastAsia="zh-CN"/>
        </w:rPr>
        <w:t>0.56</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96.55%</w:t>
      </w:r>
      <w:r>
        <w:rPr>
          <w:rFonts w:hint="eastAsia" w:ascii="仿宋" w:hAnsi="仿宋" w:eastAsia="仿宋" w:cs="仿宋"/>
          <w:color w:val="auto"/>
          <w:sz w:val="32"/>
          <w:szCs w:val="32"/>
          <w:highlight w:val="none"/>
        </w:rPr>
        <w:t>，主要原因</w:t>
      </w:r>
      <w:r>
        <w:rPr>
          <w:rFonts w:hint="eastAsia" w:ascii="仿宋" w:hAnsi="仿宋" w:eastAsia="仿宋" w:cs="仿宋"/>
          <w:color w:val="auto"/>
          <w:sz w:val="32"/>
          <w:szCs w:val="32"/>
          <w:highlight w:val="none"/>
        </w:rPr>
        <w:t>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p>
    <w:p>
      <w:pPr>
        <w:spacing w:line="600" w:lineRule="exact"/>
        <w:ind w:firstLine="640"/>
        <w:outlineLvl w:val="2"/>
        <w:rPr>
          <w:rFonts w:hint="eastAsia" w:ascii="仿宋" w:hAnsi="仿宋" w:eastAsia="仿宋" w:cs="仿宋"/>
          <w:b/>
          <w:color w:val="auto"/>
          <w:sz w:val="32"/>
          <w:szCs w:val="32"/>
          <w:highlight w:val="none"/>
        </w:rPr>
      </w:pPr>
      <w:bookmarkStart w:id="62" w:name="_Toc15377217"/>
      <w:r>
        <w:rPr>
          <w:rFonts w:hint="eastAsia" w:ascii="仿宋" w:hAnsi="仿宋" w:eastAsia="仿宋" w:cs="仿宋"/>
          <w:b/>
          <w:color w:val="auto"/>
          <w:sz w:val="32"/>
          <w:szCs w:val="32"/>
          <w:highlight w:val="none"/>
        </w:rPr>
        <w:t>（二）“三公”经费财政拨款支出决算具体情况说明</w:t>
      </w:r>
      <w:bookmarkEnd w:id="62"/>
    </w:p>
    <w:p>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2021年“三公”经费</w:t>
      </w:r>
      <w:r>
        <w:rPr>
          <w:rFonts w:hint="eastAsia" w:ascii="仿宋" w:hAnsi="仿宋" w:eastAsia="仿宋" w:cs="仿宋"/>
          <w:color w:val="auto"/>
          <w:sz w:val="32"/>
          <w:szCs w:val="32"/>
          <w:highlight w:val="none"/>
        </w:rPr>
        <w:t>财政拨款支出决算中，因公出国（境）费支出决算0万元，当年未安排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；公务用车购置及运行维护费支出决算0万元，当年未安排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0.56</w:t>
      </w:r>
      <w:r>
        <w:rPr>
          <w:rFonts w:hint="eastAsia" w:ascii="仿宋" w:hAnsi="仿宋" w:eastAsia="仿宋" w:cs="仿宋"/>
          <w:color w:val="auto"/>
          <w:sz w:val="32"/>
          <w:szCs w:val="32"/>
          <w:highlight w:val="none"/>
        </w:rPr>
        <w:t>万元，占100%。具体情况如下：</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highlight w:val="none"/>
          <w:lang w:val="en-US" w:eastAsia="zh-CN" w:bidi="ar"/>
        </w:rPr>
        <w:t>1.因公出国（境）经费支出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b/>
          <w:bCs w:val="0"/>
          <w:color w:val="auto"/>
          <w:kern w:val="2"/>
          <w:sz w:val="32"/>
          <w:szCs w:val="32"/>
          <w:highlight w:val="none"/>
          <w:lang w:val="en-US" w:eastAsia="zh-CN" w:bidi="ar"/>
        </w:rPr>
        <w:t>2.公务用车购置及运行维护费支出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auto"/>
          <w:sz w:val="32"/>
          <w:szCs w:val="32"/>
          <w:highlight w:val="none"/>
          <w:lang w:val="en-US"/>
        </w:rPr>
      </w:pPr>
      <w:r>
        <w:rPr>
          <w:rFonts w:hint="eastAsia" w:ascii="仿宋" w:hAnsi="仿宋" w:eastAsia="仿宋" w:cs="仿宋"/>
          <w:b/>
          <w:bCs/>
          <w:color w:val="auto"/>
          <w:kern w:val="2"/>
          <w:sz w:val="32"/>
          <w:szCs w:val="32"/>
          <w:highlight w:val="none"/>
          <w:lang w:val="en-US" w:eastAsia="zh-CN" w:bidi="ar"/>
        </w:rPr>
        <w:t>其中：</w:t>
      </w:r>
      <w:r>
        <w:rPr>
          <w:rFonts w:hint="eastAsia" w:ascii="仿宋" w:hAnsi="仿宋" w:eastAsia="仿宋" w:cs="仿宋"/>
          <w:b/>
          <w:bCs w:val="0"/>
          <w:color w:val="auto"/>
          <w:kern w:val="2"/>
          <w:sz w:val="32"/>
          <w:szCs w:val="32"/>
          <w:highlight w:val="none"/>
          <w:lang w:val="en-US" w:eastAsia="zh-CN" w:bidi="ar"/>
        </w:rPr>
        <w:t>公务用车购置支出</w:t>
      </w:r>
      <w:r>
        <w:rPr>
          <w:rFonts w:hint="eastAsia" w:ascii="仿宋" w:hAnsi="仿宋" w:eastAsia="仿宋" w:cs="仿宋"/>
          <w:bCs/>
          <w:color w:val="auto"/>
          <w:kern w:val="2"/>
          <w:sz w:val="32"/>
          <w:szCs w:val="32"/>
          <w:highlight w:val="none"/>
          <w:lang w:val="en-US" w:eastAsia="zh-CN" w:bidi="ar"/>
        </w:rPr>
        <w:t>0万元。全年按规定更新购置公务用车0辆，</w:t>
      </w:r>
      <w:r>
        <w:rPr>
          <w:rFonts w:hint="eastAsia" w:ascii="仿宋" w:hAnsi="仿宋" w:eastAsia="仿宋" w:cs="仿宋"/>
          <w:color w:val="auto"/>
          <w:kern w:val="2"/>
          <w:sz w:val="32"/>
          <w:szCs w:val="32"/>
          <w:highlight w:val="none"/>
          <w:lang w:val="en-US" w:eastAsia="zh-CN" w:bidi="ar"/>
        </w:rPr>
        <w:t>主要原因是我单位未购置公务用车。</w:t>
      </w:r>
      <w:r>
        <w:rPr>
          <w:rFonts w:hint="eastAsia" w:ascii="仿宋" w:hAnsi="仿宋" w:eastAsia="仿宋" w:cs="仿宋"/>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color w:val="auto"/>
          <w:highlight w:val="none"/>
        </w:rPr>
      </w:pPr>
      <w:r>
        <w:rPr>
          <w:rFonts w:hint="eastAsia" w:ascii="仿宋" w:hAnsi="仿宋" w:eastAsia="仿宋" w:cs="仿宋"/>
          <w:b/>
          <w:bCs w:val="0"/>
          <w:color w:val="auto"/>
          <w:kern w:val="2"/>
          <w:sz w:val="32"/>
          <w:szCs w:val="32"/>
          <w:highlight w:val="none"/>
          <w:lang w:val="en-US" w:eastAsia="zh-CN" w:bidi="ar"/>
        </w:rPr>
        <w:t>公务用车运行维护费支出</w:t>
      </w:r>
      <w:r>
        <w:rPr>
          <w:rFonts w:hint="eastAsia" w:ascii="仿宋" w:hAnsi="仿宋" w:eastAsia="仿宋" w:cs="仿宋"/>
          <w:color w:val="auto"/>
          <w:kern w:val="2"/>
          <w:sz w:val="32"/>
          <w:szCs w:val="32"/>
          <w:highlight w:val="none"/>
          <w:lang w:val="en-US" w:eastAsia="zh-CN" w:bidi="ar"/>
        </w:rPr>
        <w:t>0万元。主要原因是我单位无公务用车。</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bCs w:val="0"/>
          <w:color w:val="auto"/>
          <w:sz w:val="32"/>
          <w:szCs w:val="32"/>
          <w:highlight w:val="none"/>
        </w:rPr>
        <w:t>3.公务接待费支出</w:t>
      </w:r>
      <w:r>
        <w:rPr>
          <w:rFonts w:hint="eastAsia" w:ascii="仿宋" w:hAnsi="仿宋" w:eastAsia="仿宋" w:cs="仿宋"/>
          <w:color w:val="auto"/>
          <w:sz w:val="32"/>
          <w:szCs w:val="32"/>
          <w:highlight w:val="none"/>
          <w:lang w:val="en-US" w:eastAsia="zh-CN"/>
        </w:rPr>
        <w:t>0.56</w:t>
      </w:r>
      <w:r>
        <w:rPr>
          <w:rFonts w:hint="eastAsia" w:ascii="仿宋" w:hAnsi="仿宋" w:eastAsia="仿宋" w:cs="仿宋"/>
          <w:color w:val="auto"/>
          <w:sz w:val="32"/>
          <w:szCs w:val="32"/>
          <w:highlight w:val="none"/>
        </w:rPr>
        <w:t>万元，完成预</w:t>
      </w:r>
      <w:r>
        <w:rPr>
          <w:rFonts w:hint="eastAsia" w:ascii="仿宋" w:hAnsi="仿宋" w:eastAsia="仿宋" w:cs="仿宋"/>
          <w:color w:val="auto"/>
          <w:sz w:val="32"/>
          <w:szCs w:val="32"/>
          <w:highlight w:val="none"/>
        </w:rPr>
        <w:t>算</w:t>
      </w:r>
      <w:r>
        <w:rPr>
          <w:rFonts w:hint="eastAsia" w:ascii="仿宋" w:hAnsi="仿宋" w:eastAsia="仿宋" w:cs="仿宋"/>
          <w:color w:val="auto"/>
          <w:sz w:val="32"/>
          <w:szCs w:val="32"/>
          <w:highlight w:val="none"/>
          <w:lang w:val="en-US" w:eastAsia="zh-CN"/>
        </w:rPr>
        <w:t>96.55%</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0.02</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3.45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eastAsia="zh-CN"/>
        </w:rPr>
        <w:t>主要原因是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其中：</w:t>
      </w:r>
    </w:p>
    <w:p>
      <w:pPr>
        <w:spacing w:line="600" w:lineRule="exact"/>
        <w:ind w:firstLine="64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国内公务接待支出</w:t>
      </w:r>
      <w:r>
        <w:rPr>
          <w:rFonts w:hint="eastAsia" w:ascii="仿宋" w:hAnsi="仿宋" w:eastAsia="仿宋" w:cs="仿宋"/>
          <w:color w:val="auto"/>
          <w:sz w:val="32"/>
          <w:szCs w:val="32"/>
          <w:highlight w:val="none"/>
          <w:lang w:val="en-US" w:eastAsia="zh-CN"/>
        </w:rPr>
        <w:t>0.56</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kern w:val="2"/>
          <w:sz w:val="32"/>
          <w:szCs w:val="32"/>
          <w:highlight w:val="none"/>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color w:val="auto"/>
          <w:sz w:val="32"/>
          <w:szCs w:val="32"/>
          <w:highlight w:val="none"/>
        </w:rPr>
        <w:t>。国内公务接待</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93</w:t>
      </w:r>
      <w:r>
        <w:rPr>
          <w:rFonts w:hint="eastAsia" w:ascii="仿宋" w:hAnsi="仿宋" w:eastAsia="仿宋" w:cs="仿宋"/>
          <w:color w:val="auto"/>
          <w:sz w:val="32"/>
          <w:szCs w:val="32"/>
          <w:highlight w:val="none"/>
        </w:rPr>
        <w:t>人次（不包括陪同人员），共计支出</w:t>
      </w:r>
      <w:r>
        <w:rPr>
          <w:rFonts w:hint="eastAsia" w:ascii="仿宋" w:hAnsi="仿宋" w:eastAsia="仿宋" w:cs="仿宋"/>
          <w:color w:val="auto"/>
          <w:sz w:val="32"/>
          <w:szCs w:val="32"/>
          <w:highlight w:val="none"/>
          <w:lang w:val="en-US" w:eastAsia="zh-CN"/>
        </w:rPr>
        <w:t>0.56</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，具体内容包括</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sz w:val="32"/>
          <w:szCs w:val="32"/>
          <w:highlight w:val="none"/>
          <w:lang w:val="en-US" w:eastAsia="zh-CN"/>
        </w:rPr>
        <w:t>0.1万元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教育教学活动交流0.16万元、</w:t>
      </w:r>
      <w:r>
        <w:rPr>
          <w:rFonts w:hint="eastAsia" w:ascii="仿宋" w:hAnsi="仿宋" w:eastAsia="仿宋" w:cs="仿宋"/>
          <w:color w:val="auto"/>
          <w:sz w:val="32"/>
          <w:szCs w:val="32"/>
          <w:highlight w:val="none"/>
          <w:lang w:val="en-US" w:eastAsia="zh-CN"/>
        </w:rPr>
        <w:t>学生活动费及运动会学生用餐、交通费、体检费等0.3万元。</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外事接待支出</w:t>
      </w:r>
      <w:r>
        <w:rPr>
          <w:rFonts w:hint="eastAsia" w:ascii="仿宋" w:hAnsi="仿宋" w:eastAsia="仿宋" w:cs="仿宋"/>
          <w:color w:val="auto"/>
          <w:kern w:val="2"/>
          <w:sz w:val="32"/>
          <w:szCs w:val="32"/>
          <w:highlight w:val="none"/>
          <w:lang w:val="en-US" w:eastAsia="zh-CN" w:bidi="ar"/>
        </w:rPr>
        <w:t>决算与2020年持平</w:t>
      </w:r>
      <w:r>
        <w:rPr>
          <w:rFonts w:hint="eastAsia" w:ascii="仿宋" w:hAnsi="仿宋" w:eastAsia="仿宋" w:cs="仿宋"/>
          <w:color w:val="auto"/>
          <w:sz w:val="32"/>
          <w:szCs w:val="32"/>
          <w:highlight w:val="none"/>
        </w:rPr>
        <w:t>。</w:t>
      </w:r>
    </w:p>
    <w:p>
      <w:pPr>
        <w:pStyle w:val="4"/>
        <w:bidi w:val="0"/>
        <w:rPr>
          <w:rFonts w:hint="eastAsia" w:ascii="仿宋" w:hAnsi="仿宋" w:eastAsia="仿宋" w:cs="仿宋"/>
          <w:color w:val="auto"/>
          <w:highlight w:val="none"/>
        </w:rPr>
      </w:pPr>
      <w:bookmarkStart w:id="63" w:name="_Toc15396610"/>
      <w:bookmarkStart w:id="64" w:name="_Toc29438"/>
      <w:bookmarkStart w:id="65" w:name="_Toc15377218"/>
      <w:r>
        <w:rPr>
          <w:rFonts w:hint="eastAsia" w:ascii="仿宋" w:hAnsi="仿宋" w:eastAsia="仿宋" w:cs="仿宋"/>
          <w:color w:val="auto"/>
          <w:highlight w:val="none"/>
        </w:rPr>
        <w:t>八、政府性基金预算支出决算情况说明</w:t>
      </w:r>
      <w:bookmarkEnd w:id="63"/>
      <w:bookmarkEnd w:id="64"/>
      <w:bookmarkEnd w:id="6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2021年政府性基金预算财政拨款支出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年本单位未在政府性基金预算拨款安排“三公”经费支出</w:t>
      </w:r>
      <w:r>
        <w:rPr>
          <w:rFonts w:hint="eastAsia" w:ascii="仿宋" w:hAnsi="仿宋" w:eastAsia="仿宋" w:cs="仿宋"/>
          <w:color w:val="auto"/>
          <w:sz w:val="32"/>
          <w:szCs w:val="32"/>
          <w:highlight w:val="none"/>
        </w:rPr>
        <w:t>。</w:t>
      </w:r>
    </w:p>
    <w:p>
      <w:pPr>
        <w:pStyle w:val="16"/>
        <w:rPr>
          <w:rFonts w:hint="eastAsia" w:ascii="仿宋" w:hAnsi="仿宋" w:eastAsia="仿宋" w:cs="仿宋"/>
          <w:color w:val="auto"/>
          <w:highlight w:val="none"/>
        </w:rPr>
      </w:pPr>
    </w:p>
    <w:p>
      <w:pPr>
        <w:pStyle w:val="4"/>
        <w:numPr>
          <w:ilvl w:val="0"/>
          <w:numId w:val="3"/>
        </w:numPr>
        <w:bidi w:val="0"/>
        <w:rPr>
          <w:rFonts w:hint="eastAsia" w:ascii="仿宋" w:hAnsi="仿宋" w:eastAsia="仿宋" w:cs="仿宋"/>
          <w:color w:val="auto"/>
          <w:highlight w:val="none"/>
        </w:rPr>
      </w:pPr>
      <w:bookmarkStart w:id="66" w:name="_Toc4818"/>
      <w:bookmarkStart w:id="67" w:name="_Toc15396611"/>
      <w:bookmarkStart w:id="68" w:name="_Toc15377219"/>
      <w:r>
        <w:rPr>
          <w:rFonts w:hint="eastAsia" w:ascii="仿宋" w:hAnsi="仿宋" w:eastAsia="仿宋" w:cs="仿宋"/>
          <w:color w:val="auto"/>
          <w:highlight w:val="none"/>
        </w:rPr>
        <w:t>国有资本经营预算支出决算情况说明</w:t>
      </w:r>
      <w:bookmarkEnd w:id="66"/>
      <w:bookmarkEnd w:id="67"/>
      <w:bookmarkEnd w:id="68"/>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2021年国有资本经营预算财政拨款支出0万元，年初未安排预算。</w:t>
      </w:r>
    </w:p>
    <w:p>
      <w:pPr>
        <w:pStyle w:val="4"/>
        <w:numPr>
          <w:ilvl w:val="0"/>
          <w:numId w:val="3"/>
        </w:numPr>
        <w:bidi w:val="0"/>
        <w:rPr>
          <w:rFonts w:hint="eastAsia" w:ascii="仿宋" w:hAnsi="仿宋" w:eastAsia="仿宋" w:cs="仿宋"/>
          <w:color w:val="auto"/>
          <w:highlight w:val="none"/>
        </w:rPr>
      </w:pPr>
      <w:bookmarkStart w:id="69" w:name="_Toc23871"/>
      <w:bookmarkStart w:id="70" w:name="_Toc15396612"/>
      <w:bookmarkStart w:id="71" w:name="_Toc15377221"/>
      <w:r>
        <w:rPr>
          <w:rFonts w:hint="eastAsia" w:ascii="仿宋" w:hAnsi="仿宋" w:eastAsia="仿宋" w:cs="仿宋"/>
          <w:color w:val="auto"/>
          <w:highlight w:val="none"/>
        </w:rPr>
        <w:t>预算绩效管理情况</w:t>
      </w:r>
      <w:bookmarkEnd w:id="69"/>
    </w:p>
    <w:p>
      <w:pPr>
        <w:spacing w:line="58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根据预算绩效管理要求，本单位在2021年度预算编制阶段，因无项目支出，故不</w:t>
      </w:r>
      <w:r>
        <w:rPr>
          <w:rFonts w:hint="eastAsia" w:ascii="仿宋" w:hAnsi="仿宋" w:eastAsia="仿宋" w:cs="仿宋"/>
          <w:color w:val="auto"/>
          <w:sz w:val="32"/>
          <w:szCs w:val="32"/>
          <w:highlight w:val="none"/>
        </w:rPr>
        <w:t>涉及事前评估和项目绩效目标，预算执行过程中，</w:t>
      </w:r>
      <w:r>
        <w:rPr>
          <w:rFonts w:hint="eastAsia" w:ascii="仿宋" w:hAnsi="仿宋" w:eastAsia="仿宋" w:cs="仿宋"/>
          <w:color w:val="auto"/>
          <w:sz w:val="32"/>
          <w:szCs w:val="32"/>
          <w:highlight w:val="none"/>
          <w:lang w:eastAsia="zh-CN"/>
        </w:rPr>
        <w:t>对追加预算校舍维修项目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个项目开展了绩效自评，2021年部门预算项目绩效目标自</w:t>
      </w:r>
      <w:r>
        <w:rPr>
          <w:rFonts w:hint="eastAsia" w:ascii="仿宋" w:hAnsi="仿宋" w:eastAsia="仿宋" w:cs="仿宋"/>
          <w:color w:val="auto"/>
          <w:sz w:val="32"/>
          <w:szCs w:val="32"/>
          <w:highlight w:val="none"/>
        </w:rPr>
        <w:t>评表见附件（第四部分）。</w:t>
      </w:r>
    </w:p>
    <w:p>
      <w:pPr>
        <w:pStyle w:val="4"/>
        <w:numPr>
          <w:ilvl w:val="0"/>
          <w:numId w:val="3"/>
        </w:numPr>
        <w:bidi w:val="0"/>
        <w:rPr>
          <w:rFonts w:hint="eastAsia" w:ascii="仿宋" w:hAnsi="仿宋" w:eastAsia="仿宋" w:cs="仿宋"/>
          <w:color w:val="auto"/>
          <w:highlight w:val="none"/>
        </w:rPr>
      </w:pPr>
      <w:bookmarkStart w:id="72" w:name="_Toc16944"/>
      <w:r>
        <w:rPr>
          <w:rFonts w:hint="eastAsia" w:ascii="仿宋" w:hAnsi="仿宋" w:eastAsia="仿宋" w:cs="仿宋"/>
          <w:color w:val="auto"/>
          <w:highlight w:val="none"/>
        </w:rPr>
        <w:t>其他重要事项的情况说明</w:t>
      </w:r>
      <w:bookmarkEnd w:id="70"/>
      <w:bookmarkEnd w:id="71"/>
      <w:bookmarkEnd w:id="72"/>
    </w:p>
    <w:p>
      <w:pPr>
        <w:spacing w:line="600" w:lineRule="exact"/>
        <w:ind w:firstLine="643" w:firstLineChars="200"/>
        <w:outlineLvl w:val="2"/>
        <w:rPr>
          <w:rFonts w:hint="eastAsia" w:ascii="仿宋" w:hAnsi="仿宋" w:eastAsia="仿宋" w:cs="仿宋"/>
          <w:color w:val="auto"/>
          <w:sz w:val="32"/>
          <w:szCs w:val="32"/>
          <w:highlight w:val="none"/>
        </w:rPr>
      </w:pPr>
      <w:bookmarkStart w:id="73" w:name="_Toc15377222"/>
      <w:r>
        <w:rPr>
          <w:rFonts w:hint="eastAsia" w:ascii="仿宋" w:hAnsi="仿宋" w:eastAsia="仿宋" w:cs="仿宋"/>
          <w:b/>
          <w:color w:val="auto"/>
          <w:sz w:val="32"/>
          <w:szCs w:val="32"/>
          <w:highlight w:val="none"/>
        </w:rPr>
        <w:t>（一）机关运行经费支出情况</w:t>
      </w:r>
      <w:bookmarkEnd w:id="73"/>
    </w:p>
    <w:p>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auto"/>
          <w:sz w:val="32"/>
          <w:szCs w:val="32"/>
          <w:highlight w:val="none"/>
          <w:lang w:val="en-US"/>
        </w:rPr>
      </w:pPr>
      <w:bookmarkStart w:id="74" w:name="_Toc15377223"/>
      <w:r>
        <w:rPr>
          <w:rFonts w:hint="eastAsia" w:ascii="仿宋" w:hAnsi="仿宋" w:eastAsia="仿宋" w:cs="仿宋"/>
          <w:color w:val="auto"/>
          <w:kern w:val="2"/>
          <w:sz w:val="32"/>
          <w:szCs w:val="32"/>
          <w:highlight w:val="none"/>
          <w:lang w:val="en-US" w:eastAsia="zh-CN" w:bidi="ar"/>
        </w:rPr>
        <w:t>2021年，</w:t>
      </w:r>
      <w:r>
        <w:rPr>
          <w:rFonts w:hint="eastAsia" w:ascii="仿宋" w:hAnsi="仿宋" w:eastAsia="仿宋" w:cs="仿宋"/>
          <w:color w:val="auto"/>
          <w:kern w:val="2"/>
          <w:sz w:val="32"/>
          <w:szCs w:val="32"/>
          <w:highlight w:val="none"/>
          <w:lang w:val="en-US" w:eastAsia="zh-CN" w:bidi="ar"/>
        </w:rPr>
        <w:t>我部门机关</w:t>
      </w:r>
      <w:r>
        <w:rPr>
          <w:rFonts w:hint="eastAsia" w:ascii="仿宋" w:hAnsi="仿宋" w:eastAsia="仿宋" w:cs="仿宋"/>
          <w:color w:val="auto"/>
          <w:kern w:val="2"/>
          <w:sz w:val="32"/>
          <w:szCs w:val="32"/>
          <w:highlight w:val="none"/>
          <w:lang w:val="en-US" w:eastAsia="zh-CN" w:bidi="ar"/>
        </w:rPr>
        <w:t>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。主要原因是本单位为事业单位，未发生机关运行经费支出。</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bookmarkEnd w:id="74"/>
    </w:p>
    <w:p>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2021年，我单位政府采购支出</w:t>
      </w:r>
      <w:r>
        <w:rPr>
          <w:rFonts w:hint="eastAsia" w:ascii="仿宋" w:hAnsi="仿宋" w:eastAsia="仿宋" w:cs="仿宋"/>
          <w:color w:val="auto"/>
          <w:sz w:val="32"/>
          <w:szCs w:val="32"/>
          <w:highlight w:val="none"/>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75" w:name="_Toc15377224"/>
      <w:r>
        <w:rPr>
          <w:rFonts w:hint="eastAsia" w:ascii="仿宋" w:hAnsi="仿宋" w:eastAsia="仿宋" w:cs="仿宋"/>
          <w:b/>
          <w:color w:val="auto"/>
          <w:sz w:val="32"/>
          <w:szCs w:val="32"/>
          <w:highlight w:val="none"/>
        </w:rPr>
        <w:t>（三）国有资产占有使用情况</w:t>
      </w:r>
      <w:bookmarkEnd w:id="75"/>
    </w:p>
    <w:p>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pStyle w:val="2"/>
        <w:spacing w:before="93"/>
        <w:rPr>
          <w:rFonts w:hint="eastAsia" w:ascii="仿宋" w:hAnsi="仿宋" w:eastAsia="仿宋" w:cs="仿宋"/>
          <w:color w:val="auto"/>
          <w:highlight w:val="none"/>
        </w:rPr>
      </w:pPr>
    </w:p>
    <w:p>
      <w:pPr>
        <w:widowControl/>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
        <w:numPr>
          <w:ilvl w:val="0"/>
          <w:numId w:val="4"/>
        </w:numPr>
        <w:bidi w:val="0"/>
        <w:rPr>
          <w:rFonts w:hint="eastAsia" w:ascii="仿宋" w:hAnsi="仿宋" w:eastAsia="仿宋" w:cs="仿宋"/>
          <w:color w:val="auto"/>
          <w:highlight w:val="none"/>
        </w:rPr>
      </w:pPr>
      <w:bookmarkStart w:id="76" w:name="_Toc15377225"/>
      <w:bookmarkStart w:id="77" w:name="_Toc16610"/>
      <w:bookmarkStart w:id="78" w:name="_Toc15396613"/>
      <w:r>
        <w:rPr>
          <w:rFonts w:hint="eastAsia" w:ascii="仿宋" w:hAnsi="仿宋" w:eastAsia="仿宋" w:cs="仿宋"/>
          <w:color w:val="auto"/>
          <w:highlight w:val="none"/>
        </w:rPr>
        <w:t>名词解释</w:t>
      </w:r>
      <w:bookmarkEnd w:id="76"/>
      <w:bookmarkEnd w:id="77"/>
      <w:bookmarkEnd w:id="78"/>
    </w:p>
    <w:p>
      <w:pPr>
        <w:spacing w:line="600" w:lineRule="exact"/>
        <w:jc w:val="left"/>
        <w:rPr>
          <w:rFonts w:hint="eastAsia" w:ascii="仿宋" w:hAnsi="仿宋" w:eastAsia="仿宋" w:cs="仿宋"/>
          <w:b/>
          <w:color w:val="auto"/>
          <w:sz w:val="44"/>
          <w:szCs w:val="44"/>
          <w:highlight w:val="none"/>
        </w:rPr>
      </w:pP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1.财政拨款收入：指单位从同级财政部门取得的财政预算资金。</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2.使用非财政拨款结余：指事业单位使用以前年度积累的非财政拨款结余弥补当年收支差额的金额。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3.年初结转和结余：指以前年度尚未完成、结转到本年按有关规定继续使用的资金。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4.结余分配：指事业单位按照会计制度规定缴纳的所得税、提取的专用结余以及转入非财政拨款结余的金额等。</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年末结转和结余：指单位按有关规定结转到下年或以后年度继续使用的资金。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6.教育（类）普通教育（款）</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教育（项）：指</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7.教育（类）普通教育（款）</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（项）：</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w:t>
      </w:r>
    </w:p>
    <w:p>
      <w:pPr>
        <w:numPr>
          <w:ilvl w:val="0"/>
          <w:numId w:val="0"/>
        </w:numPr>
        <w:spacing w:line="600" w:lineRule="exact"/>
        <w:ind w:firstLine="640" w:firstLineChars="200"/>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ascii="仿宋" w:hAnsi="仿宋" w:eastAsia="仿宋" w:cs="仿宋"/>
          <w:color w:val="auto"/>
          <w:highlight w:val="none"/>
          <w:lang w:val="en-US" w:eastAsia="zh-CN"/>
        </w:rPr>
      </w:pPr>
      <w:r>
        <w:rPr>
          <w:rFonts w:hint="eastAsia" w:ascii="仿宋" w:hAnsi="仿宋" w:eastAsia="仿宋"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10.卫生健康（类）行政事业单位医疗（款）事业单位医疗（项）：指财政部门安排的事业单位基本医疗保险缴费经费，未参加医疗保险的事业单位的公费医疗经费，按国家规定享受离休人员待遇的医疗保险。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11.住房保障支出（类）住房改革支出（款）住房公积金（项）：指行政事业单位按人力资源和社会保障部、财政部规定的基本工资和津贴补贴以及规定比例为职工缴纳的住房公积金。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rPr>
        <w:t>.基本支出：指为保障机构正常运转、完成日常工作任务而发生的人员支出和公用支出。</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 xml:space="preserve">.项目支出：指在基本支出之外为完成特定行政任务和事业发展目标所发生的支出。 </w:t>
      </w:r>
    </w:p>
    <w:p>
      <w:pPr>
        <w:pStyle w:val="27"/>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pPr>
        <w:pStyle w:val="27"/>
        <w:spacing w:line="560" w:lineRule="exact"/>
        <w:ind w:firstLine="883" w:firstLineChars="200"/>
        <w:jc w:val="center"/>
        <w:rPr>
          <w:rStyle w:val="29"/>
          <w:rFonts w:hint="eastAsia" w:ascii="仿宋" w:hAnsi="仿宋" w:eastAsia="仿宋" w:cs="仿宋"/>
          <w:b w:val="0"/>
          <w:color w:val="auto"/>
          <w:highlight w:val="none"/>
        </w:rPr>
      </w:pPr>
      <w:r>
        <w:rPr>
          <w:rFonts w:hint="eastAsia" w:ascii="仿宋" w:hAnsi="仿宋" w:eastAsia="仿宋" w:cs="仿宋"/>
          <w:b/>
          <w:color w:val="auto"/>
          <w:sz w:val="44"/>
          <w:szCs w:val="44"/>
          <w:highlight w:val="none"/>
        </w:rPr>
        <w:br w:type="page"/>
      </w:r>
      <w:bookmarkStart w:id="80" w:name="_Toc15396614"/>
      <w:bookmarkStart w:id="81" w:name="_Toc3498"/>
      <w:r>
        <w:rPr>
          <w:rStyle w:val="29"/>
          <w:rFonts w:hint="eastAsia" w:ascii="仿宋" w:hAnsi="仿宋" w:eastAsia="仿宋" w:cs="仿宋"/>
          <w:color w:val="auto"/>
          <w:highlight w:val="none"/>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82" w:name="_Toc6245"/>
            <w:bookmarkStart w:id="83" w:name="_Toc15396618"/>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（教学楼维修）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360329</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广元市昭化区太公镇黄龙小学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160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160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2100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2100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2100m²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2100m²</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63</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63</w:t>
            </w:r>
          </w:p>
        </w:tc>
      </w:tr>
      <w:tr>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r>
      <w:tr>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762元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pPr>
        <w:pStyle w:val="3"/>
        <w:bidi w:val="0"/>
        <w:rPr>
          <w:rFonts w:hint="eastAsia" w:ascii="仿宋" w:hAnsi="仿宋" w:eastAsia="仿宋" w:cs="仿宋"/>
          <w:color w:val="auto"/>
          <w:highlight w:val="none"/>
        </w:rPr>
      </w:pPr>
      <w:r>
        <w:rPr>
          <w:rFonts w:hint="eastAsia" w:ascii="仿宋" w:hAnsi="仿宋" w:eastAsia="仿宋" w:cs="仿宋"/>
          <w:color w:val="auto"/>
          <w:highlight w:val="none"/>
        </w:rPr>
        <w:t>第五部分 附表</w:t>
      </w:r>
      <w:bookmarkEnd w:id="79"/>
      <w:bookmarkEnd w:id="82"/>
      <w:bookmarkEnd w:id="83"/>
      <w:bookmarkStart w:id="84" w:name="_Toc15396619"/>
    </w:p>
    <w:p>
      <w:pPr>
        <w:pStyle w:val="4"/>
        <w:bidi w:val="0"/>
        <w:rPr>
          <w:rFonts w:hint="eastAsia" w:ascii="仿宋" w:hAnsi="仿宋" w:eastAsia="仿宋" w:cs="仿宋"/>
          <w:color w:val="auto"/>
          <w:highlight w:val="none"/>
        </w:rPr>
      </w:pPr>
      <w:bookmarkStart w:id="85" w:name="_Toc492"/>
      <w:r>
        <w:rPr>
          <w:rFonts w:hint="eastAsia" w:ascii="仿宋" w:hAnsi="仿宋" w:eastAsia="仿宋" w:cs="仿宋"/>
          <w:color w:val="auto"/>
          <w:highlight w:val="none"/>
        </w:rPr>
        <w:t>一、收入支出决算总表</w:t>
      </w:r>
      <w:bookmarkEnd w:id="84"/>
      <w:bookmarkEnd w:id="85"/>
    </w:p>
    <w:p>
      <w:pPr>
        <w:pStyle w:val="4"/>
        <w:bidi w:val="0"/>
        <w:rPr>
          <w:rFonts w:hint="eastAsia" w:ascii="仿宋" w:hAnsi="仿宋" w:eastAsia="仿宋" w:cs="仿宋"/>
          <w:color w:val="auto"/>
          <w:highlight w:val="none"/>
        </w:rPr>
      </w:pPr>
      <w:bookmarkStart w:id="86" w:name="_Toc15396620"/>
      <w:bookmarkStart w:id="87" w:name="_Toc20829"/>
      <w:r>
        <w:rPr>
          <w:rFonts w:hint="eastAsia" w:ascii="仿宋" w:hAnsi="仿宋" w:eastAsia="仿宋" w:cs="仿宋"/>
          <w:color w:val="auto"/>
          <w:highlight w:val="none"/>
        </w:rPr>
        <w:t>二、收入决算表</w:t>
      </w:r>
      <w:bookmarkEnd w:id="86"/>
      <w:bookmarkEnd w:id="87"/>
    </w:p>
    <w:p>
      <w:pPr>
        <w:pStyle w:val="4"/>
        <w:bidi w:val="0"/>
        <w:rPr>
          <w:rFonts w:hint="eastAsia" w:ascii="仿宋" w:hAnsi="仿宋" w:eastAsia="仿宋" w:cs="仿宋"/>
          <w:color w:val="auto"/>
          <w:highlight w:val="none"/>
        </w:rPr>
      </w:pPr>
      <w:bookmarkStart w:id="88" w:name="_Toc15396621"/>
      <w:bookmarkStart w:id="89" w:name="_Toc872"/>
      <w:r>
        <w:rPr>
          <w:rFonts w:hint="eastAsia" w:ascii="仿宋" w:hAnsi="仿宋" w:eastAsia="仿宋" w:cs="仿宋"/>
          <w:color w:val="auto"/>
          <w:highlight w:val="none"/>
        </w:rPr>
        <w:t>三、支出决算表</w:t>
      </w:r>
      <w:bookmarkEnd w:id="88"/>
      <w:bookmarkEnd w:id="89"/>
    </w:p>
    <w:p>
      <w:pPr>
        <w:pStyle w:val="4"/>
        <w:bidi w:val="0"/>
        <w:rPr>
          <w:rFonts w:hint="eastAsia" w:ascii="仿宋" w:hAnsi="仿宋" w:eastAsia="仿宋" w:cs="仿宋"/>
          <w:color w:val="auto"/>
          <w:highlight w:val="none"/>
        </w:rPr>
      </w:pPr>
      <w:bookmarkStart w:id="90" w:name="_Toc15396622"/>
      <w:bookmarkStart w:id="91" w:name="_Toc32481"/>
      <w:r>
        <w:rPr>
          <w:rFonts w:hint="eastAsia" w:ascii="仿宋" w:hAnsi="仿宋" w:eastAsia="仿宋" w:cs="仿宋"/>
          <w:color w:val="auto"/>
          <w:highlight w:val="none"/>
        </w:rPr>
        <w:t>四、财政拨款收入支出决算总表</w:t>
      </w:r>
      <w:bookmarkEnd w:id="90"/>
      <w:bookmarkEnd w:id="91"/>
    </w:p>
    <w:p>
      <w:pPr>
        <w:pStyle w:val="4"/>
        <w:bidi w:val="0"/>
        <w:rPr>
          <w:rFonts w:hint="eastAsia" w:ascii="仿宋" w:hAnsi="仿宋" w:eastAsia="仿宋" w:cs="仿宋"/>
          <w:color w:val="auto"/>
          <w:highlight w:val="none"/>
        </w:rPr>
      </w:pPr>
      <w:bookmarkStart w:id="92" w:name="_Toc16282"/>
      <w:bookmarkStart w:id="93" w:name="_Toc15396623"/>
      <w:r>
        <w:rPr>
          <w:rFonts w:hint="eastAsia" w:ascii="仿宋" w:hAnsi="仿宋" w:eastAsia="仿宋" w:cs="仿宋"/>
          <w:color w:val="auto"/>
          <w:highlight w:val="none"/>
        </w:rPr>
        <w:t>五、财政拨款支出决算明细表</w:t>
      </w:r>
      <w:bookmarkEnd w:id="92"/>
      <w:bookmarkEnd w:id="93"/>
      <w:bookmarkStart w:id="94" w:name="_Toc15396624"/>
    </w:p>
    <w:p>
      <w:pPr>
        <w:pStyle w:val="4"/>
        <w:bidi w:val="0"/>
        <w:rPr>
          <w:rFonts w:hint="eastAsia" w:ascii="仿宋" w:hAnsi="仿宋" w:eastAsia="仿宋" w:cs="仿宋"/>
          <w:color w:val="auto"/>
          <w:highlight w:val="none"/>
        </w:rPr>
      </w:pPr>
      <w:bookmarkStart w:id="95" w:name="_Toc27698"/>
      <w:r>
        <w:rPr>
          <w:rFonts w:hint="eastAsia" w:ascii="仿宋" w:hAnsi="仿宋" w:eastAsia="仿宋" w:cs="仿宋"/>
          <w:color w:val="auto"/>
          <w:highlight w:val="none"/>
        </w:rPr>
        <w:t>六、一般公共预算财政拨款支出决算表</w:t>
      </w:r>
      <w:bookmarkEnd w:id="94"/>
      <w:bookmarkEnd w:id="95"/>
    </w:p>
    <w:p>
      <w:pPr>
        <w:pStyle w:val="4"/>
        <w:bidi w:val="0"/>
        <w:rPr>
          <w:rFonts w:hint="eastAsia" w:ascii="仿宋" w:hAnsi="仿宋" w:eastAsia="仿宋" w:cs="仿宋"/>
          <w:color w:val="auto"/>
          <w:highlight w:val="none"/>
        </w:rPr>
      </w:pPr>
      <w:bookmarkStart w:id="96" w:name="_Toc16786"/>
      <w:bookmarkStart w:id="97" w:name="_Toc15396625"/>
      <w:r>
        <w:rPr>
          <w:rFonts w:hint="eastAsia" w:ascii="仿宋" w:hAnsi="仿宋" w:eastAsia="仿宋" w:cs="仿宋"/>
          <w:color w:val="auto"/>
          <w:highlight w:val="none"/>
        </w:rPr>
        <w:t>七、一般公共预算财政拨款支出决算明细表</w:t>
      </w:r>
      <w:bookmarkEnd w:id="96"/>
      <w:bookmarkEnd w:id="97"/>
    </w:p>
    <w:p>
      <w:pPr>
        <w:pStyle w:val="4"/>
        <w:bidi w:val="0"/>
        <w:rPr>
          <w:rFonts w:hint="eastAsia" w:ascii="仿宋" w:hAnsi="仿宋" w:eastAsia="仿宋" w:cs="仿宋"/>
          <w:color w:val="auto"/>
          <w:highlight w:val="none"/>
        </w:rPr>
      </w:pPr>
      <w:bookmarkStart w:id="98" w:name="_Toc15396626"/>
      <w:bookmarkStart w:id="99" w:name="_Toc31149"/>
      <w:r>
        <w:rPr>
          <w:rFonts w:hint="eastAsia" w:ascii="仿宋" w:hAnsi="仿宋" w:eastAsia="仿宋" w:cs="仿宋"/>
          <w:color w:val="auto"/>
          <w:highlight w:val="none"/>
        </w:rPr>
        <w:t>八、一般公共预算财政拨款基本支出决算表</w:t>
      </w:r>
      <w:bookmarkEnd w:id="98"/>
      <w:bookmarkEnd w:id="99"/>
    </w:p>
    <w:p>
      <w:pPr>
        <w:pStyle w:val="4"/>
        <w:bidi w:val="0"/>
        <w:rPr>
          <w:rFonts w:hint="eastAsia" w:ascii="仿宋" w:hAnsi="仿宋" w:eastAsia="仿宋" w:cs="仿宋"/>
          <w:color w:val="auto"/>
          <w:highlight w:val="none"/>
        </w:rPr>
      </w:pPr>
      <w:bookmarkStart w:id="100" w:name="_Toc15396627"/>
      <w:bookmarkStart w:id="101" w:name="_Toc2969"/>
      <w:r>
        <w:rPr>
          <w:rFonts w:hint="eastAsia" w:ascii="仿宋" w:hAnsi="仿宋" w:eastAsia="仿宋" w:cs="仿宋"/>
          <w:color w:val="auto"/>
          <w:highlight w:val="none"/>
        </w:rPr>
        <w:t>九、一般公共预算财政拨款项目支出决算表</w:t>
      </w:r>
      <w:bookmarkEnd w:id="100"/>
      <w:bookmarkEnd w:id="101"/>
    </w:p>
    <w:p>
      <w:pPr>
        <w:pStyle w:val="4"/>
        <w:bidi w:val="0"/>
        <w:rPr>
          <w:rFonts w:hint="eastAsia" w:ascii="仿宋" w:hAnsi="仿宋" w:eastAsia="仿宋" w:cs="仿宋"/>
          <w:color w:val="auto"/>
          <w:highlight w:val="none"/>
        </w:rPr>
      </w:pPr>
      <w:bookmarkStart w:id="102" w:name="_Toc15951"/>
      <w:bookmarkStart w:id="103" w:name="_Toc15396628"/>
      <w:r>
        <w:rPr>
          <w:rFonts w:hint="eastAsia" w:ascii="仿宋" w:hAnsi="仿宋" w:eastAsia="仿宋" w:cs="仿宋"/>
          <w:color w:val="auto"/>
          <w:highlight w:val="none"/>
        </w:rPr>
        <w:t>十、一般公共预算财政拨款“三公”经费支出决算表</w:t>
      </w:r>
      <w:bookmarkEnd w:id="102"/>
      <w:bookmarkEnd w:id="103"/>
    </w:p>
    <w:p>
      <w:pPr>
        <w:pStyle w:val="4"/>
        <w:bidi w:val="0"/>
        <w:rPr>
          <w:rFonts w:hint="eastAsia" w:ascii="仿宋" w:hAnsi="仿宋" w:eastAsia="仿宋" w:cs="仿宋"/>
          <w:color w:val="auto"/>
          <w:highlight w:val="none"/>
        </w:rPr>
      </w:pPr>
      <w:bookmarkStart w:id="104" w:name="_Toc15396629"/>
      <w:bookmarkStart w:id="105" w:name="_Toc26411"/>
      <w:r>
        <w:rPr>
          <w:rFonts w:hint="eastAsia" w:ascii="仿宋" w:hAnsi="仿宋" w:eastAsia="仿宋" w:cs="仿宋"/>
          <w:color w:val="auto"/>
          <w:highlight w:val="none"/>
        </w:rPr>
        <w:t>十一、政府性基金预算财政拨款收入支出决算表</w:t>
      </w:r>
      <w:bookmarkEnd w:id="104"/>
      <w:bookmarkEnd w:id="105"/>
    </w:p>
    <w:p>
      <w:pPr>
        <w:pStyle w:val="4"/>
        <w:bidi w:val="0"/>
        <w:rPr>
          <w:rFonts w:hint="eastAsia" w:ascii="仿宋" w:hAnsi="仿宋" w:eastAsia="仿宋" w:cs="仿宋"/>
          <w:color w:val="auto"/>
          <w:highlight w:val="none"/>
        </w:rPr>
      </w:pPr>
      <w:bookmarkStart w:id="106" w:name="_Toc15396630"/>
      <w:bookmarkStart w:id="107" w:name="_Toc31313"/>
      <w:r>
        <w:rPr>
          <w:rFonts w:hint="eastAsia" w:ascii="仿宋" w:hAnsi="仿宋" w:eastAsia="仿宋" w:cs="仿宋"/>
          <w:color w:val="auto"/>
          <w:highlight w:val="none"/>
        </w:rPr>
        <w:t>十二、政府性基金预算财政拨款“三公”经费支出决算表</w:t>
      </w:r>
      <w:bookmarkEnd w:id="106"/>
      <w:bookmarkEnd w:id="107"/>
    </w:p>
    <w:p>
      <w:pPr>
        <w:pStyle w:val="4"/>
        <w:bidi w:val="0"/>
        <w:rPr>
          <w:rFonts w:hint="eastAsia" w:ascii="仿宋" w:hAnsi="仿宋" w:eastAsia="仿宋" w:cs="仿宋"/>
          <w:color w:val="auto"/>
          <w:highlight w:val="none"/>
        </w:rPr>
      </w:pPr>
      <w:bookmarkStart w:id="108" w:name="_Toc26015"/>
      <w:bookmarkStart w:id="109" w:name="_Toc15396631"/>
      <w:r>
        <w:rPr>
          <w:rFonts w:hint="eastAsia" w:ascii="仿宋" w:hAnsi="仿宋" w:eastAsia="仿宋" w:cs="仿宋"/>
          <w:color w:val="auto"/>
          <w:highlight w:val="none"/>
        </w:rPr>
        <w:t>十三、国有资本经营预算财政拨款收入支出决算表</w:t>
      </w:r>
      <w:bookmarkEnd w:id="108"/>
      <w:bookmarkEnd w:id="109"/>
    </w:p>
    <w:p>
      <w:pPr>
        <w:pStyle w:val="4"/>
        <w:bidi w:val="0"/>
        <w:rPr>
          <w:rFonts w:hint="eastAsia" w:ascii="仿宋" w:hAnsi="仿宋" w:eastAsia="仿宋" w:cs="仿宋"/>
          <w:color w:val="auto"/>
          <w:highlight w:val="none"/>
        </w:rPr>
      </w:pPr>
      <w:bookmarkStart w:id="110" w:name="_Toc2980"/>
      <w:r>
        <w:rPr>
          <w:rFonts w:hint="eastAsia" w:ascii="仿宋" w:hAnsi="仿宋" w:eastAsia="仿宋" w:cs="仿宋"/>
          <w:color w:val="auto"/>
          <w:highlight w:val="none"/>
        </w:rPr>
        <w:t>十四、国有资本经营预算财政拨款支出决算表</w:t>
      </w:r>
      <w:bookmarkEnd w:id="110"/>
    </w:p>
    <w:bookmarkEnd w:id="111"/>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YzYzZmU5OWQ3NzgwYmRjMzI1YjU5NDZkMjc5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66606B5"/>
    <w:rsid w:val="066D6250"/>
    <w:rsid w:val="092807EB"/>
    <w:rsid w:val="0A2032A3"/>
    <w:rsid w:val="0B8A37D8"/>
    <w:rsid w:val="0DA65670"/>
    <w:rsid w:val="0EC71F0D"/>
    <w:rsid w:val="10C055FF"/>
    <w:rsid w:val="112C7A85"/>
    <w:rsid w:val="118107EC"/>
    <w:rsid w:val="11DD6519"/>
    <w:rsid w:val="12910332"/>
    <w:rsid w:val="157E27B0"/>
    <w:rsid w:val="16BB723D"/>
    <w:rsid w:val="175404DE"/>
    <w:rsid w:val="177D300F"/>
    <w:rsid w:val="18015F3F"/>
    <w:rsid w:val="1BE8440E"/>
    <w:rsid w:val="1D155CEE"/>
    <w:rsid w:val="1F046865"/>
    <w:rsid w:val="20F57F95"/>
    <w:rsid w:val="23066A21"/>
    <w:rsid w:val="240371BF"/>
    <w:rsid w:val="2446347C"/>
    <w:rsid w:val="24D54B4E"/>
    <w:rsid w:val="25C741E6"/>
    <w:rsid w:val="27842671"/>
    <w:rsid w:val="29FD04D3"/>
    <w:rsid w:val="2ABE7A3E"/>
    <w:rsid w:val="2BAE4DE0"/>
    <w:rsid w:val="2C0D4D5A"/>
    <w:rsid w:val="2EFA178C"/>
    <w:rsid w:val="30B46D73"/>
    <w:rsid w:val="319F7F4E"/>
    <w:rsid w:val="32E05DEF"/>
    <w:rsid w:val="353C0D20"/>
    <w:rsid w:val="39AE70AB"/>
    <w:rsid w:val="3C0C0783"/>
    <w:rsid w:val="3F795B0E"/>
    <w:rsid w:val="3F9F3A96"/>
    <w:rsid w:val="3FB02072"/>
    <w:rsid w:val="437E6B78"/>
    <w:rsid w:val="469E367E"/>
    <w:rsid w:val="493C27E9"/>
    <w:rsid w:val="496F39ED"/>
    <w:rsid w:val="49FF41D3"/>
    <w:rsid w:val="4A185DC8"/>
    <w:rsid w:val="4BE068DB"/>
    <w:rsid w:val="4BF6002B"/>
    <w:rsid w:val="4ECE2238"/>
    <w:rsid w:val="4F301641"/>
    <w:rsid w:val="4FD61684"/>
    <w:rsid w:val="503645ED"/>
    <w:rsid w:val="50775C3C"/>
    <w:rsid w:val="508F3649"/>
    <w:rsid w:val="51DB4B86"/>
    <w:rsid w:val="52FB5859"/>
    <w:rsid w:val="53241EFD"/>
    <w:rsid w:val="55333C3E"/>
    <w:rsid w:val="55DA5EAD"/>
    <w:rsid w:val="58737E60"/>
    <w:rsid w:val="5EEF25B2"/>
    <w:rsid w:val="64A80084"/>
    <w:rsid w:val="64CA39A1"/>
    <w:rsid w:val="65B126BB"/>
    <w:rsid w:val="69F768F0"/>
    <w:rsid w:val="6C4A05C8"/>
    <w:rsid w:val="6C6E6699"/>
    <w:rsid w:val="6EDA0CDC"/>
    <w:rsid w:val="72734D90"/>
    <w:rsid w:val="727D7081"/>
    <w:rsid w:val="72E456B5"/>
    <w:rsid w:val="744F4926"/>
    <w:rsid w:val="74E366CA"/>
    <w:rsid w:val="79E7B28D"/>
    <w:rsid w:val="7AC82E51"/>
    <w:rsid w:val="7BFA24EA"/>
    <w:rsid w:val="7CAB154F"/>
    <w:rsid w:val="7DB56BE2"/>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4">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宋体"/>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603.23</c:v>
                </c:pt>
                <c:pt idx="1">
                  <c:v>570.7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603.23</c:v>
                </c:pt>
                <c:pt idx="1">
                  <c:v>570.7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71.96</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28.04</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410.7</c:v>
                </c:pt>
                <c:pt idx="1">
                  <c:v>160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603.23</c:v>
                </c:pt>
                <c:pt idx="1">
                  <c:v>570.7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603.23</c:v>
                </c:pt>
                <c:pt idx="1">
                  <c:v>570.7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603.23</c:v>
                </c:pt>
                <c:pt idx="1">
                  <c:v>507.7</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18</Pages>
  <Words>5622</Words>
  <Characters>6022</Characters>
  <Lines>47</Lines>
  <Paragraphs>13</Paragraphs>
  <TotalTime>1</TotalTime>
  <ScaleCrop>false</ScaleCrop>
  <LinksUpToDate>false</LinksUpToDate>
  <CharactersWithSpaces>6088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xmb001</cp:lastModifiedBy>
  <cp:lastPrinted>2022-09-27T03:56:00Z</cp:lastPrinted>
  <dcterms:modified xsi:type="dcterms:W3CDTF">2022-09-30T14:11:47Z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B32DA6B466B343FCA096EE5BD1F59E69</vt:lpwstr>
  </property>
</Properties>
</file>