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D65A1">
      <w:pPr>
        <w:spacing w:line="600" w:lineRule="exact"/>
        <w:jc w:val="center"/>
        <w:outlineLvl w:val="0"/>
        <w:rPr>
          <w:rFonts w:ascii="方正小标宋简体" w:hAnsi="宋体" w:eastAsia="方正小标宋简体"/>
          <w:color w:val="auto"/>
          <w:sz w:val="72"/>
          <w:szCs w:val="72"/>
          <w:highlight w:val="none"/>
        </w:rPr>
      </w:pPr>
      <w:bookmarkStart w:id="0" w:name="_Toc15306267"/>
    </w:p>
    <w:p w14:paraId="7EDEC030">
      <w:pPr>
        <w:spacing w:line="600" w:lineRule="exact"/>
        <w:jc w:val="center"/>
        <w:outlineLvl w:val="0"/>
        <w:rPr>
          <w:rFonts w:ascii="方正小标宋简体" w:hAnsi="宋体" w:eastAsia="方正小标宋简体"/>
          <w:color w:val="auto"/>
          <w:sz w:val="72"/>
          <w:szCs w:val="72"/>
          <w:highlight w:val="none"/>
        </w:rPr>
      </w:pPr>
    </w:p>
    <w:p w14:paraId="15D3A937">
      <w:pPr>
        <w:spacing w:line="600" w:lineRule="exact"/>
        <w:jc w:val="center"/>
        <w:outlineLvl w:val="0"/>
        <w:rPr>
          <w:rFonts w:ascii="方正小标宋简体" w:hAnsi="宋体" w:eastAsia="方正小标宋简体"/>
          <w:color w:val="auto"/>
          <w:sz w:val="72"/>
          <w:szCs w:val="72"/>
          <w:highlight w:val="none"/>
        </w:rPr>
      </w:pPr>
    </w:p>
    <w:p w14:paraId="1D8348BB">
      <w:pPr>
        <w:spacing w:line="600" w:lineRule="exact"/>
        <w:jc w:val="center"/>
        <w:outlineLvl w:val="0"/>
        <w:rPr>
          <w:rFonts w:ascii="方正小标宋简体" w:hAnsi="宋体" w:eastAsia="方正小标宋简体"/>
          <w:color w:val="auto"/>
          <w:sz w:val="72"/>
          <w:szCs w:val="72"/>
          <w:highlight w:val="none"/>
        </w:rPr>
      </w:pPr>
    </w:p>
    <w:p w14:paraId="5F474A5C">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193"/>
      <w:bookmarkStart w:id="2" w:name="_Toc15396597"/>
      <w:bookmarkStart w:id="3" w:name="_Toc23980"/>
      <w:bookmarkStart w:id="4" w:name="_Toc15378441"/>
      <w:bookmarkStart w:id="5" w:name="_Toc16141"/>
      <w:bookmarkStart w:id="6" w:name="_Toc15377425"/>
      <w:bookmarkStart w:id="7" w:name="_Toc15396475"/>
      <w:bookmarkStart w:id="8" w:name="_Toc1681"/>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bookmarkEnd w:id="6"/>
      <w:bookmarkEnd w:id="7"/>
      <w:bookmarkEnd w:id="8"/>
    </w:p>
    <w:p w14:paraId="079C21A5">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9" w:name="_Toc1473"/>
      <w:bookmarkStart w:id="10" w:name="_Toc29347"/>
      <w:bookmarkStart w:id="11" w:name="_Toc17433"/>
      <w:bookmarkStart w:id="12" w:name="_Toc15377426"/>
      <w:bookmarkStart w:id="13" w:name="_Toc15378442"/>
      <w:bookmarkStart w:id="14" w:name="_Toc15377194"/>
      <w:bookmarkStart w:id="15" w:name="_Toc15396476"/>
      <w:bookmarkStart w:id="16" w:name="_Toc15396598"/>
      <w:r>
        <w:rPr>
          <w:rFonts w:hint="eastAsia" w:ascii="方正小标宋_GBK" w:hAnsi="方正小标宋_GBK" w:eastAsia="方正小标宋_GBK" w:cs="方正小标宋_GBK"/>
          <w:color w:val="auto"/>
          <w:sz w:val="72"/>
          <w:szCs w:val="72"/>
          <w:highlight w:val="none"/>
        </w:rPr>
        <w:t>四川省</w:t>
      </w:r>
      <w:bookmarkEnd w:id="0"/>
      <w:bookmarkStart w:id="17" w:name="_Toc15306268"/>
      <w:r>
        <w:rPr>
          <w:rFonts w:hint="eastAsia" w:ascii="方正小标宋_GBK" w:hAnsi="方正小标宋_GBK" w:eastAsia="方正小标宋_GBK" w:cs="方正小标宋_GBK"/>
          <w:color w:val="auto"/>
          <w:sz w:val="72"/>
          <w:szCs w:val="72"/>
          <w:highlight w:val="none"/>
        </w:rPr>
        <w:t>广元市昭化区</w:t>
      </w:r>
      <w:bookmarkEnd w:id="9"/>
      <w:bookmarkEnd w:id="10"/>
      <w:bookmarkEnd w:id="11"/>
    </w:p>
    <w:p w14:paraId="5FE00FFA">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8" w:name="_Toc2341"/>
      <w:bookmarkStart w:id="19" w:name="_Toc9679"/>
      <w:bookmarkStart w:id="20" w:name="_Toc21060"/>
      <w:r>
        <w:rPr>
          <w:rFonts w:hint="eastAsia" w:ascii="方正小标宋_GBK" w:hAnsi="方正小标宋_GBK" w:eastAsia="方正小标宋_GBK" w:cs="方正小标宋_GBK"/>
          <w:color w:val="auto"/>
          <w:sz w:val="72"/>
          <w:szCs w:val="72"/>
          <w:highlight w:val="none"/>
          <w:lang w:eastAsia="zh-CN"/>
        </w:rPr>
        <w:t>虎跳镇陈江小学</w:t>
      </w:r>
      <w:r>
        <w:rPr>
          <w:rFonts w:hint="eastAsia" w:ascii="方正小标宋_GBK" w:hAnsi="方正小标宋_GBK" w:eastAsia="方正小标宋_GBK" w:cs="方正小标宋_GBK"/>
          <w:color w:val="auto"/>
          <w:sz w:val="72"/>
          <w:szCs w:val="72"/>
          <w:highlight w:val="none"/>
        </w:rPr>
        <w:t>单位决算</w:t>
      </w:r>
      <w:bookmarkEnd w:id="12"/>
      <w:bookmarkEnd w:id="13"/>
      <w:bookmarkEnd w:id="14"/>
      <w:bookmarkEnd w:id="15"/>
      <w:bookmarkEnd w:id="16"/>
      <w:bookmarkEnd w:id="17"/>
      <w:bookmarkEnd w:id="18"/>
      <w:bookmarkEnd w:id="19"/>
      <w:bookmarkEnd w:id="20"/>
    </w:p>
    <w:p w14:paraId="3B97C110">
      <w:pPr>
        <w:widowControl/>
        <w:jc w:val="center"/>
        <w:rPr>
          <w:rFonts w:hint="eastAsia"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62313726">
      <w:pPr>
        <w:pStyle w:val="13"/>
        <w:tabs>
          <w:tab w:val="right" w:leader="dot" w:pos="8306"/>
          <w:tab w:val="clear" w:pos="8296"/>
        </w:tabs>
        <w:rPr>
          <w:color w:val="auto"/>
          <w:highlight w:val="none"/>
        </w:rPr>
      </w:pPr>
      <w:r>
        <w:rPr>
          <w:color w:val="auto"/>
          <w:highlight w:val="none"/>
        </w:rPr>
        <w:fldChar w:fldCharType="begin"/>
      </w:r>
      <w:r>
        <w:rPr>
          <w:color w:val="auto"/>
          <w:highlight w:val="none"/>
        </w:rPr>
        <w:instrText xml:space="preserve">TOC \o "1-2" \h \u </w:instrText>
      </w:r>
      <w:r>
        <w:rPr>
          <w:color w:val="auto"/>
          <w:highlight w:val="none"/>
        </w:rPr>
        <w:fldChar w:fldCharType="separate"/>
      </w:r>
    </w:p>
    <w:p w14:paraId="59F27B60">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_Toc17514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第一部分 单位概况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_Toc17514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5B8B77E">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_Toc31309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职能简介</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_Toc31309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FC0FE9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_Toc13653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二、2021年重点工作完成情况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_Toc13653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0D11A5A8">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_Toc10518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第二部分 2021年度单位决算情况说明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_Toc10518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01CDB99">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_Toc28278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_Toc28278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227761C">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_Toc9393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 收入决算情况说明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_Toc9393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4B7DBDE">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_Toc12816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_Toc12816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110DEB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_Toc20083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_Toc20083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5E50561">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_Toc20242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五、一般公共预算财政拨款支出决算情况说明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_Toc20242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76A3C4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六、一般公共预算财政拨款基本支出决算情况说明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6DAB3B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_Toc9813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七、“三公”经费财政拨款支出决算情况说明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_Toc9813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41CC4DB">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_Toc3503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八、政府性基金预算支出决算情况说明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_Toc3503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305C9A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_Toc30571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 国有资本经营预算支出决算情况说明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_Toc30571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CF8E56D">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_Toc14092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 预算绩效管理情况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_Toc14092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99A8CD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_Toc11548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 其他重要事项的情况说明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_Toc11548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034E637">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_Toc27075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第三部分 名词解释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_Toc27075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E1A1130">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_Toc24127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第四部分 附件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_Toc24127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037F830">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_Toc24969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第五部分 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_Toc24969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6952E1E">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_Toc26442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_Toc26442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0A3D3D16">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_Toc24488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二、收入决算表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_Toc24488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576632B1">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_Toc6939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三、支出决算表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_Toc6939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066676BF">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_Toc30417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_Toc30417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05B8761">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_Toc1651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_Toc1651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8FE474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_Toc18542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_Toc18542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77D4B59">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_Toc25672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七、一般公共预算财政拨款支出决算明细表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_Toc25672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9F512A9">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_Toc3598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八、一般公共预算财政拨款基本支出决算表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_Toc3598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DDDD75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_Toc28845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九、一般公共预算财政拨款项目支出决算表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_Toc28845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5AA131E">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_Toc24879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十、一般公共预算财政拨款“三公”经费支出决算表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_Toc24879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78547F2">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_Toc24059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十一、政府性基金预算财政拨款收入支出决算表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_Toc24059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C63B60A">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_Toc30287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十二、政府性基金预算财政拨款“三公”经费支出决算表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_Toc30287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4AA966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_Toc21531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十三、国有资本经营预算财政拨款收入支出决算表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_Toc21531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7483189">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_Toc3471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十四、国有资本经营预算财政拨款支出决算表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_Toc3471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370A1FB">
      <w:pPr>
        <w:pStyle w:val="2"/>
        <w:rPr>
          <w:color w:val="auto"/>
          <w:highlight w:val="none"/>
        </w:rPr>
      </w:pPr>
      <w:r>
        <w:rPr>
          <w:color w:val="auto"/>
          <w:highlight w:val="none"/>
        </w:rPr>
        <w:fldChar w:fldCharType="end"/>
      </w:r>
    </w:p>
    <w:p w14:paraId="1EE2946F">
      <w:pPr>
        <w:pStyle w:val="3"/>
        <w:bidi w:val="0"/>
        <w:rPr>
          <w:color w:val="auto"/>
          <w:highlight w:val="none"/>
        </w:rPr>
      </w:pPr>
      <w:bookmarkStart w:id="21" w:name="_Toc15396599"/>
      <w:bookmarkStart w:id="22" w:name="_Toc17514"/>
      <w:bookmarkStart w:id="23" w:name="_Toc17785"/>
      <w:bookmarkStart w:id="24" w:name="_Toc15377196"/>
      <w:r>
        <w:rPr>
          <w:rFonts w:hint="eastAsia"/>
          <w:color w:val="auto"/>
          <w:highlight w:val="none"/>
        </w:rPr>
        <w:t>第一部分 单位概况</w:t>
      </w:r>
      <w:bookmarkEnd w:id="21"/>
      <w:bookmarkEnd w:id="22"/>
      <w:bookmarkEnd w:id="23"/>
      <w:bookmarkEnd w:id="24"/>
    </w:p>
    <w:p w14:paraId="5EB78D2C">
      <w:pPr>
        <w:widowControl/>
        <w:jc w:val="left"/>
        <w:rPr>
          <w:rFonts w:ascii="黑体" w:eastAsia="黑体"/>
          <w:color w:val="auto"/>
          <w:sz w:val="32"/>
          <w:szCs w:val="32"/>
          <w:highlight w:val="none"/>
        </w:rPr>
      </w:pPr>
    </w:p>
    <w:p w14:paraId="5AE9A209">
      <w:pPr>
        <w:pStyle w:val="4"/>
        <w:numPr>
          <w:ilvl w:val="0"/>
          <w:numId w:val="1"/>
        </w:numPr>
        <w:bidi w:val="0"/>
        <w:rPr>
          <w:rFonts w:hint="eastAsia"/>
          <w:color w:val="auto"/>
          <w:highlight w:val="none"/>
        </w:rPr>
      </w:pPr>
      <w:bookmarkStart w:id="25" w:name="_Toc31309"/>
      <w:bookmarkStart w:id="26" w:name="_Toc7404"/>
      <w:bookmarkStart w:id="27" w:name="_Toc15377197"/>
      <w:bookmarkStart w:id="28" w:name="_Toc15396600"/>
      <w:r>
        <w:rPr>
          <w:rFonts w:hint="eastAsia"/>
          <w:color w:val="auto"/>
          <w:highlight w:val="none"/>
        </w:rPr>
        <w:t>职能简介</w:t>
      </w:r>
      <w:bookmarkEnd w:id="25"/>
      <w:bookmarkEnd w:id="26"/>
    </w:p>
    <w:p w14:paraId="0E1E258F">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14:paraId="07FCD9FD">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14:paraId="12A80599">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14:paraId="79C5BE41">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14:paraId="5687E426">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14:paraId="6C5B709E">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14:paraId="3CB6792C">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负责依法制定本校教师及其他职工聘任办法并对教师及其他员工实施包括奖励、处分在内的具体管理活动。</w:t>
      </w:r>
    </w:p>
    <w:p w14:paraId="7CAD78D9">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14:paraId="31AAA4FF">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14:paraId="64DDA465">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14:paraId="66EE19DD">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14:paraId="652F0E02">
      <w:pPr>
        <w:pStyle w:val="4"/>
        <w:bidi w:val="0"/>
        <w:rPr>
          <w:rFonts w:hint="eastAsia"/>
          <w:color w:val="auto"/>
          <w:highlight w:val="none"/>
        </w:rPr>
      </w:pPr>
      <w:bookmarkStart w:id="29" w:name="_Toc4463"/>
      <w:bookmarkStart w:id="30" w:name="_Toc13653"/>
      <w:r>
        <w:rPr>
          <w:rFonts w:hint="eastAsia"/>
          <w:color w:val="auto"/>
          <w:highlight w:val="none"/>
        </w:rPr>
        <w:t>二、2021年重点工作</w:t>
      </w:r>
      <w:bookmarkEnd w:id="27"/>
      <w:bookmarkEnd w:id="28"/>
      <w:r>
        <w:rPr>
          <w:rFonts w:hint="eastAsia"/>
          <w:color w:val="auto"/>
          <w:highlight w:val="none"/>
        </w:rPr>
        <w:t>完成情况</w:t>
      </w:r>
      <w:bookmarkEnd w:id="29"/>
      <w:bookmarkEnd w:id="30"/>
    </w:p>
    <w:p w14:paraId="55203D94">
      <w:pPr>
        <w:spacing w:line="560" w:lineRule="exact"/>
        <w:ind w:firstLine="641" w:firstLineChars="200"/>
        <w:rPr>
          <w:rFonts w:ascii="华文仿宋" w:hAnsi="华文仿宋" w:eastAsia="华文仿宋" w:cs="华文仿宋"/>
          <w:b/>
          <w:bCs/>
          <w:color w:val="auto"/>
          <w:sz w:val="32"/>
          <w:szCs w:val="32"/>
          <w:highlight w:val="none"/>
        </w:rPr>
      </w:pPr>
      <w:bookmarkStart w:id="31" w:name="_Toc15377204"/>
      <w:bookmarkStart w:id="32" w:name="_Toc10437"/>
      <w:bookmarkStart w:id="33" w:name="_Toc15396602"/>
      <w:bookmarkStart w:id="34" w:name="_Toc10518"/>
      <w:r>
        <w:rPr>
          <w:rFonts w:hint="eastAsia" w:ascii="华文仿宋" w:hAnsi="华文仿宋" w:eastAsia="华文仿宋" w:cs="华文仿宋"/>
          <w:b/>
          <w:bCs/>
          <w:color w:val="auto"/>
          <w:sz w:val="32"/>
          <w:szCs w:val="32"/>
          <w:highlight w:val="none"/>
        </w:rPr>
        <w:t>（一）以党建为基，坚定信念，树师德，筑师魂。</w:t>
      </w:r>
    </w:p>
    <w:p w14:paraId="353BFB14">
      <w:pPr>
        <w:spacing w:line="560" w:lineRule="exact"/>
        <w:ind w:firstLine="640" w:firstLineChars="200"/>
        <w:rPr>
          <w:rFonts w:ascii="仿宋" w:hAnsi="仿宋" w:eastAsia="仿宋" w:cs="仿宋_GB2312"/>
          <w:color w:val="auto"/>
          <w:sz w:val="32"/>
          <w:szCs w:val="32"/>
          <w:highlight w:val="none"/>
        </w:rPr>
      </w:pPr>
      <w:r>
        <w:rPr>
          <w:rFonts w:ascii="仿宋" w:hAnsi="仿宋" w:eastAsia="仿宋" w:cs="仿宋_GB2312"/>
          <w:color w:val="auto"/>
          <w:sz w:val="32"/>
          <w:szCs w:val="32"/>
          <w:highlight w:val="none"/>
        </w:rPr>
        <w:t>1</w:t>
      </w:r>
      <w:r>
        <w:rPr>
          <w:rFonts w:hint="eastAsia" w:ascii="仿宋" w:hAnsi="仿宋" w:eastAsia="仿宋" w:cs="仿宋_GB2312"/>
          <w:color w:val="auto"/>
          <w:sz w:val="32"/>
          <w:szCs w:val="32"/>
          <w:highlight w:val="none"/>
        </w:rPr>
        <w:t>、坚持培根铸魂强党建。深入学习贯彻习近平新时代中国特色社会主义思想，抓党建，树师德，筑师魂。支部始终把政治建设摆在首位，不断</w:t>
      </w:r>
      <w:r>
        <w:rPr>
          <w:rFonts w:hint="eastAsia" w:ascii="仿宋" w:hAnsi="仿宋" w:eastAsia="仿宋" w:cs="仿宋_GB2312"/>
          <w:color w:val="auto"/>
          <w:sz w:val="32"/>
          <w:szCs w:val="32"/>
          <w:highlight w:val="none"/>
          <w:lang w:eastAsia="zh-CN"/>
        </w:rPr>
        <w:t>增强“四个意识”、坚定“四个自信”、做到“两个维护”</w:t>
      </w:r>
      <w:r>
        <w:rPr>
          <w:rFonts w:hint="eastAsia" w:ascii="仿宋" w:hAnsi="仿宋" w:eastAsia="仿宋" w:cs="仿宋_GB2312"/>
          <w:color w:val="auto"/>
          <w:sz w:val="32"/>
          <w:szCs w:val="32"/>
          <w:highlight w:val="none"/>
        </w:rPr>
        <w:t>。</w:t>
      </w:r>
    </w:p>
    <w:p w14:paraId="1F7CFF37">
      <w:pPr>
        <w:spacing w:line="560" w:lineRule="exact"/>
        <w:ind w:firstLine="640" w:firstLineChars="200"/>
        <w:rPr>
          <w:rFonts w:ascii="仿宋" w:hAnsi="仿宋" w:eastAsia="仿宋" w:cs="仿宋_GB2312"/>
          <w:color w:val="auto"/>
          <w:sz w:val="32"/>
          <w:szCs w:val="32"/>
          <w:highlight w:val="none"/>
        </w:rPr>
      </w:pPr>
      <w:r>
        <w:rPr>
          <w:rFonts w:ascii="仿宋" w:hAnsi="仿宋" w:eastAsia="仿宋" w:cs="仿宋_GB2312"/>
          <w:color w:val="auto"/>
          <w:sz w:val="32"/>
          <w:szCs w:val="32"/>
          <w:highlight w:val="none"/>
        </w:rPr>
        <w:t>2</w:t>
      </w:r>
      <w:r>
        <w:rPr>
          <w:rFonts w:hint="eastAsia" w:ascii="仿宋" w:hAnsi="仿宋" w:eastAsia="仿宋" w:cs="仿宋_GB2312"/>
          <w:color w:val="auto"/>
          <w:sz w:val="32"/>
          <w:szCs w:val="32"/>
          <w:highlight w:val="none"/>
        </w:rPr>
        <w:t>、坚持学思践悟学党史。集体学习与个人自学，方式灵活多样，学习《中国共产党党史》《中华人民共和国简史》《社会主义发展简史》《改革开放简史》。进一步增强了教师的党性要求。建党百年前夕，支部带领全体教师开展了“重走红军路、重温红色史”主题活动，参观了红军山、红军树、卡尔广场、红星公园</w:t>
      </w:r>
      <w:r>
        <w:rPr>
          <w:rFonts w:ascii="仿宋" w:hAnsi="仿宋" w:eastAsia="仿宋" w:cs="仿宋_GB2312"/>
          <w:color w:val="auto"/>
          <w:sz w:val="32"/>
          <w:szCs w:val="32"/>
          <w:highlight w:val="none"/>
        </w:rPr>
        <w:t>4</w:t>
      </w:r>
      <w:r>
        <w:rPr>
          <w:rFonts w:hint="eastAsia" w:ascii="仿宋" w:hAnsi="仿宋" w:eastAsia="仿宋" w:cs="仿宋_GB2312"/>
          <w:color w:val="auto"/>
          <w:sz w:val="32"/>
          <w:szCs w:val="32"/>
          <w:highlight w:val="none"/>
        </w:rPr>
        <w:t>个红色基地，进一步弘扬党的优良传统和作风，传递温暖和大爱、凝聚了与党共进的团结力量。</w:t>
      </w:r>
    </w:p>
    <w:p w14:paraId="7ECA9F4B">
      <w:pPr>
        <w:spacing w:line="560" w:lineRule="exact"/>
        <w:ind w:firstLine="640" w:firstLineChars="200"/>
        <w:rPr>
          <w:rFonts w:ascii="仿宋" w:hAnsi="仿宋" w:eastAsia="仿宋" w:cs="仿宋_GB2312"/>
          <w:color w:val="auto"/>
          <w:sz w:val="32"/>
          <w:szCs w:val="32"/>
          <w:highlight w:val="none"/>
        </w:rPr>
      </w:pPr>
      <w:r>
        <w:rPr>
          <w:rFonts w:ascii="仿宋" w:hAnsi="仿宋" w:eastAsia="仿宋" w:cs="仿宋_GB2312"/>
          <w:color w:val="auto"/>
          <w:sz w:val="32"/>
          <w:szCs w:val="32"/>
          <w:highlight w:val="none"/>
        </w:rPr>
        <w:t xml:space="preserve">    3</w:t>
      </w:r>
      <w:r>
        <w:rPr>
          <w:rFonts w:hint="eastAsia" w:ascii="仿宋" w:hAnsi="仿宋" w:eastAsia="仿宋" w:cs="仿宋_GB2312"/>
          <w:color w:val="auto"/>
          <w:sz w:val="32"/>
          <w:szCs w:val="32"/>
          <w:highlight w:val="none"/>
        </w:rPr>
        <w:t>、坚持严管厚爱带队伍。结合“以案促改”工作及干部纪律作风整顿，常态化的开展师德师风建设，结合实际，认真查摆师德师风、干部纪律作风整顿、“以案促改”几方面存在的问题，制定整</w:t>
      </w:r>
      <w:bookmarkStart w:id="119" w:name="_GoBack"/>
      <w:bookmarkEnd w:id="119"/>
      <w:r>
        <w:rPr>
          <w:rFonts w:hint="eastAsia" w:ascii="仿宋" w:hAnsi="仿宋" w:eastAsia="仿宋" w:cs="仿宋_GB2312"/>
          <w:color w:val="auto"/>
          <w:sz w:val="32"/>
          <w:szCs w:val="32"/>
          <w:highlight w:val="none"/>
        </w:rPr>
        <w:t>改措施，扎实整改并“回头看”，做到个人问题清晰，措施明确，整改到位并全部销号。</w:t>
      </w:r>
    </w:p>
    <w:p w14:paraId="72CEC893">
      <w:pPr>
        <w:spacing w:line="560" w:lineRule="exact"/>
        <w:ind w:firstLine="640" w:firstLineChars="200"/>
        <w:rPr>
          <w:rFonts w:ascii="仿宋" w:hAnsi="仿宋" w:eastAsia="仿宋" w:cs="仿宋_GB2312"/>
          <w:color w:val="auto"/>
          <w:sz w:val="32"/>
          <w:szCs w:val="32"/>
          <w:highlight w:val="none"/>
        </w:rPr>
      </w:pPr>
      <w:r>
        <w:rPr>
          <w:rFonts w:ascii="仿宋" w:hAnsi="仿宋" w:eastAsia="仿宋" w:cs="仿宋_GB2312"/>
          <w:color w:val="auto"/>
          <w:sz w:val="32"/>
          <w:szCs w:val="32"/>
          <w:highlight w:val="none"/>
        </w:rPr>
        <w:t xml:space="preserve">    4</w:t>
      </w:r>
      <w:r>
        <w:rPr>
          <w:rFonts w:hint="eastAsia" w:ascii="仿宋" w:hAnsi="仿宋" w:eastAsia="仿宋" w:cs="仿宋_GB2312"/>
          <w:color w:val="auto"/>
          <w:sz w:val="32"/>
          <w:szCs w:val="32"/>
          <w:highlight w:val="none"/>
        </w:rPr>
        <w:t>、坚持立德为本，身正为师。春季、秋季开学时组织教师签定师德师风承诺书，在开学典礼上面对学生和家长进行师德师风宣誓，学期中进行师德师风测试，学期末进行师德师风考核和负面清单的审核。通过党员评议活动，全体党员找到自身差距，对标整改落实，一年来无一例违反师德师风行为。</w:t>
      </w:r>
    </w:p>
    <w:p w14:paraId="28F5903F">
      <w:pPr>
        <w:spacing w:line="560" w:lineRule="exact"/>
        <w:ind w:firstLine="640" w:firstLineChars="200"/>
        <w:rPr>
          <w:rFonts w:ascii="仿宋" w:hAnsi="仿宋" w:eastAsia="仿宋" w:cs="仿宋_GB2312"/>
          <w:color w:val="auto"/>
          <w:sz w:val="32"/>
          <w:szCs w:val="32"/>
          <w:highlight w:val="none"/>
        </w:rPr>
      </w:pPr>
      <w:r>
        <w:rPr>
          <w:rFonts w:ascii="仿宋" w:hAnsi="仿宋" w:eastAsia="仿宋" w:cs="仿宋_GB2312"/>
          <w:color w:val="auto"/>
          <w:sz w:val="32"/>
          <w:szCs w:val="32"/>
          <w:highlight w:val="none"/>
        </w:rPr>
        <w:t>5</w:t>
      </w:r>
      <w:r>
        <w:rPr>
          <w:rFonts w:hint="eastAsia" w:ascii="仿宋" w:hAnsi="仿宋" w:eastAsia="仿宋" w:cs="仿宋_GB2312"/>
          <w:color w:val="auto"/>
          <w:sz w:val="32"/>
          <w:szCs w:val="32"/>
          <w:highlight w:val="none"/>
        </w:rPr>
        <w:t>、坚持发展开源强队伍。做好党员发展工作。积极宣传党的有关精神和政策，在教师中发现思想积极、政治素质过硬的教师，鼓励他们积极加入党组织。今年我支部有</w:t>
      </w:r>
      <w:r>
        <w:rPr>
          <w:rFonts w:ascii="仿宋" w:hAnsi="仿宋" w:eastAsia="仿宋" w:cs="仿宋_GB2312"/>
          <w:color w:val="auto"/>
          <w:sz w:val="32"/>
          <w:szCs w:val="32"/>
          <w:highlight w:val="none"/>
        </w:rPr>
        <w:t>2</w:t>
      </w:r>
      <w:r>
        <w:rPr>
          <w:rFonts w:hint="eastAsia" w:ascii="仿宋" w:hAnsi="仿宋" w:eastAsia="仿宋" w:cs="仿宋_GB2312"/>
          <w:color w:val="auto"/>
          <w:sz w:val="32"/>
          <w:szCs w:val="32"/>
          <w:highlight w:val="none"/>
        </w:rPr>
        <w:t>名青年教师申请入党，进一步充实了支部力量，加强了党的向心力凝聚力。</w:t>
      </w:r>
    </w:p>
    <w:p w14:paraId="5E368D83">
      <w:pPr>
        <w:spacing w:line="560" w:lineRule="exact"/>
        <w:ind w:firstLine="640" w:firstLineChars="200"/>
        <w:rPr>
          <w:rFonts w:ascii="仿宋" w:hAnsi="仿宋" w:eastAsia="仿宋" w:cs="仿宋_GB2312"/>
          <w:color w:val="auto"/>
          <w:sz w:val="32"/>
          <w:szCs w:val="32"/>
          <w:highlight w:val="none"/>
        </w:rPr>
      </w:pPr>
      <w:r>
        <w:rPr>
          <w:rFonts w:ascii="仿宋" w:hAnsi="仿宋" w:eastAsia="仿宋" w:cs="仿宋_GB2312"/>
          <w:color w:val="auto"/>
          <w:sz w:val="32"/>
          <w:szCs w:val="32"/>
          <w:highlight w:val="none"/>
        </w:rPr>
        <w:t>6</w:t>
      </w:r>
      <w:r>
        <w:rPr>
          <w:rFonts w:hint="eastAsia" w:ascii="仿宋" w:hAnsi="仿宋" w:eastAsia="仿宋" w:cs="仿宋_GB2312"/>
          <w:color w:val="auto"/>
          <w:sz w:val="32"/>
          <w:szCs w:val="32"/>
          <w:highlight w:val="none"/>
        </w:rPr>
        <w:t>、落实党内组织生活制度。全面落实“三会一课”制度，做到支部党员大会开展达</w:t>
      </w:r>
      <w:r>
        <w:rPr>
          <w:rFonts w:ascii="仿宋" w:hAnsi="仿宋" w:eastAsia="仿宋" w:cs="仿宋_GB2312"/>
          <w:color w:val="auto"/>
          <w:sz w:val="32"/>
          <w:szCs w:val="32"/>
          <w:highlight w:val="none"/>
        </w:rPr>
        <w:t>6</w:t>
      </w:r>
      <w:r>
        <w:rPr>
          <w:rFonts w:hint="eastAsia" w:ascii="仿宋" w:hAnsi="仿宋" w:eastAsia="仿宋" w:cs="仿宋_GB2312"/>
          <w:color w:val="auto"/>
          <w:sz w:val="32"/>
          <w:szCs w:val="32"/>
          <w:highlight w:val="none"/>
        </w:rPr>
        <w:t>次，支委会</w:t>
      </w:r>
      <w:r>
        <w:rPr>
          <w:rFonts w:ascii="仿宋" w:hAnsi="仿宋" w:eastAsia="仿宋" w:cs="仿宋_GB2312"/>
          <w:color w:val="auto"/>
          <w:sz w:val="32"/>
          <w:szCs w:val="32"/>
          <w:highlight w:val="none"/>
        </w:rPr>
        <w:t>12</w:t>
      </w:r>
      <w:r>
        <w:rPr>
          <w:rFonts w:hint="eastAsia" w:ascii="仿宋" w:hAnsi="仿宋" w:eastAsia="仿宋" w:cs="仿宋_GB2312"/>
          <w:color w:val="auto"/>
          <w:sz w:val="32"/>
          <w:szCs w:val="32"/>
          <w:highlight w:val="none"/>
        </w:rPr>
        <w:t>次。坚持开展每月一次的“党员活动日”活动。召开各种专题会议等。</w:t>
      </w:r>
    </w:p>
    <w:p w14:paraId="36ED8527">
      <w:pPr>
        <w:spacing w:line="560" w:lineRule="exact"/>
        <w:ind w:left="420" w:leftChars="200"/>
        <w:rPr>
          <w:rFonts w:ascii="仿宋" w:hAnsi="仿宋" w:eastAsia="仿宋" w:cs="仿宋_GB2312"/>
          <w:b/>
          <w:bCs/>
          <w:color w:val="auto"/>
          <w:sz w:val="32"/>
          <w:szCs w:val="32"/>
          <w:highlight w:val="none"/>
        </w:rPr>
      </w:pPr>
      <w:r>
        <w:rPr>
          <w:rFonts w:hint="eastAsia" w:ascii="华文仿宋" w:hAnsi="华文仿宋" w:eastAsia="华文仿宋" w:cs="华文仿宋"/>
          <w:b/>
          <w:bCs/>
          <w:color w:val="auto"/>
          <w:sz w:val="32"/>
          <w:szCs w:val="32"/>
          <w:highlight w:val="none"/>
        </w:rPr>
        <w:t>（二）以教学立身，睿变笃行，凝队伍，提素质。</w:t>
      </w:r>
    </w:p>
    <w:p w14:paraId="3417EEEE">
      <w:pPr>
        <w:spacing w:line="560" w:lineRule="exact"/>
        <w:ind w:firstLine="640" w:firstLineChars="200"/>
        <w:rPr>
          <w:rFonts w:ascii="仿宋" w:hAnsi="仿宋" w:eastAsia="仿宋" w:cs="仿宋_GB2312"/>
          <w:color w:val="auto"/>
          <w:sz w:val="32"/>
          <w:szCs w:val="32"/>
          <w:highlight w:val="none"/>
        </w:rPr>
      </w:pPr>
      <w:r>
        <w:rPr>
          <w:rFonts w:ascii="仿宋" w:hAnsi="仿宋" w:eastAsia="仿宋" w:cs="仿宋_GB2312"/>
          <w:color w:val="auto"/>
          <w:sz w:val="32"/>
          <w:szCs w:val="32"/>
          <w:highlight w:val="none"/>
        </w:rPr>
        <w:t>1</w:t>
      </w:r>
      <w:r>
        <w:rPr>
          <w:rFonts w:hint="eastAsia" w:ascii="仿宋" w:hAnsi="仿宋" w:eastAsia="仿宋" w:cs="仿宋_GB2312"/>
          <w:color w:val="auto"/>
          <w:sz w:val="32"/>
          <w:szCs w:val="32"/>
          <w:highlight w:val="none"/>
        </w:rPr>
        <w:t>、聚焦目标，集成发展。老领导、新干部紧紧围绕学校的发展做文章，管理工作有条不紊，教学业绩也是名列前茅，这是班子队伍的战斗力的表现，更是班子凝聚力的体现。</w:t>
      </w:r>
    </w:p>
    <w:p w14:paraId="456B1CD7">
      <w:pPr>
        <w:spacing w:line="560" w:lineRule="exact"/>
        <w:ind w:firstLine="640" w:firstLineChars="200"/>
        <w:rPr>
          <w:rFonts w:ascii="仿宋" w:hAnsi="仿宋" w:eastAsia="仿宋" w:cs="仿宋_GB2312"/>
          <w:b/>
          <w:bCs/>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、聚焦教学，多措并举。</w:t>
      </w:r>
      <w:r>
        <w:rPr>
          <w:rFonts w:ascii="仿宋" w:hAnsi="仿宋" w:eastAsia="仿宋" w:cs="仿宋"/>
          <w:color w:val="auto"/>
          <w:sz w:val="32"/>
          <w:szCs w:val="32"/>
          <w:highlight w:val="none"/>
        </w:rPr>
        <w:t>9</w:t>
      </w:r>
      <w:r>
        <w:rPr>
          <w:rFonts w:hint="eastAsia" w:ascii="仿宋" w:hAnsi="仿宋" w:eastAsia="仿宋" w:cs="仿宋"/>
          <w:color w:val="auto"/>
          <w:sz w:val="32"/>
          <w:szCs w:val="32"/>
          <w:highlight w:val="none"/>
        </w:rPr>
        <w:t>月，我校举行了青年教师“教学大比武”活动，各位老师展示了扎实的基本功，为学生树立了良好的榜样，也为陈江小学教学的高质量发展奠定了坚实的基础。在区“教学大比武”活动中，教师冷丹丹、徐红、邱秋分获得二、三等奖。</w:t>
      </w:r>
    </w:p>
    <w:p w14:paraId="4028AA61">
      <w:pPr>
        <w:spacing w:line="560" w:lineRule="exact"/>
        <w:ind w:firstLine="640" w:firstLineChars="200"/>
        <w:rPr>
          <w:rFonts w:ascii="仿宋" w:hAnsi="仿宋" w:eastAsia="仿宋" w:cs="仿宋_GB2312"/>
          <w:color w:val="auto"/>
          <w:sz w:val="32"/>
          <w:szCs w:val="32"/>
          <w:highlight w:val="none"/>
        </w:rPr>
      </w:pPr>
      <w:r>
        <w:rPr>
          <w:rFonts w:ascii="仿宋" w:hAnsi="仿宋" w:eastAsia="仿宋" w:cs="仿宋_GB2312"/>
          <w:color w:val="auto"/>
          <w:sz w:val="32"/>
          <w:szCs w:val="32"/>
          <w:highlight w:val="none"/>
        </w:rPr>
        <w:t>6</w:t>
      </w:r>
      <w:r>
        <w:rPr>
          <w:rFonts w:hint="eastAsia" w:ascii="仿宋" w:hAnsi="仿宋" w:eastAsia="仿宋" w:cs="仿宋_GB2312"/>
          <w:color w:val="auto"/>
          <w:sz w:val="32"/>
          <w:szCs w:val="32"/>
          <w:highlight w:val="none"/>
        </w:rPr>
        <w:t>月文科组理科组分别召开了质量推进会，</w:t>
      </w:r>
      <w:r>
        <w:rPr>
          <w:rFonts w:ascii="仿宋" w:hAnsi="仿宋" w:eastAsia="仿宋" w:cs="仿宋_GB2312"/>
          <w:color w:val="auto"/>
          <w:sz w:val="32"/>
          <w:szCs w:val="32"/>
          <w:highlight w:val="none"/>
        </w:rPr>
        <w:t>10</w:t>
      </w:r>
      <w:r>
        <w:rPr>
          <w:rFonts w:hint="eastAsia" w:ascii="仿宋" w:hAnsi="仿宋" w:eastAsia="仿宋" w:cs="仿宋_GB2312"/>
          <w:color w:val="auto"/>
          <w:sz w:val="32"/>
          <w:szCs w:val="32"/>
          <w:highlight w:val="none"/>
        </w:rPr>
        <w:t>月召开了质量提升动员大会。签订《教学目标责任书》，全体教师与时间赛跑、向课堂要质量，教学能力得到提升。新入职的年轻教师基本功扎实，进入角色快，学生成绩进步明显。</w:t>
      </w:r>
    </w:p>
    <w:p w14:paraId="747C9978">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_GB2312"/>
          <w:color w:val="auto"/>
          <w:sz w:val="32"/>
          <w:szCs w:val="32"/>
          <w:highlight w:val="none"/>
        </w:rPr>
        <w:t>粟麟获得</w:t>
      </w:r>
      <w:r>
        <w:rPr>
          <w:rFonts w:ascii="仿宋" w:hAnsi="仿宋" w:eastAsia="仿宋" w:cs="仿宋_GB2312"/>
          <w:color w:val="auto"/>
          <w:sz w:val="32"/>
          <w:szCs w:val="32"/>
          <w:highlight w:val="none"/>
        </w:rPr>
        <w:t>2021</w:t>
      </w:r>
      <w:r>
        <w:rPr>
          <w:rFonts w:hint="eastAsia" w:ascii="仿宋" w:hAnsi="仿宋" w:eastAsia="仿宋" w:cs="仿宋_GB2312"/>
          <w:color w:val="auto"/>
          <w:sz w:val="32"/>
          <w:szCs w:val="32"/>
          <w:highlight w:val="none"/>
        </w:rPr>
        <w:t>年昭化区骨干教师。王普松校长获“广元市农村学校优秀校长”荣誉称号。</w:t>
      </w:r>
    </w:p>
    <w:p w14:paraId="45BEFDF4">
      <w:pPr>
        <w:spacing w:line="560" w:lineRule="exact"/>
        <w:ind w:firstLine="641" w:firstLineChars="200"/>
        <w:rPr>
          <w:rFonts w:ascii="华文仿宋" w:hAnsi="华文仿宋" w:eastAsia="华文仿宋" w:cs="华文仿宋"/>
          <w:b/>
          <w:bCs/>
          <w:color w:val="auto"/>
          <w:sz w:val="32"/>
          <w:szCs w:val="32"/>
          <w:highlight w:val="none"/>
        </w:rPr>
      </w:pPr>
      <w:r>
        <w:rPr>
          <w:rFonts w:hint="eastAsia" w:ascii="华文仿宋" w:hAnsi="华文仿宋" w:eastAsia="华文仿宋" w:cs="华文仿宋"/>
          <w:b/>
          <w:bCs/>
          <w:color w:val="auto"/>
          <w:sz w:val="32"/>
          <w:szCs w:val="32"/>
          <w:highlight w:val="none"/>
        </w:rPr>
        <w:t>（三）以五育为底，展开素质教育，促生全面发展。</w:t>
      </w:r>
    </w:p>
    <w:p w14:paraId="1654B496">
      <w:pPr>
        <w:numPr>
          <w:ilvl w:val="0"/>
          <w:numId w:val="2"/>
        </w:numPr>
        <w:spacing w:line="560" w:lineRule="exact"/>
        <w:ind w:firstLine="64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建立体系，积极推进教学工作规范化。通过制定《陈江小学教学成绩奖惩办法》，签订责任书等多种形式，加大了教学质量提升的奖惩力度。今年年底绩效考核中，就教学成绩这一块，最高和最低的差距达到</w:t>
      </w:r>
      <w:r>
        <w:rPr>
          <w:rFonts w:ascii="仿宋" w:hAnsi="仿宋" w:eastAsia="仿宋" w:cs="仿宋_GB2312"/>
          <w:color w:val="auto"/>
          <w:sz w:val="32"/>
          <w:szCs w:val="32"/>
          <w:highlight w:val="none"/>
        </w:rPr>
        <w:t>3000</w:t>
      </w:r>
      <w:r>
        <w:rPr>
          <w:rFonts w:hint="eastAsia" w:ascii="仿宋" w:hAnsi="仿宋" w:eastAsia="仿宋" w:cs="仿宋_GB2312"/>
          <w:color w:val="auto"/>
          <w:sz w:val="32"/>
          <w:szCs w:val="32"/>
          <w:highlight w:val="none"/>
        </w:rPr>
        <w:t>多元。</w:t>
      </w:r>
      <w:r>
        <w:rPr>
          <w:rFonts w:ascii="仿宋" w:hAnsi="仿宋" w:eastAsia="仿宋" w:cs="仿宋_GB2312"/>
          <w:color w:val="auto"/>
          <w:sz w:val="32"/>
          <w:szCs w:val="32"/>
          <w:highlight w:val="none"/>
        </w:rPr>
        <w:t>2021</w:t>
      </w:r>
      <w:r>
        <w:rPr>
          <w:rFonts w:hint="eastAsia" w:ascii="仿宋" w:hAnsi="仿宋" w:eastAsia="仿宋" w:cs="仿宋_GB2312"/>
          <w:color w:val="auto"/>
          <w:sz w:val="32"/>
          <w:szCs w:val="32"/>
          <w:highlight w:val="none"/>
        </w:rPr>
        <w:t>年春季，我校教学成绩取得显著成果，校长任教的六年级科学排全区前</w:t>
      </w:r>
      <w:r>
        <w:rPr>
          <w:rFonts w:ascii="仿宋" w:hAnsi="仿宋" w:eastAsia="仿宋" w:cs="仿宋_GB2312"/>
          <w:color w:val="auto"/>
          <w:sz w:val="32"/>
          <w:szCs w:val="32"/>
          <w:highlight w:val="none"/>
        </w:rPr>
        <w:t>3</w:t>
      </w:r>
      <w:r>
        <w:rPr>
          <w:rFonts w:hint="eastAsia" w:ascii="仿宋" w:hAnsi="仿宋" w:eastAsia="仿宋" w:cs="仿宋_GB2312"/>
          <w:color w:val="auto"/>
          <w:sz w:val="32"/>
          <w:szCs w:val="32"/>
          <w:highlight w:val="none"/>
        </w:rPr>
        <w:t>名，权烯、陈小华等青年教师也稳居全区前五。学校综合成绩排名较去年上升了</w:t>
      </w:r>
      <w:r>
        <w:rPr>
          <w:rFonts w:ascii="仿宋" w:hAnsi="仿宋" w:eastAsia="仿宋" w:cs="仿宋_GB2312"/>
          <w:color w:val="auto"/>
          <w:sz w:val="32"/>
          <w:szCs w:val="32"/>
          <w:highlight w:val="none"/>
        </w:rPr>
        <w:t>7</w:t>
      </w:r>
      <w:r>
        <w:rPr>
          <w:rFonts w:hint="eastAsia" w:ascii="仿宋" w:hAnsi="仿宋" w:eastAsia="仿宋" w:cs="仿宋_GB2312"/>
          <w:color w:val="auto"/>
          <w:sz w:val="32"/>
          <w:szCs w:val="32"/>
          <w:highlight w:val="none"/>
        </w:rPr>
        <w:t>个名次。</w:t>
      </w:r>
    </w:p>
    <w:p w14:paraId="53902D0D">
      <w:pPr>
        <w:spacing w:line="560" w:lineRule="exact"/>
        <w:ind w:firstLine="640" w:firstLineChars="200"/>
        <w:rPr>
          <w:rFonts w:ascii="仿宋" w:hAnsi="仿宋" w:eastAsia="仿宋" w:cs="仿宋_GB2312"/>
          <w:color w:val="auto"/>
          <w:sz w:val="32"/>
          <w:szCs w:val="32"/>
          <w:highlight w:val="none"/>
        </w:rPr>
      </w:pPr>
      <w:r>
        <w:rPr>
          <w:rFonts w:ascii="仿宋" w:hAnsi="仿宋" w:eastAsia="仿宋" w:cs="仿宋_GB2312"/>
          <w:color w:val="auto"/>
          <w:sz w:val="32"/>
          <w:szCs w:val="32"/>
          <w:highlight w:val="none"/>
        </w:rPr>
        <w:t>2</w:t>
      </w:r>
      <w:r>
        <w:rPr>
          <w:rFonts w:hint="eastAsia" w:ascii="仿宋" w:hAnsi="仿宋" w:eastAsia="仿宋" w:cs="仿宋_GB2312"/>
          <w:color w:val="auto"/>
          <w:sz w:val="32"/>
          <w:szCs w:val="32"/>
          <w:highlight w:val="none"/>
        </w:rPr>
        <w:t>、统筹兼顾，保证校园活动有效化。德育系列活动丰富多彩</w:t>
      </w:r>
      <w:r>
        <w:rPr>
          <w:rFonts w:ascii="仿宋" w:hAnsi="仿宋" w:eastAsia="仿宋" w:cs="仿宋_GB2312"/>
          <w:color w:val="auto"/>
          <w:sz w:val="32"/>
          <w:szCs w:val="32"/>
          <w:highlight w:val="none"/>
        </w:rPr>
        <w:t>:</w:t>
      </w:r>
      <w:r>
        <w:rPr>
          <w:rFonts w:hint="eastAsia" w:ascii="仿宋" w:hAnsi="仿宋" w:eastAsia="仿宋" w:cs="仿宋_GB2312"/>
          <w:color w:val="auto"/>
          <w:sz w:val="32"/>
          <w:szCs w:val="32"/>
          <w:highlight w:val="none"/>
        </w:rPr>
        <w:t>为了培养学生良好的生活习惯，我校开展了垃圾分类及废品回收活动，在每个教室安装分类垃圾桶，学校设置了废品回收屋，从小培养学生的环保意识。德育处开展日、周、月系列活动，内容丰富，培养了学生良好的习惯及养成教育。权烯、贾清灵、孙莞婷等多位老师在讲经典、爱国主义讲演系列德育活动中获得优秀指导教师。五年级邢思雨同学荣获“广元市优秀少先队员”称号，</w:t>
      </w:r>
      <w:r>
        <w:rPr>
          <w:rFonts w:ascii="仿宋" w:hAnsi="仿宋" w:eastAsia="仿宋" w:cs="仿宋_GB2312"/>
          <w:color w:val="auto"/>
          <w:sz w:val="32"/>
          <w:szCs w:val="32"/>
          <w:highlight w:val="none"/>
        </w:rPr>
        <w:t>2021</w:t>
      </w:r>
      <w:r>
        <w:rPr>
          <w:rFonts w:hint="eastAsia" w:ascii="仿宋" w:hAnsi="仿宋" w:eastAsia="仿宋" w:cs="仿宋_GB2312"/>
          <w:color w:val="auto"/>
          <w:sz w:val="32"/>
          <w:szCs w:val="32"/>
          <w:highlight w:val="none"/>
        </w:rPr>
        <w:t>年春德育主任邱秋荣获“广元市优秀少先队辅导员”称号。</w:t>
      </w:r>
    </w:p>
    <w:p w14:paraId="7909B992">
      <w:pPr>
        <w:spacing w:line="560" w:lineRule="exact"/>
        <w:ind w:firstLine="640" w:firstLineChars="200"/>
        <w:rPr>
          <w:rFonts w:ascii="仿宋" w:hAnsi="仿宋" w:eastAsia="仿宋" w:cs="仿宋_GB2312"/>
          <w:color w:val="auto"/>
          <w:sz w:val="32"/>
          <w:szCs w:val="32"/>
          <w:highlight w:val="none"/>
        </w:rPr>
      </w:pPr>
      <w:r>
        <w:rPr>
          <w:rFonts w:ascii="仿宋" w:hAnsi="仿宋" w:eastAsia="仿宋" w:cs="仿宋_GB2312"/>
          <w:color w:val="auto"/>
          <w:sz w:val="32"/>
          <w:szCs w:val="32"/>
          <w:highlight w:val="none"/>
        </w:rPr>
        <w:t>3</w:t>
      </w:r>
      <w:r>
        <w:rPr>
          <w:rFonts w:hint="eastAsia" w:ascii="仿宋" w:hAnsi="仿宋" w:eastAsia="仿宋" w:cs="仿宋_GB2312"/>
          <w:color w:val="auto"/>
          <w:sz w:val="32"/>
          <w:szCs w:val="32"/>
          <w:highlight w:val="none"/>
        </w:rPr>
        <w:t>、注重质量，确保艺术活动成果化。体育、美育等教育活动成果累累。扎实开展课后延时服务工作，共开设</w:t>
      </w:r>
      <w:r>
        <w:rPr>
          <w:rFonts w:ascii="仿宋" w:hAnsi="仿宋" w:eastAsia="仿宋" w:cs="仿宋_GB2312"/>
          <w:color w:val="auto"/>
          <w:sz w:val="32"/>
          <w:szCs w:val="32"/>
          <w:highlight w:val="none"/>
        </w:rPr>
        <w:t>16</w:t>
      </w:r>
      <w:r>
        <w:rPr>
          <w:rFonts w:hint="eastAsia" w:ascii="仿宋" w:hAnsi="仿宋" w:eastAsia="仿宋" w:cs="仿宋_GB2312"/>
          <w:color w:val="auto"/>
          <w:sz w:val="32"/>
          <w:szCs w:val="32"/>
          <w:highlight w:val="none"/>
        </w:rPr>
        <w:t>个社团活动，寓教于乐，既陶冶了学生的情操，又培养了学生的特长与能力。</w:t>
      </w:r>
    </w:p>
    <w:p w14:paraId="3F7FFFA8">
      <w:pPr>
        <w:spacing w:line="560" w:lineRule="exact"/>
        <w:ind w:firstLine="640" w:firstLineChars="20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今年六一儿童节，我校开展了丰富多彩的庆祝活动，琴棋书画、吹拉弹唱。学生个个显神通，人人展才艺，学生在活动中受到美的熏陶，得到家长和社会各界的认可。在区级各类比赛中，陈江小学学子一年来共有</w:t>
      </w:r>
      <w:r>
        <w:rPr>
          <w:rFonts w:ascii="仿宋" w:hAnsi="仿宋" w:eastAsia="仿宋" w:cs="仿宋_GB2312"/>
          <w:color w:val="auto"/>
          <w:sz w:val="32"/>
          <w:szCs w:val="32"/>
          <w:highlight w:val="none"/>
        </w:rPr>
        <w:t>27</w:t>
      </w:r>
      <w:r>
        <w:rPr>
          <w:rFonts w:hint="eastAsia" w:ascii="仿宋" w:hAnsi="仿宋" w:eastAsia="仿宋" w:cs="仿宋_GB2312"/>
          <w:color w:val="auto"/>
          <w:sz w:val="32"/>
          <w:szCs w:val="32"/>
          <w:highlight w:val="none"/>
        </w:rPr>
        <w:t>人次获奖，教师</w:t>
      </w:r>
      <w:r>
        <w:rPr>
          <w:rFonts w:ascii="仿宋" w:hAnsi="仿宋" w:eastAsia="仿宋" w:cs="仿宋_GB2312"/>
          <w:color w:val="auto"/>
          <w:sz w:val="32"/>
          <w:szCs w:val="32"/>
          <w:highlight w:val="none"/>
        </w:rPr>
        <w:t>18</w:t>
      </w:r>
      <w:r>
        <w:rPr>
          <w:rFonts w:hint="eastAsia" w:ascii="仿宋" w:hAnsi="仿宋" w:eastAsia="仿宋" w:cs="仿宋_GB2312"/>
          <w:color w:val="auto"/>
          <w:sz w:val="32"/>
          <w:szCs w:val="32"/>
          <w:highlight w:val="none"/>
        </w:rPr>
        <w:t>人次获得指导教师奖。</w:t>
      </w:r>
    </w:p>
    <w:p w14:paraId="03DA4483">
      <w:pPr>
        <w:numPr>
          <w:ilvl w:val="0"/>
          <w:numId w:val="3"/>
        </w:numPr>
        <w:spacing w:line="560" w:lineRule="exact"/>
        <w:ind w:firstLine="64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着眼全局，确保活动多样化。劳动教育活动丰富多彩。如主要开展卫生打扫，花园除草理乱，植树种草，厨艺展示（包抄手）等活动，把校园变成了花园，同时也提高了学生的劳动技能，增强了劳动意识。</w:t>
      </w:r>
    </w:p>
    <w:p w14:paraId="4DF82C7F">
      <w:pPr>
        <w:spacing w:line="56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三、特色创建</w:t>
      </w:r>
    </w:p>
    <w:p w14:paraId="7C1CE107">
      <w:pPr>
        <w:spacing w:line="560" w:lineRule="exact"/>
        <w:ind w:firstLine="643" w:firstLineChars="200"/>
        <w:rPr>
          <w:rFonts w:ascii="仿宋" w:hAnsi="仿宋" w:eastAsia="仿宋" w:cs="仿宋_GB2312"/>
          <w:color w:val="auto"/>
          <w:sz w:val="32"/>
          <w:szCs w:val="32"/>
          <w:highlight w:val="none"/>
        </w:rPr>
      </w:pPr>
      <w:r>
        <w:rPr>
          <w:rFonts w:hint="eastAsia" w:ascii="仿宋" w:hAnsi="仿宋" w:eastAsia="仿宋" w:cs="仿宋_GB2312"/>
          <w:b/>
          <w:bCs/>
          <w:color w:val="auto"/>
          <w:sz w:val="32"/>
          <w:szCs w:val="32"/>
          <w:highlight w:val="none"/>
        </w:rPr>
        <w:t>（一）开展“替代”服务，关心关爱留守儿童。</w:t>
      </w:r>
      <w:r>
        <w:rPr>
          <w:rFonts w:hint="eastAsia" w:ascii="仿宋" w:hAnsi="仿宋" w:eastAsia="仿宋" w:cs="仿宋_GB2312"/>
          <w:color w:val="auto"/>
          <w:sz w:val="32"/>
          <w:szCs w:val="32"/>
          <w:highlight w:val="none"/>
        </w:rPr>
        <w:t>我校每周星期天下午免费开展了“替代”服务，旨在替代父母给留守儿童的心灵一个温馨的港湾。教师轮流在校内为附近的留守儿童开展学业指导、心理辅导、兴趣培养、身体锻炼等活动，填补留守儿童无父母陪伴的空白，让学生在学校度过一个愉快而充实的星期天。</w:t>
      </w:r>
    </w:p>
    <w:p w14:paraId="4A77AC6F">
      <w:pPr>
        <w:spacing w:line="560" w:lineRule="exact"/>
        <w:ind w:firstLine="643" w:firstLineChars="200"/>
        <w:rPr>
          <w:rFonts w:ascii="仿宋" w:hAnsi="仿宋" w:eastAsia="仿宋" w:cs="仿宋_GB2312"/>
          <w:color w:val="auto"/>
          <w:sz w:val="32"/>
          <w:szCs w:val="32"/>
          <w:highlight w:val="none"/>
        </w:rPr>
      </w:pPr>
      <w:r>
        <w:rPr>
          <w:rFonts w:hint="eastAsia" w:ascii="仿宋" w:hAnsi="仿宋" w:eastAsia="仿宋" w:cs="仿宋_GB2312"/>
          <w:b/>
          <w:bCs/>
          <w:color w:val="auto"/>
          <w:sz w:val="32"/>
          <w:szCs w:val="32"/>
          <w:highlight w:val="none"/>
        </w:rPr>
        <w:t>（二）羽毛球特色项目创建已初见成效。</w:t>
      </w:r>
      <w:r>
        <w:rPr>
          <w:rFonts w:hint="eastAsia" w:ascii="仿宋" w:hAnsi="仿宋" w:eastAsia="仿宋" w:cs="仿宋_GB2312"/>
          <w:color w:val="auto"/>
          <w:sz w:val="32"/>
          <w:szCs w:val="32"/>
          <w:highlight w:val="none"/>
        </w:rPr>
        <w:t>近两年来我校开展了羽毛球特色体育项目，每天的两操及课后延时服务时间，每名学生人手一支羽毛球拍，通过韵律操等形式训练学生的羽毛球技能，培养学生的对羽毛球的运动的热爱，现在每天都可以看到学生利用课余时间打羽毛球的场景。在今年的区运动上运动健儿取了</w:t>
      </w:r>
      <w:r>
        <w:rPr>
          <w:rFonts w:ascii="仿宋" w:hAnsi="仿宋" w:eastAsia="仿宋" w:cs="仿宋_GB2312"/>
          <w:color w:val="auto"/>
          <w:sz w:val="32"/>
          <w:szCs w:val="32"/>
          <w:highlight w:val="none"/>
        </w:rPr>
        <w:t>2</w:t>
      </w:r>
      <w:r>
        <w:rPr>
          <w:rFonts w:hint="eastAsia" w:ascii="仿宋" w:hAnsi="仿宋" w:eastAsia="仿宋" w:cs="仿宋_GB2312"/>
          <w:color w:val="auto"/>
          <w:sz w:val="32"/>
          <w:szCs w:val="32"/>
          <w:highlight w:val="none"/>
        </w:rPr>
        <w:t>个第二名，</w:t>
      </w:r>
      <w:r>
        <w:rPr>
          <w:rFonts w:ascii="仿宋" w:hAnsi="仿宋" w:eastAsia="仿宋" w:cs="仿宋_GB2312"/>
          <w:color w:val="auto"/>
          <w:sz w:val="32"/>
          <w:szCs w:val="32"/>
          <w:highlight w:val="none"/>
        </w:rPr>
        <w:t>1</w:t>
      </w:r>
      <w:r>
        <w:rPr>
          <w:rFonts w:hint="eastAsia" w:ascii="仿宋" w:hAnsi="仿宋" w:eastAsia="仿宋" w:cs="仿宋_GB2312"/>
          <w:color w:val="auto"/>
          <w:sz w:val="32"/>
          <w:szCs w:val="32"/>
          <w:highlight w:val="none"/>
        </w:rPr>
        <w:t>个第四名、</w:t>
      </w:r>
      <w:r>
        <w:rPr>
          <w:rFonts w:ascii="仿宋" w:hAnsi="仿宋" w:eastAsia="仿宋" w:cs="仿宋_GB2312"/>
          <w:color w:val="auto"/>
          <w:sz w:val="32"/>
          <w:szCs w:val="32"/>
          <w:highlight w:val="none"/>
        </w:rPr>
        <w:t>1</w:t>
      </w:r>
      <w:r>
        <w:rPr>
          <w:rFonts w:hint="eastAsia" w:ascii="仿宋" w:hAnsi="仿宋" w:eastAsia="仿宋" w:cs="仿宋_GB2312"/>
          <w:color w:val="auto"/>
          <w:sz w:val="32"/>
          <w:szCs w:val="32"/>
          <w:highlight w:val="none"/>
        </w:rPr>
        <w:t>个第五名的好成绩。</w:t>
      </w:r>
    </w:p>
    <w:p w14:paraId="28FA9A93">
      <w:pPr>
        <w:spacing w:line="56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四、亮点工作</w:t>
      </w:r>
    </w:p>
    <w:p w14:paraId="3756EAEC">
      <w:pPr>
        <w:spacing w:line="560" w:lineRule="exact"/>
        <w:ind w:firstLine="643" w:firstLineChars="200"/>
        <w:rPr>
          <w:rFonts w:ascii="仿宋" w:hAnsi="仿宋" w:eastAsia="仿宋" w:cs="仿宋_GB2312"/>
          <w:b/>
          <w:bCs/>
          <w:color w:val="auto"/>
          <w:sz w:val="32"/>
          <w:szCs w:val="32"/>
          <w:highlight w:val="none"/>
        </w:rPr>
      </w:pPr>
      <w:r>
        <w:rPr>
          <w:rFonts w:hint="eastAsia" w:ascii="仿宋" w:hAnsi="仿宋" w:eastAsia="仿宋" w:cs="仿宋_GB2312"/>
          <w:b/>
          <w:bCs/>
          <w:color w:val="auto"/>
          <w:sz w:val="32"/>
          <w:szCs w:val="32"/>
          <w:highlight w:val="none"/>
        </w:rPr>
        <w:t>（一）全区率先开班的暑期托管服务。</w:t>
      </w:r>
    </w:p>
    <w:p w14:paraId="4F2EC21A">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7</w:t>
      </w:r>
      <w:r>
        <w:rPr>
          <w:rFonts w:hint="eastAsia" w:ascii="仿宋" w:hAnsi="仿宋" w:eastAsia="仿宋" w:cs="仿宋"/>
          <w:color w:val="auto"/>
          <w:sz w:val="32"/>
          <w:szCs w:val="32"/>
          <w:highlight w:val="none"/>
        </w:rPr>
        <w:t>月</w:t>
      </w:r>
      <w:r>
        <w:rPr>
          <w:rFonts w:ascii="仿宋" w:hAnsi="仿宋" w:eastAsia="仿宋" w:cs="仿宋"/>
          <w:color w:val="auto"/>
          <w:sz w:val="32"/>
          <w:szCs w:val="32"/>
          <w:highlight w:val="none"/>
        </w:rPr>
        <w:t>21</w:t>
      </w:r>
      <w:r>
        <w:rPr>
          <w:rFonts w:hint="eastAsia" w:ascii="仿宋" w:hAnsi="仿宋" w:eastAsia="仿宋" w:cs="仿宋"/>
          <w:color w:val="auto"/>
          <w:sz w:val="32"/>
          <w:szCs w:val="32"/>
          <w:highlight w:val="none"/>
        </w:rPr>
        <w:t>日，我校积极响应国家政策，落实双减政策，开展为期</w:t>
      </w:r>
      <w:r>
        <w:rPr>
          <w:rFonts w:ascii="仿宋" w:hAnsi="仿宋" w:eastAsia="仿宋" w:cs="仿宋"/>
          <w:color w:val="auto"/>
          <w:sz w:val="32"/>
          <w:szCs w:val="32"/>
          <w:highlight w:val="none"/>
        </w:rPr>
        <w:t>18</w:t>
      </w:r>
      <w:r>
        <w:rPr>
          <w:rFonts w:hint="eastAsia" w:ascii="仿宋" w:hAnsi="仿宋" w:eastAsia="仿宋" w:cs="仿宋"/>
          <w:color w:val="auto"/>
          <w:sz w:val="32"/>
          <w:szCs w:val="32"/>
          <w:highlight w:val="none"/>
        </w:rPr>
        <w:t>天的暑期托管服务，积极探索“五项管理”和“双减”工作的有效途径，全面落实管理措施，从“小切口”上着手，真正做到教师尽心，家长安心，学生开心。为昭化教育托管服务开创了先河，积累了宝贵经验。</w:t>
      </w:r>
    </w:p>
    <w:p w14:paraId="2B5F4419">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在此特感谢孙莞婷和杜寿方两位老师，在学校未安排服务的情况下主动请缨加入，为托管服务添砖加瓦。这是陈江教育人的骄傲，也让我们看到青年教师的前程可喜可贺。</w:t>
      </w:r>
    </w:p>
    <w:p w14:paraId="3A19D2D2">
      <w:pPr>
        <w:spacing w:line="560" w:lineRule="exact"/>
        <w:ind w:firstLine="421" w:firstLineChars="131"/>
        <w:rPr>
          <w:rFonts w:ascii="仿宋" w:hAnsi="仿宋" w:eastAsia="仿宋" w:cs="仿宋_GB2312"/>
          <w:b/>
          <w:bCs/>
          <w:color w:val="auto"/>
          <w:sz w:val="32"/>
          <w:szCs w:val="32"/>
          <w:highlight w:val="none"/>
        </w:rPr>
      </w:pPr>
      <w:r>
        <w:rPr>
          <w:rFonts w:hint="eastAsia" w:ascii="仿宋" w:hAnsi="仿宋" w:eastAsia="仿宋" w:cs="仿宋_GB2312"/>
          <w:b/>
          <w:bCs/>
          <w:color w:val="auto"/>
          <w:sz w:val="32"/>
          <w:szCs w:val="32"/>
          <w:highlight w:val="none"/>
        </w:rPr>
        <w:t>（二）体育运动扎实开展，学生身体得到锻炼，运动会成绩喜人。</w:t>
      </w:r>
    </w:p>
    <w:p w14:paraId="474D36F8">
      <w:pPr>
        <w:spacing w:line="560" w:lineRule="exact"/>
        <w:ind w:firstLine="640" w:firstLineChars="20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我校的体育运动项目全面开花，近年来取得不小的成绩。学生养成了良好的体育锻炼习惯，中午休息时看到的是学生主动到操场踢足球、打篮球、羽毛球等，没有了在校园内“乱跑”的现象。虽然陈江小学足球场还是天然草场，但在马仲朝、张主席、范书记的共同努力下，我校在全区的运动会上大放异彩。在</w:t>
      </w:r>
      <w:r>
        <w:rPr>
          <w:rFonts w:ascii="仿宋" w:hAnsi="仿宋" w:eastAsia="仿宋" w:cs="仿宋_GB2312"/>
          <w:color w:val="auto"/>
          <w:sz w:val="32"/>
          <w:szCs w:val="32"/>
          <w:highlight w:val="none"/>
        </w:rPr>
        <w:t>2021</w:t>
      </w:r>
      <w:r>
        <w:rPr>
          <w:rFonts w:hint="eastAsia" w:ascii="仿宋" w:hAnsi="仿宋" w:eastAsia="仿宋" w:cs="仿宋_GB2312"/>
          <w:color w:val="auto"/>
          <w:sz w:val="32"/>
          <w:szCs w:val="32"/>
          <w:highlight w:val="none"/>
        </w:rPr>
        <w:t>年春季球类运动会上我校的足球技压群雄获得男女双冠王。在全力保证足球队的情况下，我校篮球队也获得了第四名的佳绩，羽毛球、乒乓球项目也有</w:t>
      </w:r>
      <w:r>
        <w:rPr>
          <w:rFonts w:ascii="仿宋" w:hAnsi="仿宋" w:eastAsia="仿宋" w:cs="仿宋_GB2312"/>
          <w:color w:val="auto"/>
          <w:sz w:val="32"/>
          <w:szCs w:val="32"/>
          <w:highlight w:val="none"/>
        </w:rPr>
        <w:t>5</w:t>
      </w:r>
      <w:r>
        <w:rPr>
          <w:rFonts w:hint="eastAsia" w:ascii="仿宋" w:hAnsi="仿宋" w:eastAsia="仿宋" w:cs="仿宋_GB2312"/>
          <w:color w:val="auto"/>
          <w:sz w:val="32"/>
          <w:szCs w:val="32"/>
          <w:highlight w:val="none"/>
        </w:rPr>
        <w:t>人次获奖。陈江小学代表队获得运动会“体育道德风尚奖”。</w:t>
      </w:r>
    </w:p>
    <w:p w14:paraId="46B623BC">
      <w:pPr>
        <w:spacing w:line="560" w:lineRule="exact"/>
        <w:ind w:firstLine="643" w:firstLineChars="200"/>
        <w:rPr>
          <w:rFonts w:ascii="仿宋" w:hAnsi="仿宋" w:eastAsia="仿宋" w:cs="仿宋_GB2312"/>
          <w:b/>
          <w:bCs/>
          <w:color w:val="auto"/>
          <w:sz w:val="32"/>
          <w:szCs w:val="32"/>
          <w:highlight w:val="none"/>
        </w:rPr>
      </w:pPr>
      <w:r>
        <w:rPr>
          <w:rFonts w:hint="eastAsia" w:ascii="仿宋" w:hAnsi="仿宋" w:eastAsia="仿宋" w:cs="仿宋_GB2312"/>
          <w:b/>
          <w:bCs/>
          <w:color w:val="auto"/>
          <w:sz w:val="32"/>
          <w:szCs w:val="32"/>
          <w:highlight w:val="none"/>
        </w:rPr>
        <w:t>（三）经费公开透明、购物实行审批制。</w:t>
      </w:r>
    </w:p>
    <w:p w14:paraId="6B9986F0">
      <w:pPr>
        <w:spacing w:line="560" w:lineRule="exact"/>
        <w:ind w:firstLine="640" w:firstLineChars="20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财务室坚持每月公开食堂及大平台财务情况，教师可随时了解到学校经费运行情况，这一公示制度的坚持，得到上级的认可。制定了《陈江小学差旅费管理办法》，学校购物采取审批制，严格经费管理。</w:t>
      </w:r>
    </w:p>
    <w:p w14:paraId="698D9D0F">
      <w:pPr>
        <w:spacing w:line="560" w:lineRule="exact"/>
        <w:ind w:firstLine="643" w:firstLineChars="200"/>
        <w:rPr>
          <w:rFonts w:ascii="仿宋" w:hAnsi="仿宋" w:eastAsia="仿宋" w:cs="仿宋_GB2312"/>
          <w:b/>
          <w:bCs/>
          <w:color w:val="auto"/>
          <w:sz w:val="32"/>
          <w:szCs w:val="32"/>
          <w:highlight w:val="none"/>
        </w:rPr>
      </w:pPr>
      <w:r>
        <w:rPr>
          <w:rFonts w:hint="eastAsia" w:ascii="仿宋" w:hAnsi="仿宋" w:eastAsia="仿宋" w:cs="仿宋_GB2312"/>
          <w:b/>
          <w:bCs/>
          <w:color w:val="auto"/>
          <w:sz w:val="32"/>
          <w:szCs w:val="32"/>
          <w:highlight w:val="none"/>
        </w:rPr>
        <w:t>（四）通过项目的实施，排除了隐患，美化了校园。</w:t>
      </w:r>
    </w:p>
    <w:p w14:paraId="6A1B2038">
      <w:pPr>
        <w:spacing w:line="560" w:lineRule="exact"/>
        <w:ind w:firstLine="640" w:firstLineChars="20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今年学校积极向教育局争取经费</w:t>
      </w:r>
      <w:r>
        <w:rPr>
          <w:rFonts w:ascii="仿宋" w:hAnsi="仿宋" w:eastAsia="仿宋" w:cs="仿宋_GB2312"/>
          <w:color w:val="auto"/>
          <w:sz w:val="32"/>
          <w:szCs w:val="32"/>
          <w:highlight w:val="none"/>
        </w:rPr>
        <w:t>30</w:t>
      </w:r>
      <w:r>
        <w:rPr>
          <w:rFonts w:hint="eastAsia" w:ascii="仿宋" w:hAnsi="仿宋" w:eastAsia="仿宋" w:cs="仿宋_GB2312"/>
          <w:color w:val="auto"/>
          <w:sz w:val="32"/>
          <w:szCs w:val="32"/>
          <w:highlight w:val="none"/>
        </w:rPr>
        <w:t>多万元。通过排危及幼儿园改造项目的实施，将幼儿园从原来老旧的房子搬迁至原校功能室区域，大大的保障了学生安全，也改善了其学习成长的环境，合理的利用转换现有资源，将教学硬件最优化。家长到了学校后，无不感叹学校的变化之大。</w:t>
      </w:r>
    </w:p>
    <w:p w14:paraId="2D9747F3">
      <w:pPr>
        <w:spacing w:line="560" w:lineRule="exact"/>
        <w:ind w:firstLine="643" w:firstLineChars="200"/>
        <w:rPr>
          <w:rFonts w:ascii="仿宋" w:hAnsi="仿宋" w:eastAsia="仿宋" w:cs="仿宋_GB2312"/>
          <w:b/>
          <w:bCs/>
          <w:color w:val="auto"/>
          <w:sz w:val="32"/>
          <w:szCs w:val="32"/>
          <w:highlight w:val="none"/>
        </w:rPr>
      </w:pPr>
      <w:r>
        <w:rPr>
          <w:rFonts w:hint="eastAsia" w:ascii="仿宋" w:hAnsi="仿宋" w:eastAsia="仿宋" w:cs="仿宋_GB2312"/>
          <w:b/>
          <w:bCs/>
          <w:color w:val="auto"/>
          <w:sz w:val="32"/>
          <w:szCs w:val="32"/>
          <w:highlight w:val="none"/>
        </w:rPr>
        <w:t>（五）后勤及工会工作有温度，教师生活有质量。</w:t>
      </w:r>
    </w:p>
    <w:p w14:paraId="0B87F216">
      <w:pPr>
        <w:spacing w:line="560" w:lineRule="exact"/>
        <w:ind w:firstLine="640" w:firstLineChars="20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关心职工的生活，改善食堂伙食，鸡鸭牛羊兔，炖炒蒸与烧，荤素科学搭配。周末偶尔安排加餐，一年来，师生在食堂包饺子、烫米粉、吃到可口粉蒸肉酥肉羊肉汤锅等。寝室安装宽带，报销资料书籍费用，关心慰问困难职工等，让教师体会到家的温暖，让远处的老师静得下，留得住。</w:t>
      </w:r>
    </w:p>
    <w:p w14:paraId="2C84AFD4">
      <w:pPr>
        <w:pStyle w:val="21"/>
        <w:ind w:left="630"/>
        <w:rPr>
          <w:rFonts w:hAnsi="仿宋" w:cs="仿宋_GB2312"/>
          <w:b/>
          <w:bCs/>
          <w:color w:val="auto"/>
          <w:kern w:val="2"/>
          <w:sz w:val="32"/>
          <w:szCs w:val="32"/>
          <w:highlight w:val="none"/>
        </w:rPr>
      </w:pPr>
      <w:r>
        <w:rPr>
          <w:rFonts w:hint="eastAsia" w:hAnsi="仿宋" w:cs="仿宋_GB2312"/>
          <w:b/>
          <w:bCs/>
          <w:color w:val="auto"/>
          <w:kern w:val="2"/>
          <w:sz w:val="32"/>
          <w:szCs w:val="32"/>
          <w:highlight w:val="none"/>
        </w:rPr>
        <w:t>（六）信息宣传报道及时准确，营造了良好的教育环境。</w:t>
      </w:r>
    </w:p>
    <w:p w14:paraId="5F450D1C">
      <w:pPr>
        <w:pStyle w:val="21"/>
        <w:ind w:firstLine="736" w:firstLineChars="230"/>
        <w:rPr>
          <w:rFonts w:hint="eastAsia" w:hAnsi="仿宋" w:cs="仿宋_GB2312"/>
          <w:color w:val="auto"/>
          <w:sz w:val="32"/>
          <w:szCs w:val="32"/>
          <w:highlight w:val="none"/>
        </w:rPr>
      </w:pPr>
      <w:r>
        <w:rPr>
          <w:rFonts w:hint="eastAsia" w:hAnsi="仿宋" w:cs="仿宋_GB2312"/>
          <w:color w:val="auto"/>
          <w:sz w:val="32"/>
          <w:szCs w:val="32"/>
          <w:highlight w:val="none"/>
        </w:rPr>
        <w:t>一年来共上传简报</w:t>
      </w:r>
      <w:r>
        <w:rPr>
          <w:rFonts w:hAnsi="仿宋" w:cs="仿宋_GB2312"/>
          <w:color w:val="auto"/>
          <w:sz w:val="32"/>
          <w:szCs w:val="32"/>
          <w:highlight w:val="none"/>
        </w:rPr>
        <w:t>49</w:t>
      </w:r>
      <w:r>
        <w:rPr>
          <w:rFonts w:hint="eastAsia" w:hAnsi="仿宋" w:cs="仿宋_GB2312"/>
          <w:color w:val="auto"/>
          <w:sz w:val="32"/>
          <w:szCs w:val="32"/>
          <w:highlight w:val="none"/>
        </w:rPr>
        <w:t>期，市区级媒体上宣传报道</w:t>
      </w:r>
      <w:r>
        <w:rPr>
          <w:rFonts w:hAnsi="仿宋" w:cs="仿宋_GB2312"/>
          <w:color w:val="auto"/>
          <w:sz w:val="32"/>
          <w:szCs w:val="32"/>
          <w:highlight w:val="none"/>
        </w:rPr>
        <w:t>22</w:t>
      </w:r>
      <w:r>
        <w:rPr>
          <w:rFonts w:hint="eastAsia" w:hAnsi="仿宋" w:cs="仿宋_GB2312"/>
          <w:color w:val="auto"/>
          <w:sz w:val="32"/>
          <w:szCs w:val="32"/>
          <w:highlight w:val="none"/>
        </w:rPr>
        <w:t>次，学校教育得到家长及社会的认可。办公室贾清灵主任被昭化区教育局评为“教育宣传先进个人”。</w:t>
      </w:r>
    </w:p>
    <w:p w14:paraId="251F075D">
      <w:pPr>
        <w:pStyle w:val="21"/>
        <w:ind w:firstLine="736" w:firstLineChars="230"/>
        <w:rPr>
          <w:rFonts w:hint="eastAsia" w:hAnsi="仿宋" w:cs="仿宋_GB2312"/>
          <w:color w:val="auto"/>
          <w:sz w:val="32"/>
          <w:szCs w:val="32"/>
          <w:highlight w:val="none"/>
        </w:rPr>
      </w:pPr>
    </w:p>
    <w:p w14:paraId="325F4B7B">
      <w:pPr>
        <w:pStyle w:val="21"/>
        <w:ind w:firstLine="736" w:firstLineChars="230"/>
        <w:rPr>
          <w:rFonts w:hint="eastAsia" w:hAnsi="仿宋" w:cs="仿宋_GB2312"/>
          <w:color w:val="auto"/>
          <w:sz w:val="32"/>
          <w:szCs w:val="32"/>
          <w:highlight w:val="none"/>
        </w:rPr>
      </w:pPr>
    </w:p>
    <w:p w14:paraId="7B9A27D6">
      <w:pPr>
        <w:pStyle w:val="21"/>
        <w:ind w:firstLine="736" w:firstLineChars="230"/>
        <w:rPr>
          <w:rFonts w:hint="eastAsia" w:hAnsi="仿宋" w:cs="仿宋_GB2312"/>
          <w:color w:val="auto"/>
          <w:sz w:val="32"/>
          <w:szCs w:val="32"/>
          <w:highlight w:val="none"/>
        </w:rPr>
      </w:pPr>
    </w:p>
    <w:p w14:paraId="64F00F82">
      <w:pPr>
        <w:pStyle w:val="21"/>
        <w:ind w:firstLine="736" w:firstLineChars="230"/>
        <w:rPr>
          <w:rFonts w:hint="eastAsia" w:hAnsi="仿宋" w:cs="仿宋_GB2312"/>
          <w:color w:val="auto"/>
          <w:sz w:val="32"/>
          <w:szCs w:val="32"/>
          <w:highlight w:val="none"/>
        </w:rPr>
      </w:pPr>
    </w:p>
    <w:p w14:paraId="00B6FDAC">
      <w:pPr>
        <w:pStyle w:val="21"/>
        <w:ind w:firstLine="736" w:firstLineChars="230"/>
        <w:rPr>
          <w:rFonts w:hint="eastAsia" w:hAnsi="仿宋" w:cs="仿宋_GB2312"/>
          <w:color w:val="auto"/>
          <w:sz w:val="32"/>
          <w:szCs w:val="32"/>
          <w:highlight w:val="none"/>
        </w:rPr>
      </w:pPr>
    </w:p>
    <w:p w14:paraId="091A10A9">
      <w:pPr>
        <w:pStyle w:val="21"/>
        <w:ind w:firstLine="736" w:firstLineChars="230"/>
        <w:rPr>
          <w:rFonts w:hint="eastAsia" w:hAnsi="仿宋" w:cs="仿宋_GB2312"/>
          <w:color w:val="auto"/>
          <w:sz w:val="32"/>
          <w:szCs w:val="32"/>
          <w:highlight w:val="none"/>
        </w:rPr>
      </w:pPr>
    </w:p>
    <w:p w14:paraId="503D1EAC">
      <w:pPr>
        <w:pStyle w:val="3"/>
        <w:bidi w:val="0"/>
        <w:rPr>
          <w:rFonts w:hint="eastAsia"/>
          <w:color w:val="auto"/>
          <w:highlight w:val="none"/>
        </w:rPr>
      </w:pPr>
      <w:r>
        <w:rPr>
          <w:rFonts w:hint="eastAsia"/>
          <w:color w:val="auto"/>
          <w:highlight w:val="none"/>
        </w:rPr>
        <w:t>第二部分 2021年度单位决算情况说明</w:t>
      </w:r>
      <w:bookmarkEnd w:id="31"/>
      <w:bookmarkEnd w:id="32"/>
      <w:bookmarkEnd w:id="33"/>
      <w:bookmarkEnd w:id="34"/>
    </w:p>
    <w:p w14:paraId="348042F5">
      <w:pPr>
        <w:pStyle w:val="4"/>
        <w:numPr>
          <w:ilvl w:val="0"/>
          <w:numId w:val="4"/>
        </w:numPr>
        <w:bidi w:val="0"/>
        <w:ind w:left="0" w:leftChars="0" w:firstLine="643" w:firstLineChars="200"/>
        <w:rPr>
          <w:rFonts w:hint="eastAsia"/>
          <w:color w:val="auto"/>
          <w:highlight w:val="none"/>
        </w:rPr>
      </w:pPr>
      <w:bookmarkStart w:id="35" w:name="_Toc28278"/>
      <w:bookmarkStart w:id="36" w:name="_Toc15377205"/>
      <w:bookmarkStart w:id="37" w:name="_Toc15396603"/>
      <w:bookmarkStart w:id="38" w:name="_Toc5075"/>
      <w:r>
        <w:rPr>
          <w:rFonts w:hint="eastAsia"/>
          <w:color w:val="auto"/>
          <w:highlight w:val="none"/>
        </w:rPr>
        <w:t>收入支出决算总体情况说明</w:t>
      </w:r>
      <w:bookmarkEnd w:id="35"/>
      <w:bookmarkEnd w:id="36"/>
      <w:bookmarkEnd w:id="37"/>
      <w:bookmarkEnd w:id="38"/>
    </w:p>
    <w:p w14:paraId="00B0FB9F">
      <w:pPr>
        <w:spacing w:line="600" w:lineRule="exact"/>
        <w:ind w:firstLine="640" w:firstLineChars="200"/>
        <w:outlineLvl w:val="1"/>
        <w:rPr>
          <w:rFonts w:hint="eastAsia" w:ascii="仿宋" w:hAnsi="仿宋" w:eastAsia="仿宋" w:cs="仿宋"/>
          <w:color w:val="auto"/>
          <w:highlight w:val="none"/>
          <w:lang w:eastAsia="zh-CN"/>
        </w:rPr>
      </w:pPr>
      <w:bookmarkStart w:id="39" w:name="_Toc9801"/>
      <w:bookmarkStart w:id="40" w:name="_Toc20585"/>
      <w:bookmarkStart w:id="41" w:name="_Toc20192"/>
      <w:r>
        <w:rPr>
          <w:rFonts w:hint="eastAsia" w:ascii="仿宋" w:hAnsi="仿宋" w:eastAsia="仿宋" w:cs="仿宋"/>
          <w:color w:val="auto"/>
          <w:sz w:val="32"/>
          <w:szCs w:val="32"/>
          <w:highlight w:val="none"/>
        </w:rPr>
        <w:t>2021年度收、支总计</w:t>
      </w:r>
      <w:r>
        <w:rPr>
          <w:rFonts w:hint="eastAsia" w:ascii="仿宋" w:hAnsi="仿宋" w:eastAsia="仿宋" w:cs="仿宋"/>
          <w:color w:val="auto"/>
          <w:sz w:val="32"/>
          <w:szCs w:val="32"/>
          <w:highlight w:val="none"/>
          <w:lang w:val="en-US" w:eastAsia="zh-CN"/>
        </w:rPr>
        <w:t>610.55</w:t>
      </w:r>
      <w:r>
        <w:rPr>
          <w:rFonts w:hint="eastAsia" w:ascii="仿宋" w:hAnsi="仿宋" w:eastAsia="仿宋" w:cs="仿宋"/>
          <w:color w:val="auto"/>
          <w:sz w:val="32"/>
          <w:szCs w:val="32"/>
          <w:highlight w:val="none"/>
        </w:rPr>
        <w:t>万元。与2020年相比，收、支总计各</w:t>
      </w:r>
      <w:r>
        <w:rPr>
          <w:rFonts w:hint="eastAsia" w:ascii="仿宋" w:hAnsi="仿宋" w:eastAsia="仿宋" w:cs="仿宋"/>
          <w:color w:val="auto"/>
          <w:sz w:val="32"/>
          <w:szCs w:val="32"/>
          <w:highlight w:val="none"/>
          <w:lang w:eastAsia="zh-CN"/>
        </w:rPr>
        <w:t>增加</w:t>
      </w:r>
      <w:r>
        <w:rPr>
          <w:rFonts w:hint="eastAsia" w:ascii="仿宋" w:hAnsi="仿宋" w:eastAsia="仿宋" w:cs="仿宋"/>
          <w:color w:val="auto"/>
          <w:sz w:val="32"/>
          <w:szCs w:val="32"/>
          <w:highlight w:val="none"/>
          <w:lang w:val="en-US" w:eastAsia="zh-CN"/>
        </w:rPr>
        <w:t>28.05</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增加</w:t>
      </w:r>
      <w:r>
        <w:rPr>
          <w:rFonts w:hint="eastAsia" w:ascii="仿宋" w:hAnsi="仿宋" w:eastAsia="仿宋" w:cs="仿宋"/>
          <w:color w:val="auto"/>
          <w:sz w:val="32"/>
          <w:szCs w:val="32"/>
          <w:highlight w:val="none"/>
          <w:lang w:val="en-US" w:eastAsia="zh-CN"/>
        </w:rPr>
        <w:t>4.82</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基本支出增加</w:t>
      </w:r>
      <w:r>
        <w:rPr>
          <w:rFonts w:hint="eastAsia" w:ascii="仿宋" w:hAnsi="仿宋" w:eastAsia="仿宋" w:cs="仿宋"/>
          <w:color w:val="auto"/>
          <w:sz w:val="32"/>
          <w:szCs w:val="32"/>
          <w:highlight w:val="none"/>
        </w:rPr>
        <w:t>。</w:t>
      </w:r>
      <w:bookmarkEnd w:id="39"/>
      <w:bookmarkEnd w:id="40"/>
      <w:bookmarkEnd w:id="41"/>
    </w:p>
    <w:p w14:paraId="5ED816FE">
      <w:pPr>
        <w:pStyle w:val="4"/>
        <w:numPr>
          <w:ilvl w:val="0"/>
          <w:numId w:val="4"/>
        </w:numPr>
        <w:bidi w:val="0"/>
        <w:ind w:left="0" w:leftChars="0" w:firstLine="643" w:firstLineChars="200"/>
        <w:rPr>
          <w:rFonts w:hint="eastAsia"/>
          <w:color w:val="auto"/>
          <w:highlight w:val="none"/>
        </w:rPr>
      </w:pPr>
      <w:bookmarkStart w:id="42" w:name="_Toc15377206"/>
      <w:bookmarkStart w:id="43" w:name="_Toc15396604"/>
      <w:bookmarkStart w:id="44" w:name="_Toc11923"/>
      <w:bookmarkStart w:id="45" w:name="_Toc9393"/>
      <w:r>
        <w:rPr>
          <w:rFonts w:hint="eastAsia"/>
          <w:color w:val="auto"/>
          <w:highlight w:val="none"/>
          <w:lang w:eastAsia="zh-CN"/>
        </w:rPr>
        <w:drawing>
          <wp:anchor distT="0" distB="0" distL="114300" distR="114300" simplePos="0" relativeHeight="251665408" behindDoc="0" locked="0" layoutInCell="1" allowOverlap="1">
            <wp:simplePos x="0" y="0"/>
            <wp:positionH relativeFrom="column">
              <wp:posOffset>207010</wp:posOffset>
            </wp:positionH>
            <wp:positionV relativeFrom="paragraph">
              <wp:posOffset>37465</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color w:val="auto"/>
          <w:highlight w:val="none"/>
        </w:rPr>
        <w:t>收入决算情况说明</w:t>
      </w:r>
      <w:bookmarkEnd w:id="42"/>
      <w:bookmarkEnd w:id="43"/>
      <w:bookmarkEnd w:id="44"/>
      <w:bookmarkEnd w:id="45"/>
    </w:p>
    <w:p w14:paraId="023FA1BD">
      <w:pPr>
        <w:spacing w:line="600" w:lineRule="exact"/>
        <w:ind w:firstLine="640" w:firstLineChars="200"/>
        <w:outlineLvl w:val="1"/>
        <w:rPr>
          <w:rFonts w:hint="eastAsia" w:ascii="仿宋" w:hAnsi="仿宋" w:eastAsia="仿宋"/>
          <w:color w:val="auto"/>
          <w:sz w:val="32"/>
          <w:szCs w:val="32"/>
          <w:highlight w:val="none"/>
        </w:rPr>
      </w:pPr>
      <w:bookmarkStart w:id="46" w:name="_Toc25597"/>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610.55</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610.55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46"/>
    </w:p>
    <w:p w14:paraId="1334349F">
      <w:pPr>
        <w:pStyle w:val="16"/>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0ADD1BD6">
      <w:pPr>
        <w:pStyle w:val="4"/>
        <w:bidi w:val="0"/>
        <w:rPr>
          <w:color w:val="auto"/>
          <w:highlight w:val="none"/>
        </w:rPr>
      </w:pPr>
      <w:bookmarkStart w:id="47" w:name="_Toc15377207"/>
      <w:bookmarkStart w:id="48" w:name="_Toc12816"/>
      <w:bookmarkStart w:id="49" w:name="_Toc15396605"/>
      <w:r>
        <w:rPr>
          <w:rFonts w:hint="eastAsia"/>
          <w:color w:val="auto"/>
          <w:highlight w:val="none"/>
          <w:lang w:eastAsia="zh-CN"/>
        </w:rPr>
        <w:t>三、</w:t>
      </w:r>
      <w:r>
        <w:rPr>
          <w:rFonts w:hint="eastAsia"/>
          <w:color w:val="auto"/>
          <w:highlight w:val="none"/>
        </w:rPr>
        <w:t>支出决算情况说明</w:t>
      </w:r>
      <w:bookmarkEnd w:id="47"/>
      <w:bookmarkEnd w:id="48"/>
      <w:bookmarkEnd w:id="49"/>
    </w:p>
    <w:p w14:paraId="55C034FA">
      <w:pPr>
        <w:spacing w:line="600" w:lineRule="exact"/>
        <w:ind w:firstLine="640" w:firstLineChars="200"/>
        <w:outlineLvl w:val="1"/>
        <w:rPr>
          <w:rFonts w:ascii="仿宋" w:hAnsi="仿宋" w:eastAsia="仿宋"/>
          <w:color w:val="auto"/>
          <w:sz w:val="32"/>
          <w:szCs w:val="32"/>
          <w:highlight w:val="none"/>
        </w:rPr>
      </w:pPr>
      <w:bookmarkStart w:id="50" w:name="_Toc31076"/>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val="en-US" w:eastAsia="zh-CN"/>
        </w:rPr>
        <w:t>610.55</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380.55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62.33</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230万</w:t>
      </w:r>
      <w:r>
        <w:rPr>
          <w:rFonts w:hint="eastAsia" w:ascii="仿宋" w:hAnsi="仿宋" w:eastAsia="仿宋"/>
          <w:color w:val="auto"/>
          <w:sz w:val="32"/>
          <w:szCs w:val="32"/>
          <w:highlight w:val="none"/>
        </w:rPr>
        <w:t>元，占</w:t>
      </w:r>
      <w:r>
        <w:rPr>
          <w:rFonts w:hint="eastAsia" w:ascii="仿宋" w:hAnsi="仿宋" w:eastAsia="仿宋"/>
          <w:color w:val="auto"/>
          <w:sz w:val="32"/>
          <w:szCs w:val="32"/>
          <w:highlight w:val="none"/>
          <w:lang w:val="en-US" w:eastAsia="zh-CN"/>
        </w:rPr>
        <w:t>37.67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50"/>
    </w:p>
    <w:p w14:paraId="5C73D403">
      <w:pPr>
        <w:pStyle w:val="4"/>
        <w:bidi w:val="0"/>
        <w:rPr>
          <w:color w:val="auto"/>
          <w:highlight w:val="none"/>
        </w:rPr>
      </w:pPr>
      <w:bookmarkStart w:id="51" w:name="_Toc15377208"/>
      <w:bookmarkStart w:id="52" w:name="_Toc15396606"/>
      <w:bookmarkStart w:id="53" w:name="_Toc20083"/>
      <w:r>
        <w:rPr>
          <w:rFonts w:hint="eastAsia"/>
          <w:color w:val="auto"/>
          <w:highlight w:val="none"/>
        </w:rPr>
        <w:t>四、财政拨款收入支出决算总体情况说明</w:t>
      </w:r>
      <w:bookmarkEnd w:id="51"/>
      <w:bookmarkEnd w:id="52"/>
      <w:bookmarkEnd w:id="53"/>
    </w:p>
    <w:p w14:paraId="75C0F22B">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610.55</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w:t>
      </w:r>
      <w:r>
        <w:rPr>
          <w:rFonts w:hint="eastAsia" w:ascii="仿宋" w:hAnsi="仿宋" w:eastAsia="仿宋"/>
          <w:color w:val="auto"/>
          <w:sz w:val="32"/>
          <w:szCs w:val="32"/>
          <w:highlight w:val="none"/>
          <w:lang w:eastAsia="zh-CN"/>
        </w:rPr>
        <w:t>增加</w:t>
      </w:r>
      <w:r>
        <w:rPr>
          <w:rFonts w:hint="eastAsia" w:ascii="仿宋" w:hAnsi="仿宋" w:eastAsia="仿宋"/>
          <w:color w:val="auto"/>
          <w:sz w:val="32"/>
          <w:szCs w:val="32"/>
          <w:highlight w:val="none"/>
          <w:lang w:val="en-US" w:eastAsia="zh-CN"/>
        </w:rPr>
        <w:t>28.05</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增加</w:t>
      </w:r>
      <w:r>
        <w:rPr>
          <w:rFonts w:hint="eastAsia" w:ascii="仿宋" w:hAnsi="仿宋" w:eastAsia="仿宋"/>
          <w:color w:val="auto"/>
          <w:sz w:val="32"/>
          <w:szCs w:val="32"/>
          <w:highlight w:val="none"/>
          <w:lang w:val="en-US" w:eastAsia="zh-CN"/>
        </w:rPr>
        <w:t>4.82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基本支出增加</w:t>
      </w:r>
      <w:r>
        <w:rPr>
          <w:rFonts w:hint="eastAsia" w:ascii="仿宋" w:hAnsi="仿宋" w:eastAsia="仿宋"/>
          <w:color w:val="auto"/>
          <w:sz w:val="32"/>
          <w:szCs w:val="32"/>
          <w:highlight w:val="none"/>
        </w:rPr>
        <w:t>。</w:t>
      </w:r>
    </w:p>
    <w:p w14:paraId="02BC9EED">
      <w:pPr>
        <w:pStyle w:val="16"/>
        <w:rPr>
          <w:color w:val="auto"/>
          <w:highlight w:val="none"/>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4445</wp:posOffset>
            </wp:positionH>
            <wp:positionV relativeFrom="paragraph">
              <wp:posOffset>208280</wp:posOffset>
            </wp:positionV>
            <wp:extent cx="5080000" cy="2326005"/>
            <wp:effectExtent l="4445" t="4445" r="20955" b="1270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30C54AC1">
      <w:pPr>
        <w:pStyle w:val="4"/>
        <w:bidi w:val="0"/>
        <w:rPr>
          <w:color w:val="auto"/>
          <w:highlight w:val="none"/>
        </w:rPr>
      </w:pPr>
      <w:bookmarkStart w:id="54" w:name="_Toc20242"/>
      <w:bookmarkStart w:id="55" w:name="_Toc15377209"/>
      <w:bookmarkStart w:id="56" w:name="_Toc15396607"/>
      <w:r>
        <w:rPr>
          <w:rFonts w:hint="eastAsia"/>
          <w:color w:val="auto"/>
          <w:highlight w:val="none"/>
        </w:rPr>
        <w:t>五、一般公共预算财政拨款支出决算情况说明</w:t>
      </w:r>
      <w:bookmarkEnd w:id="54"/>
      <w:bookmarkEnd w:id="55"/>
      <w:bookmarkEnd w:id="56"/>
    </w:p>
    <w:p w14:paraId="6CD44D4B">
      <w:pPr>
        <w:spacing w:line="600" w:lineRule="exact"/>
        <w:ind w:firstLine="643" w:firstLineChars="200"/>
        <w:outlineLvl w:val="2"/>
        <w:rPr>
          <w:rFonts w:ascii="仿宋" w:hAnsi="仿宋" w:eastAsia="仿宋"/>
          <w:b/>
          <w:color w:val="auto"/>
          <w:sz w:val="32"/>
          <w:szCs w:val="32"/>
          <w:highlight w:val="none"/>
        </w:rPr>
      </w:pPr>
      <w:bookmarkStart w:id="57" w:name="_Toc15377210"/>
      <w:r>
        <w:rPr>
          <w:rFonts w:hint="eastAsia" w:ascii="仿宋" w:hAnsi="仿宋" w:eastAsia="仿宋"/>
          <w:b/>
          <w:color w:val="auto"/>
          <w:sz w:val="32"/>
          <w:szCs w:val="32"/>
          <w:highlight w:val="none"/>
        </w:rPr>
        <w:t>（一）一般公共预算财政拨款支出决算总体情况</w:t>
      </w:r>
      <w:bookmarkEnd w:id="57"/>
    </w:p>
    <w:p w14:paraId="3F872025">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610.55</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582.50</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w:t>
      </w:r>
      <w:r>
        <w:rPr>
          <w:rFonts w:hint="eastAsia" w:ascii="仿宋" w:hAnsi="仿宋" w:eastAsia="仿宋"/>
          <w:color w:val="auto"/>
          <w:sz w:val="32"/>
          <w:szCs w:val="32"/>
          <w:highlight w:val="none"/>
          <w:lang w:eastAsia="zh-CN"/>
        </w:rPr>
        <w:t>增加</w:t>
      </w:r>
      <w:r>
        <w:rPr>
          <w:rFonts w:hint="eastAsia" w:ascii="仿宋" w:hAnsi="仿宋" w:eastAsia="仿宋"/>
          <w:color w:val="auto"/>
          <w:sz w:val="32"/>
          <w:szCs w:val="32"/>
          <w:highlight w:val="none"/>
          <w:lang w:val="en-US" w:eastAsia="zh-CN"/>
        </w:rPr>
        <w:t>28.05</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增加</w:t>
      </w:r>
      <w:r>
        <w:rPr>
          <w:rFonts w:hint="eastAsia" w:ascii="仿宋" w:hAnsi="仿宋" w:eastAsia="仿宋"/>
          <w:color w:val="auto"/>
          <w:sz w:val="32"/>
          <w:szCs w:val="32"/>
          <w:highlight w:val="none"/>
          <w:lang w:val="en-US" w:eastAsia="zh-CN"/>
        </w:rPr>
        <w:t>4.82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基本增加</w:t>
      </w:r>
      <w:r>
        <w:rPr>
          <w:rFonts w:hint="eastAsia" w:ascii="仿宋" w:hAnsi="仿宋" w:eastAsia="仿宋"/>
          <w:color w:val="auto"/>
          <w:sz w:val="32"/>
          <w:szCs w:val="32"/>
          <w:highlight w:val="none"/>
        </w:rPr>
        <w:t>。</w:t>
      </w:r>
    </w:p>
    <w:p w14:paraId="766C8C89">
      <w:pPr>
        <w:spacing w:line="600" w:lineRule="exact"/>
        <w:ind w:firstLine="643" w:firstLineChars="200"/>
        <w:outlineLvl w:val="2"/>
        <w:rPr>
          <w:rFonts w:ascii="仿宋" w:hAnsi="仿宋" w:eastAsia="仿宋"/>
          <w:b/>
          <w:color w:val="auto"/>
          <w:sz w:val="32"/>
          <w:szCs w:val="32"/>
          <w:highlight w:val="none"/>
        </w:rPr>
      </w:pPr>
      <w:bookmarkStart w:id="58" w:name="_Toc15377211"/>
      <w:r>
        <w:rPr>
          <w:rFonts w:hint="eastAsia" w:ascii="仿宋" w:hAnsi="仿宋" w:eastAsia="仿宋"/>
          <w:b/>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b/>
          <w:color w:val="auto"/>
          <w:sz w:val="32"/>
          <w:szCs w:val="32"/>
          <w:highlight w:val="none"/>
        </w:rPr>
        <w:t>（二）一般公共预算财政拨款支出决算结构情况</w:t>
      </w:r>
      <w:bookmarkEnd w:id="58"/>
    </w:p>
    <w:p w14:paraId="62901C12">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3360" behindDoc="0" locked="0" layoutInCell="1" allowOverlap="1">
            <wp:simplePos x="0" y="0"/>
            <wp:positionH relativeFrom="column">
              <wp:posOffset>52070</wp:posOffset>
            </wp:positionH>
            <wp:positionV relativeFrom="paragraph">
              <wp:posOffset>1212850</wp:posOffset>
            </wp:positionV>
            <wp:extent cx="5080000" cy="2324100"/>
            <wp:effectExtent l="4445" t="4445" r="20955" b="14605"/>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610.55</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604.03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98.93</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lang w:eastAsia="zh-CN"/>
        </w:rPr>
        <w:t>社会保障和就业支出</w:t>
      </w:r>
      <w:r>
        <w:rPr>
          <w:rFonts w:hint="eastAsia" w:ascii="仿宋" w:hAnsi="仿宋" w:eastAsia="仿宋"/>
          <w:b/>
          <w:color w:val="auto"/>
          <w:sz w:val="32"/>
          <w:szCs w:val="32"/>
          <w:highlight w:val="none"/>
        </w:rPr>
        <w:t>（类）</w:t>
      </w:r>
      <w:r>
        <w:rPr>
          <w:rFonts w:hint="eastAsia" w:ascii="仿宋" w:hAnsi="仿宋" w:eastAsia="仿宋"/>
          <w:color w:val="auto"/>
          <w:sz w:val="32"/>
          <w:szCs w:val="32"/>
          <w:highlight w:val="none"/>
          <w:lang w:val="en-US" w:eastAsia="zh-CN"/>
        </w:rPr>
        <w:t>6.52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6E53CB65">
      <w:pPr>
        <w:spacing w:line="600" w:lineRule="exact"/>
        <w:ind w:firstLine="643" w:firstLineChars="200"/>
        <w:jc w:val="left"/>
        <w:rPr>
          <w:rFonts w:ascii="仿宋" w:hAnsi="仿宋" w:eastAsia="仿宋"/>
          <w:b/>
          <w:color w:val="auto"/>
          <w:sz w:val="32"/>
          <w:szCs w:val="32"/>
          <w:highlight w:val="none"/>
        </w:rPr>
      </w:pPr>
      <w:bookmarkStart w:id="59" w:name="_Toc15377212"/>
      <w:r>
        <w:rPr>
          <w:rFonts w:hint="eastAsia" w:ascii="仿宋" w:hAnsi="仿宋" w:eastAsia="仿宋"/>
          <w:b/>
          <w:color w:val="auto"/>
          <w:sz w:val="32"/>
          <w:szCs w:val="32"/>
          <w:highlight w:val="none"/>
        </w:rPr>
        <w:t>（三）一般公共预算财政拨款支出决算具体情况</w:t>
      </w:r>
      <w:bookmarkEnd w:id="59"/>
    </w:p>
    <w:p w14:paraId="59DFE751">
      <w:pPr>
        <w:spacing w:line="600" w:lineRule="exact"/>
        <w:ind w:firstLine="643" w:firstLineChars="200"/>
        <w:outlineLvl w:val="2"/>
        <w:rPr>
          <w:rFonts w:ascii="仿宋" w:hAnsi="仿宋" w:eastAsia="仿宋"/>
          <w:color w:val="auto"/>
          <w:sz w:val="32"/>
          <w:szCs w:val="32"/>
          <w:highlight w:val="none"/>
        </w:rPr>
      </w:pPr>
      <w:bookmarkStart w:id="60" w:name="_Toc15378460"/>
      <w:bookmarkStart w:id="61" w:name="_Toc15377213"/>
      <w:bookmarkStart w:id="62" w:name="_Toc15377444"/>
      <w:r>
        <w:rPr>
          <w:rFonts w:hint="eastAsia" w:ascii="仿宋" w:hAnsi="仿宋" w:eastAsia="仿宋"/>
          <w:b/>
          <w:color w:val="auto"/>
          <w:sz w:val="32"/>
          <w:szCs w:val="32"/>
          <w:highlight w:val="none"/>
        </w:rPr>
        <w:t>2021年一般公共预算支出决算数为</w:t>
      </w:r>
      <w:r>
        <w:rPr>
          <w:rFonts w:hint="eastAsia" w:ascii="仿宋" w:hAnsi="仿宋" w:eastAsia="仿宋"/>
          <w:color w:val="auto"/>
          <w:sz w:val="32"/>
          <w:szCs w:val="32"/>
          <w:highlight w:val="none"/>
          <w:lang w:val="en-US" w:eastAsia="zh-CN"/>
        </w:rPr>
        <w:t>610.55</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60"/>
      <w:bookmarkEnd w:id="61"/>
      <w:bookmarkEnd w:id="62"/>
    </w:p>
    <w:p w14:paraId="0740B9AD">
      <w:pPr>
        <w:numPr>
          <w:ilvl w:val="0"/>
          <w:numId w:val="5"/>
        </w:numPr>
        <w:spacing w:line="600" w:lineRule="exact"/>
        <w:ind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教育205（类）普通教育02（款）小学教育02（项）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374.03</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1960CAD0">
      <w:pPr>
        <w:numPr>
          <w:ilvl w:val="0"/>
          <w:numId w:val="5"/>
        </w:num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教育205（类）普通教育02（款）其他普通教育支出</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230</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1FA1C4D9">
      <w:pPr>
        <w:numPr>
          <w:ilvl w:val="0"/>
          <w:numId w:val="5"/>
        </w:num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社会保障和就业</w:t>
      </w:r>
      <w:r>
        <w:rPr>
          <w:rStyle w:val="19"/>
          <w:rFonts w:ascii="仿宋" w:hAnsi="仿宋" w:eastAsia="仿宋"/>
          <w:bCs/>
          <w:color w:val="auto"/>
          <w:sz w:val="32"/>
          <w:szCs w:val="32"/>
          <w:highlight w:val="none"/>
        </w:rPr>
        <w:t>208</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eastAsia="zh-CN"/>
        </w:rPr>
        <w:t>抚恤</w:t>
      </w:r>
      <w:r>
        <w:rPr>
          <w:rStyle w:val="19"/>
          <w:rFonts w:ascii="仿宋" w:hAnsi="仿宋" w:eastAsia="仿宋"/>
          <w:bCs/>
          <w:color w:val="auto"/>
          <w:sz w:val="32"/>
          <w:szCs w:val="32"/>
          <w:highlight w:val="none"/>
        </w:rPr>
        <w:t>08</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eastAsia="zh-CN"/>
        </w:rPr>
        <w:t>死亡抚恤</w:t>
      </w:r>
      <w:r>
        <w:rPr>
          <w:rStyle w:val="19"/>
          <w:rFonts w:ascii="仿宋" w:hAnsi="仿宋" w:eastAsia="仿宋"/>
          <w:bCs/>
          <w:color w:val="auto"/>
          <w:sz w:val="32"/>
          <w:szCs w:val="32"/>
          <w:highlight w:val="none"/>
        </w:rPr>
        <w:t>01</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6.52</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73B6E9F6">
      <w:pPr>
        <w:pStyle w:val="4"/>
        <w:bidi w:val="0"/>
        <w:rPr>
          <w:color w:val="auto"/>
          <w:highlight w:val="none"/>
        </w:rPr>
      </w:pPr>
      <w:bookmarkStart w:id="63" w:name="_Toc15377214"/>
      <w:bookmarkStart w:id="64" w:name="_Toc2813"/>
      <w:bookmarkStart w:id="65" w:name="_Toc15396608"/>
      <w:r>
        <w:rPr>
          <w:rFonts w:hint="eastAsia"/>
          <w:color w:val="auto"/>
          <w:highlight w:val="none"/>
        </w:rPr>
        <w:t>六、一般公共预算财政拨款基本支出决算情况说明</w:t>
      </w:r>
      <w:bookmarkEnd w:id="63"/>
      <w:bookmarkEnd w:id="64"/>
      <w:bookmarkEnd w:id="65"/>
      <w:r>
        <w:rPr>
          <w:color w:val="auto"/>
          <w:highlight w:val="none"/>
        </w:rPr>
        <w:tab/>
      </w:r>
    </w:p>
    <w:p w14:paraId="4EF53F3C">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380.55</w:t>
      </w:r>
      <w:r>
        <w:rPr>
          <w:rFonts w:hint="eastAsia" w:ascii="仿宋" w:hAnsi="仿宋" w:eastAsia="仿宋"/>
          <w:color w:val="auto"/>
          <w:sz w:val="32"/>
          <w:szCs w:val="32"/>
          <w:highlight w:val="none"/>
        </w:rPr>
        <w:t>万元，其中：</w:t>
      </w:r>
    </w:p>
    <w:p w14:paraId="44667E88">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337.60</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其他社会保障缴费、其他工资福利支出、抚恤金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生活补助、助学金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奖励金、住房公积金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其他个人和家庭的补助支出等。</w:t>
      </w:r>
    </w:p>
    <w:p w14:paraId="5FADC2AD">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42.95</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14:paraId="49A34429">
      <w:pPr>
        <w:pStyle w:val="4"/>
        <w:bidi w:val="0"/>
        <w:rPr>
          <w:color w:val="auto"/>
          <w:highlight w:val="none"/>
        </w:rPr>
      </w:pPr>
      <w:bookmarkStart w:id="66" w:name="_Toc9813"/>
      <w:bookmarkStart w:id="67" w:name="_Toc15377215"/>
      <w:bookmarkStart w:id="68" w:name="_Toc15396609"/>
      <w:r>
        <w:rPr>
          <w:rFonts w:hint="eastAsia"/>
          <w:color w:val="auto"/>
          <w:highlight w:val="none"/>
        </w:rPr>
        <w:t>七、“三公”经费财政拨款支出决算情况说明</w:t>
      </w:r>
      <w:bookmarkEnd w:id="66"/>
      <w:bookmarkEnd w:id="67"/>
      <w:bookmarkEnd w:id="68"/>
    </w:p>
    <w:p w14:paraId="10A07D5B">
      <w:pPr>
        <w:spacing w:line="600" w:lineRule="exact"/>
        <w:ind w:firstLine="640"/>
        <w:outlineLvl w:val="2"/>
        <w:rPr>
          <w:rFonts w:ascii="仿宋" w:hAnsi="仿宋" w:eastAsia="仿宋"/>
          <w:b/>
          <w:color w:val="auto"/>
          <w:sz w:val="32"/>
          <w:szCs w:val="32"/>
          <w:highlight w:val="none"/>
        </w:rPr>
      </w:pPr>
      <w:bookmarkStart w:id="69" w:name="_Toc15377216"/>
      <w:r>
        <w:rPr>
          <w:rFonts w:hint="eastAsia" w:ascii="仿宋" w:hAnsi="仿宋" w:eastAsia="仿宋"/>
          <w:b/>
          <w:color w:val="auto"/>
          <w:sz w:val="32"/>
          <w:szCs w:val="32"/>
          <w:highlight w:val="none"/>
        </w:rPr>
        <w:t>（一）“三公”经费财政拨款支出决算总体情况说明</w:t>
      </w:r>
      <w:bookmarkEnd w:id="69"/>
    </w:p>
    <w:p w14:paraId="101F49A6">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0.39</w:t>
      </w:r>
      <w:r>
        <w:rPr>
          <w:rFonts w:hint="eastAsia" w:ascii="仿宋" w:hAnsi="仿宋" w:eastAsia="仿宋"/>
          <w:color w:val="auto"/>
          <w:sz w:val="32"/>
          <w:szCs w:val="32"/>
          <w:highlight w:val="none"/>
        </w:rPr>
        <w:t>万元，完成预算9</w:t>
      </w:r>
      <w:r>
        <w:rPr>
          <w:rFonts w:hint="eastAsia" w:ascii="仿宋" w:hAnsi="仿宋" w:eastAsia="仿宋"/>
          <w:color w:val="auto"/>
          <w:sz w:val="32"/>
          <w:szCs w:val="32"/>
          <w:highlight w:val="none"/>
          <w:lang w:val="en-US" w:eastAsia="zh-CN"/>
        </w:rPr>
        <w:t>5.12</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14:paraId="5387A346">
      <w:pPr>
        <w:spacing w:line="600" w:lineRule="exact"/>
        <w:ind w:firstLine="640"/>
        <w:outlineLvl w:val="2"/>
        <w:rPr>
          <w:rFonts w:ascii="仿宋" w:hAnsi="仿宋" w:eastAsia="仿宋"/>
          <w:b/>
          <w:color w:val="auto"/>
          <w:sz w:val="32"/>
          <w:szCs w:val="32"/>
          <w:highlight w:val="none"/>
        </w:rPr>
      </w:pPr>
      <w:bookmarkStart w:id="70" w:name="_Toc15377217"/>
      <w:r>
        <w:rPr>
          <w:rFonts w:hint="eastAsia" w:ascii="仿宋" w:hAnsi="仿宋" w:eastAsia="仿宋"/>
          <w:b/>
          <w:color w:val="auto"/>
          <w:sz w:val="32"/>
          <w:szCs w:val="32"/>
          <w:highlight w:val="none"/>
        </w:rPr>
        <w:t>（二）“三公”经费财政拨款支出决算具体情况说明</w:t>
      </w:r>
      <w:bookmarkEnd w:id="70"/>
    </w:p>
    <w:p w14:paraId="67ED4973">
      <w:pPr>
        <w:spacing w:line="600" w:lineRule="exact"/>
        <w:ind w:firstLine="640" w:firstLineChars="20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4384" behindDoc="0" locked="0" layoutInCell="1" allowOverlap="1">
            <wp:simplePos x="0" y="0"/>
            <wp:positionH relativeFrom="column">
              <wp:posOffset>316230</wp:posOffset>
            </wp:positionH>
            <wp:positionV relativeFrom="paragraph">
              <wp:posOffset>1939925</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0.39</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68F358D1">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2C0D196C">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14375FB3">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14:paraId="19A3D7D6">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14:paraId="528E44D8">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0.39</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95.12</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eastAsia="zh-CN"/>
        </w:rPr>
        <w:t>比</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年减少</w:t>
      </w:r>
      <w:r>
        <w:rPr>
          <w:rFonts w:hint="eastAsia" w:ascii="仿宋" w:hAnsi="仿宋" w:eastAsia="仿宋" w:cs="仿宋"/>
          <w:color w:val="auto"/>
          <w:sz w:val="32"/>
          <w:szCs w:val="32"/>
          <w:highlight w:val="none"/>
          <w:lang w:val="en-US" w:eastAsia="zh-CN"/>
        </w:rPr>
        <w:t>0.02</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4.88</w:t>
      </w:r>
      <w:r>
        <w:rPr>
          <w:rFonts w:hint="eastAsia" w:ascii="仿宋" w:hAnsi="仿宋" w:eastAsia="仿宋" w:cs="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14:paraId="51B31087">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eastAsia="仿宋" w:cs="Times New Roman"/>
          <w:color w:val="auto"/>
          <w:sz w:val="32"/>
          <w:szCs w:val="32"/>
          <w:highlight w:val="none"/>
          <w:lang w:val="en-US" w:eastAsia="zh-CN"/>
        </w:rPr>
        <w:t>0.39</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37</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9</w:t>
      </w:r>
      <w:r>
        <w:rPr>
          <w:rFonts w:hint="eastAsia" w:ascii="Times New Roman" w:hAnsi="Times New Roman" w:eastAsia="仿宋" w:cs="Times New Roman"/>
          <w:color w:val="auto"/>
          <w:sz w:val="32"/>
          <w:szCs w:val="32"/>
          <w:highlight w:val="none"/>
          <w:lang w:val="en-US" w:eastAsia="zh-CN"/>
        </w:rPr>
        <w:t>7</w:t>
      </w:r>
      <w:r>
        <w:rPr>
          <w:rFonts w:hint="default" w:ascii="Times New Roman" w:hAnsi="Times New Roman" w:eastAsia="仿宋" w:cs="Times New Roman"/>
          <w:color w:val="auto"/>
          <w:sz w:val="32"/>
          <w:szCs w:val="32"/>
          <w:highlight w:val="none"/>
        </w:rPr>
        <w:t>人次（不包括陪同人员），共计支出</w:t>
      </w:r>
      <w:r>
        <w:rPr>
          <w:rFonts w:hint="eastAsia" w:eastAsia="仿宋" w:cs="Times New Roman"/>
          <w:color w:val="auto"/>
          <w:sz w:val="32"/>
          <w:szCs w:val="32"/>
          <w:highlight w:val="none"/>
          <w:lang w:val="en-US" w:eastAsia="zh-CN"/>
        </w:rPr>
        <w:t>0.39</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0.1万元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交流0.1万元、</w:t>
      </w:r>
      <w:r>
        <w:rPr>
          <w:rFonts w:hint="eastAsia" w:ascii="仿宋_GB2312" w:eastAsia="仿宋_GB2312"/>
          <w:color w:val="auto"/>
          <w:sz w:val="32"/>
          <w:szCs w:val="32"/>
          <w:highlight w:val="none"/>
          <w:lang w:val="en-US" w:eastAsia="zh-CN"/>
        </w:rPr>
        <w:t>学生活动费及运动会学生用餐、交通费、体检费等0.19万元。</w:t>
      </w:r>
    </w:p>
    <w:p w14:paraId="5F2DB439">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14:paraId="4A858735">
      <w:pPr>
        <w:spacing w:line="600" w:lineRule="exact"/>
        <w:outlineLvl w:val="1"/>
        <w:rPr>
          <w:rFonts w:ascii="黑体" w:eastAsia="黑体"/>
          <w:color w:val="auto"/>
          <w:sz w:val="32"/>
          <w:szCs w:val="32"/>
          <w:highlight w:val="none"/>
        </w:rPr>
      </w:pPr>
      <w:bookmarkStart w:id="71" w:name="_Toc15377218"/>
      <w:bookmarkStart w:id="72" w:name="_Toc15396610"/>
    </w:p>
    <w:p w14:paraId="676EA988">
      <w:pPr>
        <w:pStyle w:val="4"/>
        <w:bidi w:val="0"/>
        <w:rPr>
          <w:color w:val="auto"/>
          <w:highlight w:val="none"/>
        </w:rPr>
      </w:pPr>
      <w:bookmarkStart w:id="73" w:name="_Toc3503"/>
      <w:r>
        <w:rPr>
          <w:rFonts w:hint="eastAsia"/>
          <w:color w:val="auto"/>
          <w:highlight w:val="none"/>
        </w:rPr>
        <w:t>八、政府性基金预算支出决算情况说明</w:t>
      </w:r>
      <w:bookmarkEnd w:id="71"/>
      <w:bookmarkEnd w:id="72"/>
      <w:bookmarkEnd w:id="73"/>
    </w:p>
    <w:p w14:paraId="2D2232E8">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p>
    <w:p w14:paraId="12BC1ABA">
      <w:pPr>
        <w:pStyle w:val="16"/>
        <w:rPr>
          <w:color w:val="auto"/>
          <w:highlight w:val="none"/>
        </w:rPr>
      </w:pPr>
    </w:p>
    <w:p w14:paraId="7D01A70D">
      <w:pPr>
        <w:pStyle w:val="4"/>
        <w:numPr>
          <w:ilvl w:val="0"/>
          <w:numId w:val="6"/>
        </w:numPr>
        <w:bidi w:val="0"/>
        <w:rPr>
          <w:color w:val="auto"/>
          <w:highlight w:val="none"/>
        </w:rPr>
      </w:pPr>
      <w:bookmarkStart w:id="74" w:name="_Toc15377219"/>
      <w:bookmarkStart w:id="75" w:name="_Toc15396611"/>
      <w:bookmarkStart w:id="76" w:name="_Toc30571"/>
      <w:r>
        <w:rPr>
          <w:rFonts w:hint="eastAsia"/>
          <w:color w:val="auto"/>
          <w:highlight w:val="none"/>
        </w:rPr>
        <w:t>国有资本经营预算支出决算情况说明</w:t>
      </w:r>
      <w:bookmarkEnd w:id="74"/>
      <w:bookmarkEnd w:id="75"/>
      <w:bookmarkEnd w:id="76"/>
    </w:p>
    <w:p w14:paraId="635CC23F">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14:paraId="124E44D9">
      <w:pPr>
        <w:spacing w:line="580" w:lineRule="exact"/>
        <w:rPr>
          <w:rFonts w:ascii="方正小标宋简体" w:hAnsi="方正小标宋简体" w:eastAsia="方正小标宋简体" w:cs="方正小标宋简体"/>
          <w:color w:val="auto"/>
          <w:sz w:val="44"/>
          <w:szCs w:val="44"/>
          <w:highlight w:val="none"/>
        </w:rPr>
      </w:pPr>
    </w:p>
    <w:p w14:paraId="109C06A2">
      <w:pPr>
        <w:pStyle w:val="4"/>
        <w:numPr>
          <w:ilvl w:val="0"/>
          <w:numId w:val="6"/>
        </w:numPr>
        <w:bidi w:val="0"/>
        <w:rPr>
          <w:color w:val="auto"/>
          <w:highlight w:val="none"/>
        </w:rPr>
      </w:pPr>
      <w:bookmarkStart w:id="77" w:name="_Toc14092"/>
      <w:bookmarkStart w:id="78" w:name="_Toc15377221"/>
      <w:bookmarkStart w:id="79" w:name="_Toc15396612"/>
      <w:r>
        <w:rPr>
          <w:rFonts w:hint="eastAsia"/>
          <w:color w:val="auto"/>
          <w:highlight w:val="none"/>
        </w:rPr>
        <w:t>预算绩效管理情况</w:t>
      </w:r>
      <w:bookmarkEnd w:id="77"/>
    </w:p>
    <w:p w14:paraId="1FB5CD87">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对追加预算校舍维修项目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14:paraId="454755B1">
      <w:pPr>
        <w:pStyle w:val="2"/>
        <w:spacing w:before="93"/>
        <w:rPr>
          <w:color w:val="auto"/>
          <w:highlight w:val="none"/>
        </w:rPr>
      </w:pPr>
    </w:p>
    <w:p w14:paraId="2CCBD8FD">
      <w:pPr>
        <w:pStyle w:val="4"/>
        <w:numPr>
          <w:ilvl w:val="0"/>
          <w:numId w:val="6"/>
        </w:numPr>
        <w:bidi w:val="0"/>
        <w:rPr>
          <w:color w:val="auto"/>
          <w:highlight w:val="none"/>
        </w:rPr>
      </w:pPr>
      <w:bookmarkStart w:id="80" w:name="_Toc11548"/>
      <w:r>
        <w:rPr>
          <w:rFonts w:hint="eastAsia"/>
          <w:color w:val="auto"/>
          <w:highlight w:val="none"/>
        </w:rPr>
        <w:t>其他重要事项的情况说明</w:t>
      </w:r>
      <w:bookmarkEnd w:id="78"/>
      <w:bookmarkEnd w:id="79"/>
      <w:bookmarkEnd w:id="80"/>
    </w:p>
    <w:p w14:paraId="319069C9">
      <w:pPr>
        <w:spacing w:line="600" w:lineRule="exact"/>
        <w:ind w:firstLine="643" w:firstLineChars="200"/>
        <w:outlineLvl w:val="2"/>
        <w:rPr>
          <w:rFonts w:ascii="仿宋" w:hAnsi="仿宋" w:eastAsia="仿宋"/>
          <w:color w:val="auto"/>
          <w:sz w:val="32"/>
          <w:szCs w:val="32"/>
          <w:highlight w:val="none"/>
        </w:rPr>
      </w:pPr>
      <w:bookmarkStart w:id="81" w:name="_Toc15377222"/>
      <w:r>
        <w:rPr>
          <w:rFonts w:hint="eastAsia" w:ascii="仿宋" w:hAnsi="仿宋" w:eastAsia="仿宋"/>
          <w:b/>
          <w:color w:val="auto"/>
          <w:sz w:val="32"/>
          <w:szCs w:val="32"/>
          <w:highlight w:val="none"/>
        </w:rPr>
        <w:t>（一）机关运行经费支出情况</w:t>
      </w:r>
      <w:bookmarkEnd w:id="81"/>
    </w:p>
    <w:p w14:paraId="0A544F2D">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82"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14:paraId="50609836">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82"/>
    </w:p>
    <w:p w14:paraId="7CF27ACF">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14:paraId="23A16D8B">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83" w:name="_Toc15377224"/>
      <w:r>
        <w:rPr>
          <w:rFonts w:hint="eastAsia" w:ascii="仿宋" w:hAnsi="仿宋" w:eastAsia="仿宋"/>
          <w:b/>
          <w:color w:val="auto"/>
          <w:sz w:val="32"/>
          <w:szCs w:val="32"/>
          <w:highlight w:val="none"/>
        </w:rPr>
        <w:t>（三）国有资产占有使用情况</w:t>
      </w:r>
      <w:bookmarkEnd w:id="83"/>
    </w:p>
    <w:p w14:paraId="01DFCD33">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777C1134">
      <w:pPr>
        <w:pStyle w:val="2"/>
        <w:spacing w:before="93"/>
        <w:rPr>
          <w:color w:val="auto"/>
          <w:highlight w:val="none"/>
        </w:rPr>
      </w:pPr>
    </w:p>
    <w:p w14:paraId="0A4C1195">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14:paraId="7C62C27E">
      <w:pPr>
        <w:pStyle w:val="3"/>
        <w:numPr>
          <w:ilvl w:val="0"/>
          <w:numId w:val="7"/>
        </w:numPr>
        <w:bidi w:val="0"/>
        <w:rPr>
          <w:color w:val="auto"/>
          <w:highlight w:val="none"/>
        </w:rPr>
      </w:pPr>
      <w:bookmarkStart w:id="84" w:name="_Toc27075"/>
      <w:bookmarkStart w:id="85" w:name="_Toc15377225"/>
      <w:bookmarkStart w:id="86" w:name="_Toc15396613"/>
      <w:r>
        <w:rPr>
          <w:rFonts w:hint="eastAsia"/>
          <w:color w:val="auto"/>
          <w:highlight w:val="none"/>
        </w:rPr>
        <w:t>名词解释</w:t>
      </w:r>
      <w:bookmarkEnd w:id="84"/>
      <w:bookmarkEnd w:id="85"/>
      <w:bookmarkEnd w:id="86"/>
    </w:p>
    <w:p w14:paraId="0B7CC961">
      <w:pPr>
        <w:spacing w:line="600" w:lineRule="exact"/>
        <w:jc w:val="left"/>
        <w:rPr>
          <w:rFonts w:ascii="宋体"/>
          <w:b/>
          <w:color w:val="auto"/>
          <w:sz w:val="44"/>
          <w:szCs w:val="44"/>
          <w:highlight w:val="none"/>
        </w:rPr>
      </w:pPr>
    </w:p>
    <w:p w14:paraId="0DE3BDBD">
      <w:pPr>
        <w:pStyle w:val="21"/>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14:paraId="71906D5A">
      <w:pPr>
        <w:pStyle w:val="21"/>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14:paraId="39F33D69">
      <w:pPr>
        <w:pStyle w:val="21"/>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777BC81E">
      <w:pPr>
        <w:pStyle w:val="21"/>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14:paraId="7539086C">
      <w:pPr>
        <w:pStyle w:val="21"/>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7F5FF7DD">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14:paraId="5B02A259">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教育（类）普通教育（款）其他普通教育支出（项）：指其他普通教育支出。</w:t>
      </w:r>
    </w:p>
    <w:p w14:paraId="159D2417">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7.社会保障和就业支出（类）抚恤（款）死亡抚恤（项）：指死亡抚恤。</w:t>
      </w:r>
    </w:p>
    <w:p w14:paraId="4F325FEC">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9.社会保障和就业支出（类）行政事业单位养老支出（款）机关事业单位基本养老保险缴费支出（项）: 指机关事业单位实施养老保险制度由单位缴纳的基本养老保险费支出。</w:t>
      </w:r>
    </w:p>
    <w:p w14:paraId="56E1791B">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10.社会保障和就业支出（类）其他社会保障和就业支出（款）其他社会保障和就业支出（项）: 指其他用于社会保障和就业方面的支出。</w:t>
      </w:r>
    </w:p>
    <w:p w14:paraId="638C5D0F">
      <w:pPr>
        <w:pStyle w:val="2"/>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14:paraId="0A4F6F98">
      <w:pPr>
        <w:pStyle w:val="2"/>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14:paraId="4DD6297F">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6F1F87E9">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59CEED00">
      <w:pPr>
        <w:pStyle w:val="21"/>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87" w:name="_Toc15377226"/>
    </w:p>
    <w:p w14:paraId="44E309AF">
      <w:pPr>
        <w:pStyle w:val="21"/>
        <w:spacing w:line="560" w:lineRule="exact"/>
        <w:ind w:firstLine="883" w:firstLineChars="200"/>
        <w:jc w:val="center"/>
        <w:rPr>
          <w:rStyle w:val="29"/>
          <w:color w:val="auto"/>
          <w:highlight w:val="none"/>
        </w:rPr>
      </w:pPr>
      <w:r>
        <w:rPr>
          <w:rFonts w:ascii="宋体"/>
          <w:b/>
          <w:color w:val="auto"/>
          <w:sz w:val="44"/>
          <w:szCs w:val="44"/>
          <w:highlight w:val="none"/>
        </w:rPr>
        <w:br w:type="page"/>
      </w:r>
      <w:bookmarkStart w:id="88" w:name="_Toc15396614"/>
      <w:bookmarkStart w:id="89" w:name="_Toc24127"/>
      <w:r>
        <w:rPr>
          <w:rStyle w:val="29"/>
          <w:rFonts w:hint="eastAsia"/>
          <w:color w:val="auto"/>
          <w:highlight w:val="none"/>
        </w:rPr>
        <w:t>第四部分 附件</w:t>
      </w:r>
      <w:bookmarkEnd w:id="88"/>
    </w:p>
    <w:bookmarkEnd w:id="89"/>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608AA152">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648002D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sz w:val="32"/>
                <w:szCs w:val="32"/>
                <w:highlight w:val="none"/>
                <w:lang w:eastAsia="zh-CN"/>
              </w:rPr>
            </w:pPr>
            <w:bookmarkStart w:id="90" w:name="_Toc15396618"/>
            <w:bookmarkStart w:id="91" w:name="_Toc24969"/>
            <w:r>
              <w:rPr>
                <w:rFonts w:hint="eastAsia" w:ascii="仿宋" w:hAnsi="仿宋" w:eastAsia="仿宋" w:cs="仿宋"/>
                <w:b/>
                <w:color w:val="auto"/>
                <w:sz w:val="32"/>
                <w:szCs w:val="32"/>
                <w:highlight w:val="none"/>
              </w:rPr>
              <w:t>2021年部门预算项目绩效目标自评</w:t>
            </w:r>
            <w:r>
              <w:rPr>
                <w:rFonts w:hint="eastAsia" w:ascii="仿宋" w:hAnsi="仿宋" w:eastAsia="仿宋" w:cs="仿宋"/>
                <w:b/>
                <w:color w:val="auto"/>
                <w:sz w:val="32"/>
                <w:szCs w:val="32"/>
                <w:highlight w:val="none"/>
                <w:lang w:eastAsia="zh-CN"/>
              </w:rPr>
              <w:t>（综合楼改造项目）</w:t>
            </w:r>
          </w:p>
        </w:tc>
        <w:tc>
          <w:tcPr>
            <w:tcW w:w="236" w:type="dxa"/>
            <w:tcBorders>
              <w:top w:val="nil"/>
              <w:left w:val="nil"/>
              <w:bottom w:val="nil"/>
              <w:right w:val="nil"/>
            </w:tcBorders>
            <w:shd w:val="clear" w:color="auto" w:fill="auto"/>
            <w:vAlign w:val="center"/>
          </w:tcPr>
          <w:p w14:paraId="4DB9CAA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kern w:val="0"/>
                <w:sz w:val="32"/>
                <w:szCs w:val="32"/>
                <w:highlight w:val="none"/>
              </w:rPr>
            </w:pPr>
          </w:p>
        </w:tc>
      </w:tr>
      <w:tr w14:paraId="473AE2B3">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855E0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4CE998">
            <w:pPr>
              <w:keepNext w:val="0"/>
              <w:keepLines w:val="0"/>
              <w:widowControl/>
              <w:suppressLineNumbers w:val="0"/>
              <w:spacing w:before="0" w:beforeAutospacing="0" w:after="0" w:afterAutospacing="0" w:line="320" w:lineRule="exact"/>
              <w:ind w:left="0" w:right="0"/>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360328</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282E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2EA69">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广元市昭化区虎跳镇陈江小学</w:t>
            </w:r>
          </w:p>
        </w:tc>
      </w:tr>
      <w:tr w14:paraId="0D067D7A">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A9D66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项目预算</w:t>
            </w:r>
          </w:p>
          <w:p w14:paraId="399291B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执行情况</w:t>
            </w:r>
          </w:p>
          <w:p w14:paraId="62F98A36">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284FF">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6D216">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230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0CA22">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37D22">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230</w:t>
            </w:r>
          </w:p>
        </w:tc>
      </w:tr>
      <w:tr w14:paraId="39A601ED">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18626">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D75A7">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14:paraId="4BDCC3F5">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D2490">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230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6DB30">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14:paraId="222ECD87">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142A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230</w:t>
            </w:r>
          </w:p>
        </w:tc>
      </w:tr>
      <w:tr w14:paraId="0058D344">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8A0B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E9737">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06F03">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C795C">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BBFE8">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p>
        </w:tc>
      </w:tr>
      <w:tr w14:paraId="0574D590">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8CC4AD">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年度总体目标</w:t>
            </w:r>
          </w:p>
          <w:p w14:paraId="5ACE51C0">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CA6AA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5C55A5">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目标实际完成情况</w:t>
            </w:r>
          </w:p>
        </w:tc>
      </w:tr>
      <w:tr w14:paraId="75851578">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3B9C6">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2FC807C1">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rPr>
              <w:t>校舍</w:t>
            </w:r>
            <w:r>
              <w:rPr>
                <w:rFonts w:hint="eastAsia" w:ascii="仿宋" w:hAnsi="仿宋" w:eastAsia="仿宋" w:cs="仿宋"/>
                <w:color w:val="auto"/>
                <w:sz w:val="22"/>
                <w:szCs w:val="22"/>
                <w:highlight w:val="none"/>
                <w:lang w:eastAsia="zh-CN"/>
              </w:rPr>
              <w:t>维修面积</w:t>
            </w:r>
            <w:r>
              <w:rPr>
                <w:rFonts w:hint="eastAsia" w:ascii="仿宋" w:hAnsi="仿宋" w:eastAsia="仿宋" w:cs="仿宋"/>
                <w:color w:val="auto"/>
                <w:sz w:val="22"/>
                <w:szCs w:val="22"/>
                <w:highlight w:val="none"/>
                <w:lang w:val="en-US" w:eastAsia="zh-CN"/>
              </w:rPr>
              <w:t>2900</w:t>
            </w:r>
            <w:r>
              <w:rPr>
                <w:rFonts w:hint="eastAsia" w:ascii="仿宋" w:hAnsi="仿宋" w:eastAsia="仿宋" w:cs="仿宋"/>
                <w:color w:val="auto"/>
                <w:sz w:val="22"/>
                <w:szCs w:val="22"/>
                <w:highlight w:val="none"/>
              </w:rPr>
              <w:t>平方米，改善学校办学条件和基础设施配套，提供高质量硬件设施设备，营造良好的学习氛围</w:t>
            </w:r>
            <w:r>
              <w:rPr>
                <w:rFonts w:hint="eastAsia" w:ascii="仿宋" w:hAnsi="仿宋" w:eastAsia="仿宋" w:cs="仿宋"/>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73DA1193">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lang w:eastAsia="zh-CN"/>
              </w:rPr>
              <w:t>完成</w:t>
            </w:r>
            <w:r>
              <w:rPr>
                <w:rFonts w:hint="eastAsia" w:ascii="仿宋" w:hAnsi="仿宋" w:eastAsia="仿宋" w:cs="仿宋"/>
                <w:color w:val="auto"/>
                <w:sz w:val="22"/>
                <w:szCs w:val="22"/>
                <w:highlight w:val="none"/>
                <w:lang w:val="en-US" w:eastAsia="zh-CN"/>
              </w:rPr>
              <w:t>2900</w:t>
            </w:r>
            <w:r>
              <w:rPr>
                <w:rFonts w:hint="eastAsia" w:ascii="仿宋" w:hAnsi="仿宋" w:eastAsia="仿宋" w:cs="仿宋"/>
                <w:color w:val="auto"/>
                <w:sz w:val="22"/>
                <w:szCs w:val="22"/>
                <w:highlight w:val="none"/>
              </w:rPr>
              <w:t>平方米</w:t>
            </w:r>
            <w:r>
              <w:rPr>
                <w:rFonts w:hint="eastAsia" w:ascii="仿宋" w:hAnsi="仿宋" w:eastAsia="仿宋" w:cs="仿宋"/>
                <w:color w:val="auto"/>
                <w:sz w:val="22"/>
                <w:szCs w:val="22"/>
                <w:highlight w:val="none"/>
                <w:lang w:eastAsia="zh-CN"/>
              </w:rPr>
              <w:t>的校舍维修，</w:t>
            </w:r>
            <w:r>
              <w:rPr>
                <w:rFonts w:hint="eastAsia" w:ascii="仿宋" w:hAnsi="仿宋" w:eastAsia="仿宋" w:cs="仿宋"/>
                <w:color w:val="auto"/>
                <w:sz w:val="22"/>
                <w:szCs w:val="22"/>
                <w:highlight w:val="none"/>
              </w:rPr>
              <w:t>改善</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学校办学条件和基础设施配套，提供</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高质量硬件设施设备，营造</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良好的学习氛围</w:t>
            </w:r>
            <w:r>
              <w:rPr>
                <w:rFonts w:hint="eastAsia" w:ascii="仿宋" w:hAnsi="仿宋" w:eastAsia="仿宋" w:cs="仿宋"/>
                <w:color w:val="auto"/>
                <w:sz w:val="22"/>
                <w:szCs w:val="22"/>
                <w:highlight w:val="none"/>
                <w:lang w:eastAsia="zh-CN"/>
              </w:rPr>
              <w:t>。</w:t>
            </w:r>
          </w:p>
        </w:tc>
      </w:tr>
      <w:tr w14:paraId="0189C11E">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5A5E2C92">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4C140406">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一级</w:t>
            </w:r>
          </w:p>
          <w:p w14:paraId="3E3DBBAD">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772C3">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二级</w:t>
            </w:r>
          </w:p>
          <w:p w14:paraId="7D30C4A5">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9B9C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三级</w:t>
            </w:r>
          </w:p>
          <w:p w14:paraId="05E45878">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9306">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7A24E">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实际完成指标值</w:t>
            </w:r>
          </w:p>
        </w:tc>
      </w:tr>
      <w:tr w14:paraId="58F78F77">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1ACCCF16">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4F52E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完成</w:t>
            </w:r>
          </w:p>
          <w:p w14:paraId="5FF8F0B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264B943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09855">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9D65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2900m²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EDFA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2900m²</w:t>
            </w:r>
          </w:p>
        </w:tc>
      </w:tr>
      <w:tr w14:paraId="641E1BE0">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149F74BB">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14:paraId="7F895AA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7335538A">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DA46">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C0186">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91</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CB1B2">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91</w:t>
            </w:r>
          </w:p>
        </w:tc>
      </w:tr>
      <w:tr w14:paraId="58A4AC84">
        <w:tblPrEx>
          <w:tblCellMar>
            <w:top w:w="0" w:type="dxa"/>
            <w:left w:w="108" w:type="dxa"/>
            <w:bottom w:w="0" w:type="dxa"/>
            <w:right w:w="108" w:type="dxa"/>
          </w:tblCellMar>
        </w:tblPrEx>
        <w:trPr>
          <w:gridAfter w:val="1"/>
          <w:wAfter w:w="236" w:type="dxa"/>
          <w:trHeight w:val="575" w:hRule="atLeast"/>
        </w:trPr>
        <w:tc>
          <w:tcPr>
            <w:tcW w:w="1113" w:type="dxa"/>
            <w:vMerge w:val="continue"/>
            <w:tcBorders>
              <w:left w:val="single" w:color="000000" w:sz="4" w:space="0"/>
              <w:right w:val="single" w:color="000000" w:sz="4" w:space="0"/>
            </w:tcBorders>
            <w:shd w:val="clear" w:color="auto" w:fill="auto"/>
            <w:vAlign w:val="center"/>
          </w:tcPr>
          <w:p w14:paraId="1A53FA9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8141E">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54DEB40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6A6E8">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w:t>
            </w:r>
            <w:r>
              <w:rPr>
                <w:rFonts w:hint="eastAsia" w:ascii="仿宋" w:hAnsi="仿宋" w:eastAsia="仿宋" w:cs="仿宋"/>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F3E3D">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F77A3">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r>
      <w:tr w14:paraId="218F1ACC">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14:paraId="142ED3A4">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BD467">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78D190D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959D5">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4B5C2">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21960">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14:paraId="2F409E04">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14:paraId="7FC864A3">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992E7">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63E5A51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8EF8C">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356DC">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DB04C">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14:paraId="4C5A7B21">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14:paraId="1E2D3D8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8FCD0">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6669359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CFCE1">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88ECD">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0076C">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1年</w:t>
            </w:r>
          </w:p>
        </w:tc>
      </w:tr>
      <w:tr w14:paraId="65106FE8">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14:paraId="442721B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E4725">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7F0309E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46FE4">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9CC0D">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D9A14">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10个月</w:t>
            </w:r>
          </w:p>
        </w:tc>
      </w:tr>
      <w:tr w14:paraId="44FEB6D5">
        <w:tblPrEx>
          <w:tblCellMar>
            <w:top w:w="0" w:type="dxa"/>
            <w:left w:w="108" w:type="dxa"/>
            <w:bottom w:w="0" w:type="dxa"/>
            <w:right w:w="108" w:type="dxa"/>
          </w:tblCellMar>
        </w:tblPrEx>
        <w:trPr>
          <w:gridAfter w:val="1"/>
          <w:wAfter w:w="236" w:type="dxa"/>
          <w:trHeight w:val="611" w:hRule="atLeast"/>
        </w:trPr>
        <w:tc>
          <w:tcPr>
            <w:tcW w:w="1113" w:type="dxa"/>
            <w:vMerge w:val="continue"/>
            <w:tcBorders>
              <w:left w:val="single" w:color="000000" w:sz="4" w:space="0"/>
              <w:right w:val="single" w:color="000000" w:sz="4" w:space="0"/>
            </w:tcBorders>
            <w:shd w:val="clear" w:color="auto" w:fill="auto"/>
            <w:vAlign w:val="center"/>
          </w:tcPr>
          <w:p w14:paraId="2DB54F9B">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65BA9">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14:paraId="38CC912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F689F">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6526">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EE0D3">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lang w:val="en-US" w:eastAsia="zh-CN"/>
              </w:rPr>
              <w:t>793元</w:t>
            </w:r>
          </w:p>
        </w:tc>
      </w:tr>
      <w:tr w14:paraId="6C4912E2">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797191A8">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14:paraId="19E8295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效益</w:t>
            </w:r>
          </w:p>
          <w:p w14:paraId="6EAD602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605EC94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592A88D8">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041E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DED9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14:paraId="237502EC">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544EC4D5">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14:paraId="23CEE43A">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055584F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生态效益</w:t>
            </w:r>
          </w:p>
          <w:p w14:paraId="125A492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6FC46CBF">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2600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CE91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14:paraId="3023DE41">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4AD535C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14:paraId="7B41E714">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7903E53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18B03FD4">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777A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5824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有效</w:t>
            </w:r>
          </w:p>
        </w:tc>
      </w:tr>
      <w:tr w14:paraId="0534ECB2">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14:paraId="149035EE">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39009D8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满意</w:t>
            </w:r>
          </w:p>
          <w:p w14:paraId="7767BBAA">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D3C176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满意度</w:t>
            </w:r>
          </w:p>
          <w:p w14:paraId="0FF4A83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4B5C9">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D7F3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A7DD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97%</w:t>
            </w:r>
          </w:p>
        </w:tc>
      </w:tr>
      <w:tr w14:paraId="195D6D01">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1AF300DF">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583CD8D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8557CE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35774">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CB88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041A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96%</w:t>
            </w:r>
          </w:p>
        </w:tc>
      </w:tr>
    </w:tbl>
    <w:p w14:paraId="0EC3551C">
      <w:pPr>
        <w:pStyle w:val="3"/>
        <w:bidi w:val="0"/>
        <w:rPr>
          <w:color w:val="auto"/>
          <w:highlight w:val="none"/>
        </w:rPr>
      </w:pPr>
      <w:r>
        <w:rPr>
          <w:rFonts w:hint="eastAsia"/>
          <w:color w:val="auto"/>
          <w:highlight w:val="none"/>
        </w:rPr>
        <w:t>第五部分 附表</w:t>
      </w:r>
      <w:bookmarkEnd w:id="87"/>
      <w:bookmarkEnd w:id="90"/>
      <w:bookmarkEnd w:id="91"/>
      <w:bookmarkStart w:id="92" w:name="_Toc15396619"/>
    </w:p>
    <w:p w14:paraId="456FA56A">
      <w:pPr>
        <w:pStyle w:val="4"/>
        <w:bidi w:val="0"/>
        <w:rPr>
          <w:color w:val="auto"/>
          <w:highlight w:val="none"/>
        </w:rPr>
      </w:pPr>
      <w:bookmarkStart w:id="93" w:name="_Toc26442"/>
      <w:r>
        <w:rPr>
          <w:rFonts w:hint="eastAsia"/>
          <w:color w:val="auto"/>
          <w:highlight w:val="none"/>
        </w:rPr>
        <w:t>一、收入支出决算总表</w:t>
      </w:r>
      <w:bookmarkEnd w:id="92"/>
      <w:bookmarkEnd w:id="93"/>
    </w:p>
    <w:p w14:paraId="631EC181">
      <w:pPr>
        <w:pStyle w:val="4"/>
        <w:bidi w:val="0"/>
        <w:rPr>
          <w:color w:val="auto"/>
          <w:highlight w:val="none"/>
        </w:rPr>
      </w:pPr>
      <w:bookmarkStart w:id="94" w:name="_Toc15396620"/>
      <w:bookmarkStart w:id="95" w:name="_Toc24488"/>
      <w:r>
        <w:rPr>
          <w:rFonts w:hint="eastAsia"/>
          <w:color w:val="auto"/>
          <w:highlight w:val="none"/>
        </w:rPr>
        <w:t>二、收入决算表</w:t>
      </w:r>
      <w:bookmarkEnd w:id="94"/>
      <w:bookmarkEnd w:id="95"/>
    </w:p>
    <w:p w14:paraId="54E6D0C5">
      <w:pPr>
        <w:pStyle w:val="4"/>
        <w:bidi w:val="0"/>
        <w:rPr>
          <w:color w:val="auto"/>
          <w:highlight w:val="none"/>
        </w:rPr>
      </w:pPr>
      <w:bookmarkStart w:id="96" w:name="_Toc15396621"/>
      <w:bookmarkStart w:id="97" w:name="_Toc6939"/>
      <w:r>
        <w:rPr>
          <w:rFonts w:hint="eastAsia"/>
          <w:color w:val="auto"/>
          <w:highlight w:val="none"/>
        </w:rPr>
        <w:t>三、支出决算表</w:t>
      </w:r>
      <w:bookmarkEnd w:id="96"/>
      <w:bookmarkEnd w:id="97"/>
    </w:p>
    <w:p w14:paraId="33BDEFDF">
      <w:pPr>
        <w:pStyle w:val="4"/>
        <w:bidi w:val="0"/>
        <w:rPr>
          <w:color w:val="auto"/>
          <w:highlight w:val="none"/>
        </w:rPr>
      </w:pPr>
      <w:bookmarkStart w:id="98" w:name="_Toc15396622"/>
      <w:bookmarkStart w:id="99" w:name="_Toc30417"/>
      <w:r>
        <w:rPr>
          <w:rFonts w:hint="eastAsia"/>
          <w:color w:val="auto"/>
          <w:highlight w:val="none"/>
        </w:rPr>
        <w:t>四、财政拨款收入支出决算总表</w:t>
      </w:r>
      <w:bookmarkEnd w:id="98"/>
      <w:bookmarkEnd w:id="99"/>
    </w:p>
    <w:p w14:paraId="18F18798">
      <w:pPr>
        <w:pStyle w:val="4"/>
        <w:bidi w:val="0"/>
        <w:rPr>
          <w:color w:val="auto"/>
          <w:highlight w:val="none"/>
        </w:rPr>
      </w:pPr>
      <w:bookmarkStart w:id="100" w:name="_Toc1651"/>
      <w:bookmarkStart w:id="101" w:name="_Toc15396623"/>
      <w:r>
        <w:rPr>
          <w:rFonts w:hint="eastAsia"/>
          <w:color w:val="auto"/>
          <w:highlight w:val="none"/>
        </w:rPr>
        <w:t>五、财政拨款支出决算明细表</w:t>
      </w:r>
      <w:bookmarkEnd w:id="100"/>
      <w:bookmarkEnd w:id="101"/>
      <w:bookmarkStart w:id="102" w:name="_Toc15396624"/>
    </w:p>
    <w:p w14:paraId="6A2335DB">
      <w:pPr>
        <w:pStyle w:val="4"/>
        <w:bidi w:val="0"/>
        <w:rPr>
          <w:color w:val="auto"/>
          <w:highlight w:val="none"/>
        </w:rPr>
      </w:pPr>
      <w:bookmarkStart w:id="103" w:name="_Toc18542"/>
      <w:r>
        <w:rPr>
          <w:rFonts w:hint="eastAsia"/>
          <w:color w:val="auto"/>
          <w:highlight w:val="none"/>
        </w:rPr>
        <w:t>六、一般公共预算财政拨款支出决算表</w:t>
      </w:r>
      <w:bookmarkEnd w:id="102"/>
      <w:bookmarkEnd w:id="103"/>
    </w:p>
    <w:p w14:paraId="133B9508">
      <w:pPr>
        <w:pStyle w:val="4"/>
        <w:bidi w:val="0"/>
        <w:rPr>
          <w:color w:val="auto"/>
          <w:highlight w:val="none"/>
        </w:rPr>
      </w:pPr>
      <w:bookmarkStart w:id="104" w:name="_Toc15396625"/>
      <w:bookmarkStart w:id="105" w:name="_Toc25672"/>
      <w:r>
        <w:rPr>
          <w:rFonts w:hint="eastAsia"/>
          <w:color w:val="auto"/>
          <w:highlight w:val="none"/>
        </w:rPr>
        <w:t>七、一般公共预算财政拨款支出决算明细表</w:t>
      </w:r>
      <w:bookmarkEnd w:id="104"/>
      <w:bookmarkEnd w:id="105"/>
    </w:p>
    <w:p w14:paraId="1256E2CC">
      <w:pPr>
        <w:pStyle w:val="4"/>
        <w:bidi w:val="0"/>
        <w:rPr>
          <w:color w:val="auto"/>
          <w:highlight w:val="none"/>
        </w:rPr>
      </w:pPr>
      <w:bookmarkStart w:id="106" w:name="_Toc3598"/>
      <w:bookmarkStart w:id="107" w:name="_Toc15396626"/>
      <w:r>
        <w:rPr>
          <w:rFonts w:hint="eastAsia"/>
          <w:color w:val="auto"/>
          <w:highlight w:val="none"/>
        </w:rPr>
        <w:t>八、一般公共预算财政拨款基本支出决算表</w:t>
      </w:r>
      <w:bookmarkEnd w:id="106"/>
      <w:bookmarkEnd w:id="107"/>
    </w:p>
    <w:p w14:paraId="0CEB6049">
      <w:pPr>
        <w:pStyle w:val="4"/>
        <w:bidi w:val="0"/>
        <w:rPr>
          <w:color w:val="auto"/>
          <w:highlight w:val="none"/>
        </w:rPr>
      </w:pPr>
      <w:bookmarkStart w:id="108" w:name="_Toc28845"/>
      <w:bookmarkStart w:id="109" w:name="_Toc15396627"/>
      <w:r>
        <w:rPr>
          <w:rFonts w:hint="eastAsia"/>
          <w:color w:val="auto"/>
          <w:highlight w:val="none"/>
        </w:rPr>
        <w:t>九、一般公共预算财政拨款项目支出决算表</w:t>
      </w:r>
      <w:bookmarkEnd w:id="108"/>
      <w:bookmarkEnd w:id="109"/>
    </w:p>
    <w:p w14:paraId="6E2FD1F4">
      <w:pPr>
        <w:pStyle w:val="4"/>
        <w:bidi w:val="0"/>
        <w:rPr>
          <w:color w:val="auto"/>
          <w:highlight w:val="none"/>
        </w:rPr>
      </w:pPr>
      <w:bookmarkStart w:id="110" w:name="_Toc24879"/>
      <w:bookmarkStart w:id="111" w:name="_Toc15396628"/>
      <w:r>
        <w:rPr>
          <w:rFonts w:hint="eastAsia"/>
          <w:color w:val="auto"/>
          <w:highlight w:val="none"/>
        </w:rPr>
        <w:t>十、一般公共预算财政拨款“三公”经费支出决算表</w:t>
      </w:r>
      <w:bookmarkEnd w:id="110"/>
      <w:bookmarkEnd w:id="111"/>
    </w:p>
    <w:p w14:paraId="0767B23B">
      <w:pPr>
        <w:pStyle w:val="4"/>
        <w:bidi w:val="0"/>
        <w:rPr>
          <w:color w:val="auto"/>
          <w:highlight w:val="none"/>
        </w:rPr>
      </w:pPr>
      <w:bookmarkStart w:id="112" w:name="_Toc15396629"/>
      <w:bookmarkStart w:id="113" w:name="_Toc24059"/>
      <w:r>
        <w:rPr>
          <w:rFonts w:hint="eastAsia"/>
          <w:color w:val="auto"/>
          <w:highlight w:val="none"/>
        </w:rPr>
        <w:t>十一、政府性基金预算财政拨款收入支出决算表</w:t>
      </w:r>
      <w:bookmarkEnd w:id="112"/>
      <w:bookmarkEnd w:id="113"/>
    </w:p>
    <w:p w14:paraId="180C7F86">
      <w:pPr>
        <w:pStyle w:val="4"/>
        <w:bidi w:val="0"/>
        <w:rPr>
          <w:color w:val="auto"/>
          <w:highlight w:val="none"/>
        </w:rPr>
      </w:pPr>
      <w:bookmarkStart w:id="114" w:name="_Toc30287"/>
      <w:bookmarkStart w:id="115" w:name="_Toc15396630"/>
      <w:r>
        <w:rPr>
          <w:rFonts w:hint="eastAsia"/>
          <w:color w:val="auto"/>
          <w:highlight w:val="none"/>
        </w:rPr>
        <w:t>十二、政府性基金预算财政拨款“三公”经费支出决算表</w:t>
      </w:r>
      <w:bookmarkEnd w:id="114"/>
      <w:bookmarkEnd w:id="115"/>
    </w:p>
    <w:p w14:paraId="17FC0A4C">
      <w:pPr>
        <w:pStyle w:val="4"/>
        <w:bidi w:val="0"/>
        <w:rPr>
          <w:color w:val="auto"/>
          <w:highlight w:val="none"/>
        </w:rPr>
      </w:pPr>
      <w:bookmarkStart w:id="116" w:name="_Toc21531"/>
      <w:bookmarkStart w:id="117" w:name="_Toc15396631"/>
      <w:r>
        <w:rPr>
          <w:rFonts w:hint="eastAsia"/>
          <w:color w:val="auto"/>
          <w:highlight w:val="none"/>
        </w:rPr>
        <w:t>十三、国有资本经营预算财政拨款收入支出决算表</w:t>
      </w:r>
      <w:bookmarkEnd w:id="116"/>
      <w:bookmarkEnd w:id="117"/>
    </w:p>
    <w:p w14:paraId="3621B8A1">
      <w:pPr>
        <w:pStyle w:val="4"/>
        <w:bidi w:val="0"/>
        <w:rPr>
          <w:color w:val="auto"/>
          <w:highlight w:val="none"/>
        </w:rPr>
      </w:pPr>
      <w:bookmarkStart w:id="118" w:name="_Toc3471"/>
      <w:r>
        <w:rPr>
          <w:rFonts w:hint="eastAsia"/>
          <w:color w:val="auto"/>
          <w:highlight w:val="none"/>
        </w:rPr>
        <w:t>十四、国有资本经营预算财政拨款支出决算表</w:t>
      </w:r>
      <w:bookmarkEnd w:id="118"/>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E55218E-C5C3-46A8-B6AD-83B7F37B55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BCBD20E-5BDD-41C5-AEB4-10B032DD2702}"/>
  </w:font>
  <w:font w:name="仿宋">
    <w:panose1 w:val="02010609060101010101"/>
    <w:charset w:val="86"/>
    <w:family w:val="auto"/>
    <w:pitch w:val="default"/>
    <w:sig w:usb0="800002BF" w:usb1="38CF7CFA" w:usb2="00000016" w:usb3="00000000" w:csb0="00040001" w:csb1="00000000"/>
    <w:embedRegular r:id="rId3" w:fontKey="{572DB65C-251C-4783-9C7E-E64A164D17BD}"/>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embedRegular r:id="rId4" w:fontKey="{0ABE3241-F6E1-4C76-AC8E-360603A86D5F}"/>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5" w:fontKey="{D97D8457-36B7-47A8-9676-AD4EE187834E}"/>
  </w:font>
  <w:font w:name="方正小标宋_GBK">
    <w:panose1 w:val="02000000000000000000"/>
    <w:charset w:val="86"/>
    <w:family w:val="auto"/>
    <w:pitch w:val="default"/>
    <w:sig w:usb0="A00002BF" w:usb1="38CF7CFA" w:usb2="00082016" w:usb3="00000000" w:csb0="00040001" w:csb1="00000000"/>
    <w:embedRegular r:id="rId6" w:fontKey="{8C97A8E2-CEDA-4B96-9503-7D47C2D199E5}"/>
  </w:font>
  <w:font w:name="华文仿宋">
    <w:panose1 w:val="02010600040101010101"/>
    <w:charset w:val="86"/>
    <w:family w:val="auto"/>
    <w:pitch w:val="default"/>
    <w:sig w:usb0="00000287" w:usb1="080F0000" w:usb2="00000000" w:usb3="00000000" w:csb0="0004009F" w:csb1="DFD70000"/>
    <w:embedRegular r:id="rId7" w:fontKey="{D04A9BAC-619F-4285-B129-5B9F7C817C2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0A3BC92A">
        <w:pPr>
          <w:pStyle w:val="11"/>
          <w:jc w:val="center"/>
        </w:pPr>
        <w:r>
          <w:fldChar w:fldCharType="begin"/>
        </w:r>
        <w:r>
          <w:instrText xml:space="preserve">PAGE   \* MERGEFORMAT</w:instrText>
        </w:r>
        <w:r>
          <w:fldChar w:fldCharType="separate"/>
        </w:r>
        <w:r>
          <w:rPr>
            <w:lang w:val="zh-CN"/>
          </w:rPr>
          <w:t>12</w:t>
        </w:r>
        <w:r>
          <w:fldChar w:fldCharType="end"/>
        </w:r>
      </w:p>
    </w:sdtContent>
  </w:sdt>
  <w:p w14:paraId="77A2E6B5">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94A03">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D7FEA68"/>
    <w:multiLevelType w:val="singleLevel"/>
    <w:tmpl w:val="DD7FEA68"/>
    <w:lvl w:ilvl="0" w:tentative="0">
      <w:start w:val="4"/>
      <w:numFmt w:val="decimal"/>
      <w:suff w:val="nothing"/>
      <w:lvlText w:val="%1、"/>
      <w:lvlJc w:val="left"/>
      <w:pPr>
        <w:ind w:left="-10"/>
      </w:pPr>
      <w:rPr>
        <w:rFonts w:cs="Times New Roman"/>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E9853359"/>
    <w:multiLevelType w:val="singleLevel"/>
    <w:tmpl w:val="E9853359"/>
    <w:lvl w:ilvl="0" w:tentative="0">
      <w:start w:val="1"/>
      <w:numFmt w:val="decimal"/>
      <w:suff w:val="nothing"/>
      <w:lvlText w:val="%1、"/>
      <w:lvlJc w:val="left"/>
      <w:pPr>
        <w:ind w:left="-10"/>
      </w:pPr>
      <w:rPr>
        <w:rFonts w:cs="Times New Roman"/>
      </w:rPr>
    </w:lvl>
  </w:abstractNum>
  <w:abstractNum w:abstractNumId="4">
    <w:nsid w:val="ECD6CFA4"/>
    <w:multiLevelType w:val="singleLevel"/>
    <w:tmpl w:val="ECD6CFA4"/>
    <w:lvl w:ilvl="0" w:tentative="0">
      <w:start w:val="1"/>
      <w:numFmt w:val="decimal"/>
      <w:lvlText w:val="%1."/>
      <w:lvlJc w:val="left"/>
      <w:pPr>
        <w:tabs>
          <w:tab w:val="left" w:pos="312"/>
        </w:tabs>
      </w:p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6">
    <w:nsid w:val="6492B4FE"/>
    <w:multiLevelType w:val="singleLevel"/>
    <w:tmpl w:val="6492B4FE"/>
    <w:lvl w:ilvl="0" w:tentative="0">
      <w:start w:val="1"/>
      <w:numFmt w:val="chineseCounting"/>
      <w:suff w:val="nothing"/>
      <w:lvlText w:val="%1、"/>
      <w:lvlJc w:val="left"/>
      <w:rPr>
        <w:rFonts w:hint="eastAsia"/>
      </w:rPr>
    </w:lvl>
  </w:abstractNum>
  <w:num w:numId="1">
    <w:abstractNumId w:val="6"/>
  </w:num>
  <w:num w:numId="2">
    <w:abstractNumId w:val="3"/>
  </w:num>
  <w:num w:numId="3">
    <w:abstractNumId w:val="1"/>
  </w:num>
  <w:num w:numId="4">
    <w:abstractNumId w:val="5"/>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jYzYzZmU5OWQ3NzgwYmRjMzI1YjU5NDZkMjc5OTA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A2032A3"/>
    <w:rsid w:val="0B8A37D8"/>
    <w:rsid w:val="0DD1530C"/>
    <w:rsid w:val="0EC71F0D"/>
    <w:rsid w:val="10C055FF"/>
    <w:rsid w:val="112C7A85"/>
    <w:rsid w:val="118107EC"/>
    <w:rsid w:val="11DD6519"/>
    <w:rsid w:val="12910332"/>
    <w:rsid w:val="157E27B0"/>
    <w:rsid w:val="16BB723D"/>
    <w:rsid w:val="177D300F"/>
    <w:rsid w:val="18015F3F"/>
    <w:rsid w:val="1BE8440E"/>
    <w:rsid w:val="1D155CEE"/>
    <w:rsid w:val="206860B8"/>
    <w:rsid w:val="20F57F95"/>
    <w:rsid w:val="23066A21"/>
    <w:rsid w:val="240371BF"/>
    <w:rsid w:val="24D54B4E"/>
    <w:rsid w:val="25C741E6"/>
    <w:rsid w:val="27842671"/>
    <w:rsid w:val="280F42BA"/>
    <w:rsid w:val="29FD04D3"/>
    <w:rsid w:val="2ABE7A3E"/>
    <w:rsid w:val="2BAE4DE0"/>
    <w:rsid w:val="2C0D4D5A"/>
    <w:rsid w:val="2EFA178C"/>
    <w:rsid w:val="30B46D73"/>
    <w:rsid w:val="319F7F4E"/>
    <w:rsid w:val="32E05DEF"/>
    <w:rsid w:val="353C0D20"/>
    <w:rsid w:val="35E50C72"/>
    <w:rsid w:val="39AE70AB"/>
    <w:rsid w:val="3BC1546A"/>
    <w:rsid w:val="3C0C0783"/>
    <w:rsid w:val="3C2A2535"/>
    <w:rsid w:val="3F634158"/>
    <w:rsid w:val="3F795B0E"/>
    <w:rsid w:val="3F9F3A96"/>
    <w:rsid w:val="41B0256F"/>
    <w:rsid w:val="41BF4911"/>
    <w:rsid w:val="422355A5"/>
    <w:rsid w:val="4643751C"/>
    <w:rsid w:val="493C27E9"/>
    <w:rsid w:val="496F39ED"/>
    <w:rsid w:val="49FF41D3"/>
    <w:rsid w:val="4A185DC8"/>
    <w:rsid w:val="4BE068DB"/>
    <w:rsid w:val="4BF6002B"/>
    <w:rsid w:val="4ECE2238"/>
    <w:rsid w:val="4FD61684"/>
    <w:rsid w:val="503645ED"/>
    <w:rsid w:val="508F3649"/>
    <w:rsid w:val="50BE2965"/>
    <w:rsid w:val="51DB4B86"/>
    <w:rsid w:val="527E6C4D"/>
    <w:rsid w:val="52FB5859"/>
    <w:rsid w:val="55333C3E"/>
    <w:rsid w:val="5822359F"/>
    <w:rsid w:val="58737E60"/>
    <w:rsid w:val="5BA6743E"/>
    <w:rsid w:val="5CC21EA0"/>
    <w:rsid w:val="5EA436E8"/>
    <w:rsid w:val="5EEF25B2"/>
    <w:rsid w:val="64A80084"/>
    <w:rsid w:val="64CA39A1"/>
    <w:rsid w:val="65A56649"/>
    <w:rsid w:val="65B126BB"/>
    <w:rsid w:val="66642B83"/>
    <w:rsid w:val="68391BBB"/>
    <w:rsid w:val="6C4A05C8"/>
    <w:rsid w:val="6C6E6699"/>
    <w:rsid w:val="6DA33063"/>
    <w:rsid w:val="6EDA0CDC"/>
    <w:rsid w:val="6F737B78"/>
    <w:rsid w:val="70796EBE"/>
    <w:rsid w:val="71B61FB7"/>
    <w:rsid w:val="72734D90"/>
    <w:rsid w:val="727D7081"/>
    <w:rsid w:val="72E456B5"/>
    <w:rsid w:val="74E366CA"/>
    <w:rsid w:val="77203FEE"/>
    <w:rsid w:val="79E7B28D"/>
    <w:rsid w:val="7AC82E51"/>
    <w:rsid w:val="7AFD3D70"/>
    <w:rsid w:val="7BFA24EA"/>
    <w:rsid w:val="7CAB154F"/>
    <w:rsid w:val="7F586151"/>
    <w:rsid w:val="7F9F20EE"/>
    <w:rsid w:val="7FC55F0C"/>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jc w:val="center"/>
      <w:outlineLvl w:val="0"/>
    </w:pPr>
    <w:rPr>
      <w:rFonts w:ascii="Times New Roman" w:hAnsi="Times New Roman" w:eastAsia="仿宋"/>
      <w:b/>
      <w:bCs/>
      <w:kern w:val="44"/>
      <w:sz w:val="44"/>
      <w:szCs w:val="44"/>
    </w:rPr>
  </w:style>
  <w:style w:type="paragraph" w:styleId="4">
    <w:name w:val="heading 2"/>
    <w:basedOn w:val="1"/>
    <w:next w:val="1"/>
    <w:link w:val="40"/>
    <w:unhideWhenUsed/>
    <w:qFormat/>
    <w:uiPriority w:val="9"/>
    <w:pPr>
      <w:keepNext/>
      <w:keepLines/>
      <w:spacing w:before="260" w:after="260" w:line="240" w:lineRule="auto"/>
      <w:ind w:firstLine="1440" w:firstLineChars="200"/>
      <w:jc w:val="left"/>
      <w:outlineLvl w:val="1"/>
    </w:pPr>
    <w:rPr>
      <w:rFonts w:eastAsia="宋体" w:asciiTheme="majorAscii" w:hAnsiTheme="majorAscii"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paragraph" w:customStyle="1" w:styleId="21">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2">
    <w:name w:val="Header Char"/>
    <w:basedOn w:val="18"/>
    <w:semiHidden/>
    <w:qFormat/>
    <w:uiPriority w:val="99"/>
    <w:rPr>
      <w:rFonts w:ascii="Times New Roman" w:hAnsi="Times New Roman"/>
      <w:sz w:val="18"/>
      <w:szCs w:val="18"/>
    </w:rPr>
  </w:style>
  <w:style w:type="character" w:customStyle="1" w:styleId="23">
    <w:name w:val="页眉 Char"/>
    <w:link w:val="12"/>
    <w:semiHidden/>
    <w:qFormat/>
    <w:locked/>
    <w:uiPriority w:val="99"/>
    <w:rPr>
      <w:sz w:val="18"/>
    </w:rPr>
  </w:style>
  <w:style w:type="character" w:customStyle="1" w:styleId="24">
    <w:name w:val="Footer Char"/>
    <w:basedOn w:val="18"/>
    <w:semiHidden/>
    <w:qFormat/>
    <w:uiPriority w:val="99"/>
    <w:rPr>
      <w:rFonts w:ascii="Times New Roman" w:hAnsi="Times New Roman"/>
      <w:sz w:val="18"/>
      <w:szCs w:val="18"/>
    </w:rPr>
  </w:style>
  <w:style w:type="character" w:customStyle="1" w:styleId="25">
    <w:name w:val="页脚 Char"/>
    <w:link w:val="11"/>
    <w:qFormat/>
    <w:locked/>
    <w:uiPriority w:val="99"/>
    <w:rPr>
      <w:sz w:val="18"/>
    </w:rPr>
  </w:style>
  <w:style w:type="character" w:customStyle="1" w:styleId="26">
    <w:name w:val="Body Text Char"/>
    <w:basedOn w:val="18"/>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eastAsia="仿宋"/>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eastAsia="宋体" w:cs="Times New Roman" w:asciiTheme="majorAscii" w:hAnsiTheme="majorAsci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582.5</c:v>
                </c:pt>
                <c:pt idx="1">
                  <c:v>610.55</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582.5</c:v>
                </c:pt>
                <c:pt idx="1">
                  <c:v>610.55</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e2e91f90-5b3d-47a4-9615-9d4e2a9ab179}"/>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100</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0.9982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4e3d754-9992-4fc9-9a49-5d6547b8232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37.67</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62.33</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380.55</c:v>
                </c:pt>
                <c:pt idx="1">
                  <c:v>230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ff0a5099-b8fb-4887-b7a5-3b26a29085b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582.5</c:v>
                </c:pt>
                <c:pt idx="1">
                  <c:v>610.55</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582.5</c:v>
                </c:pt>
                <c:pt idx="1">
                  <c:v>610.55</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e6ccf4f8-cdb3-4897-a800-12a03697f1aa}"/>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582.5</c:v>
                </c:pt>
                <c:pt idx="1">
                  <c:v>610.55</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cb8496d-0df5-4f2f-bbd1-be174e35590d}"/>
      </c:ext>
    </c:extLst>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dLbl>
              <c:idx val="0"/>
              <c:layout>
                <c:manualLayout>
                  <c:x val="-0.0378752423434636"/>
                  <c:y val="-0.29683773584861"/>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98.93</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0184393692092979"/>
                  <c:y val="0.0876850520523613"/>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1.07</a:t>
                    </a:r>
                    <a:r>
                      <a:t>%</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0872500000000001"/>
                      <c:h val="0.0767295597484277"/>
                    </c:manualLayout>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教育支出（类）</c:v>
                </c:pt>
                <c:pt idx="1">
                  <c:v>社会保障和就业支出（类）</c:v>
                </c:pt>
              </c:strCache>
            </c:strRef>
          </c:cat>
          <c:val>
            <c:numRef>
              <c:f>Sheet1!$B$2:$B$3</c:f>
              <c:numCache>
                <c:formatCode>General</c:formatCode>
                <c:ptCount val="2"/>
                <c:pt idx="0">
                  <c:v>98.93</c:v>
                </c:pt>
                <c:pt idx="1">
                  <c:v>1.07</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2f6b90ec-f3f8-41b3-b76a-a6473851d1ff}"/>
      </c:ext>
    </c:extLst>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extLst>
      <c:ext uri="{0b15fc19-7d7d-44ad-8c2d-2c3a37ce22c3}">
        <chartProps xmlns="https://web.wps.cn/et/2018/main" chartId="{2942dcd5-362b-490d-af59-b0f97d77f31d}"/>
      </c:ext>
    </c:extLst>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7567</Words>
  <Characters>8012</Characters>
  <Lines>47</Lines>
  <Paragraphs>13</Paragraphs>
  <TotalTime>1</TotalTime>
  <ScaleCrop>false</ScaleCrop>
  <LinksUpToDate>false</LinksUpToDate>
  <CharactersWithSpaces>8087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2025-01-06T05:12:56Z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DB83FF4682C443DF864DAFBB55C3CE09</vt:lpwstr>
  </property>
  <property fmtid="{D5CDD505-2E9C-101B-9397-08002B2CF9AE}" pid="4" name="KSOTemplateDocerSaveRecord">
    <vt:lpwstr>eyJoZGlkIjoiMGVhYTg4NGNkZWJkODFjNzcyZDRjM2M4Y2UzNjI5ZmUiLCJ1c2VySWQiOiI2MTE2MzEwMDYifQ==</vt:lpwstr>
  </property>
</Properties>
</file>