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B11EC">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3E28232E">
      <w:pPr>
        <w:spacing w:line="600" w:lineRule="exact"/>
        <w:jc w:val="center"/>
        <w:outlineLvl w:val="0"/>
        <w:rPr>
          <w:rFonts w:ascii="方正小标宋简体" w:hAnsi="宋体" w:eastAsia="方正小标宋简体"/>
          <w:color w:val="auto"/>
          <w:sz w:val="72"/>
          <w:szCs w:val="72"/>
          <w:highlight w:val="none"/>
        </w:rPr>
      </w:pPr>
    </w:p>
    <w:p w14:paraId="7847F3DD">
      <w:pPr>
        <w:spacing w:line="600" w:lineRule="exact"/>
        <w:jc w:val="center"/>
        <w:outlineLvl w:val="0"/>
        <w:rPr>
          <w:rFonts w:ascii="方正小标宋简体" w:hAnsi="宋体" w:eastAsia="方正小标宋简体"/>
          <w:color w:val="auto"/>
          <w:sz w:val="72"/>
          <w:szCs w:val="72"/>
          <w:highlight w:val="none"/>
        </w:rPr>
      </w:pPr>
    </w:p>
    <w:p w14:paraId="3D603DA2">
      <w:pPr>
        <w:spacing w:line="600" w:lineRule="exact"/>
        <w:jc w:val="center"/>
        <w:outlineLvl w:val="0"/>
        <w:rPr>
          <w:rFonts w:ascii="方正小标宋简体" w:hAnsi="宋体" w:eastAsia="方正小标宋简体"/>
          <w:color w:val="auto"/>
          <w:sz w:val="72"/>
          <w:szCs w:val="72"/>
          <w:highlight w:val="none"/>
        </w:rPr>
      </w:pPr>
    </w:p>
    <w:p w14:paraId="7ADD2628">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425"/>
      <w:bookmarkStart w:id="2" w:name="_Toc15378441"/>
      <w:bookmarkStart w:id="3" w:name="_Toc15396597"/>
      <w:bookmarkStart w:id="4" w:name="_Toc23980"/>
      <w:bookmarkStart w:id="5" w:name="_Toc1681"/>
      <w:bookmarkStart w:id="6" w:name="_Toc15396475"/>
      <w:bookmarkStart w:id="7" w:name="_Toc16141"/>
      <w:bookmarkStart w:id="8"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bookmarkEnd w:id="8"/>
    </w:p>
    <w:p w14:paraId="4DFB14F9">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9" w:name="_Toc17433"/>
      <w:bookmarkStart w:id="10" w:name="_Toc29347"/>
      <w:bookmarkStart w:id="11" w:name="_Toc1473"/>
      <w:bookmarkStart w:id="12" w:name="_Toc15377194"/>
      <w:bookmarkStart w:id="13" w:name="_Toc15377426"/>
      <w:bookmarkStart w:id="14" w:name="_Toc15378442"/>
      <w:bookmarkStart w:id="15" w:name="_Toc15396476"/>
      <w:bookmarkStart w:id="16" w:name="_Toc15396598"/>
      <w:r>
        <w:rPr>
          <w:rFonts w:hint="eastAsia" w:ascii="方正小标宋_GBK" w:hAnsi="方正小标宋_GBK" w:eastAsia="方正小标宋_GBK" w:cs="方正小标宋_GBK"/>
          <w:color w:val="auto"/>
          <w:sz w:val="72"/>
          <w:szCs w:val="72"/>
          <w:highlight w:val="none"/>
        </w:rPr>
        <w:t>四川省</w:t>
      </w:r>
      <w:bookmarkEnd w:id="0"/>
      <w:bookmarkStart w:id="17" w:name="_Toc15306268"/>
      <w:r>
        <w:rPr>
          <w:rFonts w:hint="eastAsia" w:ascii="方正小标宋_GBK" w:hAnsi="方正小标宋_GBK" w:eastAsia="方正小标宋_GBK" w:cs="方正小标宋_GBK"/>
          <w:color w:val="auto"/>
          <w:sz w:val="72"/>
          <w:szCs w:val="72"/>
          <w:highlight w:val="none"/>
        </w:rPr>
        <w:t>广元市昭化区</w:t>
      </w:r>
      <w:bookmarkEnd w:id="9"/>
      <w:bookmarkEnd w:id="10"/>
      <w:bookmarkEnd w:id="11"/>
    </w:p>
    <w:p w14:paraId="6E8EC96C">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8" w:name="_Toc2341"/>
      <w:bookmarkStart w:id="19" w:name="_Toc9679"/>
      <w:bookmarkStart w:id="20" w:name="_Toc21060"/>
      <w:r>
        <w:rPr>
          <w:rFonts w:hint="eastAsia" w:ascii="方正小标宋_GBK" w:hAnsi="方正小标宋_GBK" w:eastAsia="方正小标宋_GBK" w:cs="方正小标宋_GBK"/>
          <w:color w:val="auto"/>
          <w:sz w:val="72"/>
          <w:szCs w:val="72"/>
          <w:highlight w:val="none"/>
          <w:lang w:eastAsia="zh-CN"/>
        </w:rPr>
        <w:t>青牛镇小学</w:t>
      </w:r>
      <w:r>
        <w:rPr>
          <w:rFonts w:hint="eastAsia" w:ascii="方正小标宋_GBK" w:hAnsi="方正小标宋_GBK" w:eastAsia="方正小标宋_GBK" w:cs="方正小标宋_GBK"/>
          <w:color w:val="auto"/>
          <w:sz w:val="72"/>
          <w:szCs w:val="72"/>
          <w:highlight w:val="none"/>
        </w:rPr>
        <w:t>单位决算</w:t>
      </w:r>
      <w:bookmarkEnd w:id="12"/>
      <w:bookmarkEnd w:id="13"/>
      <w:bookmarkEnd w:id="14"/>
      <w:bookmarkEnd w:id="15"/>
      <w:bookmarkEnd w:id="16"/>
      <w:bookmarkEnd w:id="17"/>
      <w:bookmarkEnd w:id="18"/>
      <w:bookmarkEnd w:id="19"/>
      <w:bookmarkEnd w:id="20"/>
    </w:p>
    <w:p w14:paraId="596959C1">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2E0BB93B">
      <w:pPr>
        <w:pStyle w:val="13"/>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14:paraId="37F4334B">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_Toc17514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EA5B9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_Toc31309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_Toc31309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913716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_Toc13653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_Toc13653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03D3967">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_Toc10518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96AB4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_Toc28278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_Toc28278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ABB1CB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_Toc9393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_Toc9393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4F240D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_Toc12816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_Toc12816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FA64B3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_Toc20083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_Toc20083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88AAEE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D7C505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1B0B3D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656CFD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_Toc3503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198C53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_Toc30571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_Toc30571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6EDEB2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4860D7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_Toc11548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_Toc11548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E54BED4">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_Toc27075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_Toc27075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EEE1BE">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_Toc24127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_Toc24127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4B86B38">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_Toc24969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_Toc24969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FF4F07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DE88B9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_Toc24488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_Toc24488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92F5A6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94306A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_Toc30417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_Toc30417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7C5EB8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49A66D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_Toc18542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_Toc18542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96BD3A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_Toc25672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_Toc25672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2C3C7D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C04697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_Toc28845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_Toc28845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8F7AA0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_Toc24879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_Toc24879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8E4F27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_Toc24059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_Toc24059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6AA02B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_Toc30287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_Toc30287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D2B2D6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_Toc21531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_Toc21531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CD62A3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709A2EA">
      <w:pPr>
        <w:pStyle w:val="2"/>
        <w:rPr>
          <w:color w:val="auto"/>
          <w:highlight w:val="none"/>
        </w:rPr>
      </w:pPr>
      <w:r>
        <w:rPr>
          <w:color w:val="auto"/>
          <w:highlight w:val="none"/>
        </w:rPr>
        <w:fldChar w:fldCharType="end"/>
      </w:r>
    </w:p>
    <w:p w14:paraId="6606F5C4">
      <w:pPr>
        <w:pStyle w:val="3"/>
        <w:bidi w:val="0"/>
        <w:rPr>
          <w:color w:val="auto"/>
          <w:highlight w:val="none"/>
        </w:rPr>
      </w:pPr>
      <w:bookmarkStart w:id="21" w:name="_Toc17785"/>
      <w:bookmarkStart w:id="22" w:name="_Toc17514"/>
      <w:bookmarkStart w:id="23" w:name="_Toc15396599"/>
      <w:bookmarkStart w:id="24" w:name="_Toc15377196"/>
      <w:r>
        <w:rPr>
          <w:rFonts w:hint="eastAsia"/>
          <w:color w:val="auto"/>
          <w:highlight w:val="none"/>
        </w:rPr>
        <w:t>第一部分 单位概况</w:t>
      </w:r>
      <w:bookmarkEnd w:id="21"/>
      <w:bookmarkEnd w:id="22"/>
      <w:bookmarkEnd w:id="23"/>
      <w:bookmarkEnd w:id="24"/>
    </w:p>
    <w:p w14:paraId="02CEFD1F">
      <w:pPr>
        <w:widowControl/>
        <w:jc w:val="left"/>
        <w:rPr>
          <w:rFonts w:ascii="黑体" w:eastAsia="黑体"/>
          <w:color w:val="auto"/>
          <w:sz w:val="32"/>
          <w:szCs w:val="32"/>
          <w:highlight w:val="none"/>
        </w:rPr>
      </w:pPr>
    </w:p>
    <w:p w14:paraId="793F04A8">
      <w:pPr>
        <w:pStyle w:val="4"/>
        <w:numPr>
          <w:ilvl w:val="0"/>
          <w:numId w:val="1"/>
        </w:numPr>
        <w:bidi w:val="0"/>
        <w:rPr>
          <w:rFonts w:hint="eastAsia"/>
          <w:color w:val="auto"/>
          <w:highlight w:val="none"/>
        </w:rPr>
      </w:pPr>
      <w:bookmarkStart w:id="25" w:name="_Toc31309"/>
      <w:bookmarkStart w:id="26" w:name="_Toc7404"/>
      <w:bookmarkStart w:id="27" w:name="_Toc15377197"/>
      <w:bookmarkStart w:id="28" w:name="_Toc15396600"/>
      <w:r>
        <w:rPr>
          <w:rFonts w:hint="eastAsia"/>
          <w:color w:val="auto"/>
          <w:highlight w:val="none"/>
        </w:rPr>
        <w:t>职能简介</w:t>
      </w:r>
      <w:bookmarkEnd w:id="25"/>
      <w:bookmarkEnd w:id="26"/>
    </w:p>
    <w:p w14:paraId="0EA191C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0DB867B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07C58CF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4C2CBD01">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77AC82E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6CEE0C3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0108E76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0E7CFC29">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5D1E58A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3181900D">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1D1DDFDE">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371AF79B">
      <w:pPr>
        <w:pStyle w:val="4"/>
        <w:bidi w:val="0"/>
        <w:rPr>
          <w:rFonts w:hint="eastAsia"/>
          <w:color w:val="auto"/>
          <w:highlight w:val="none"/>
        </w:rPr>
      </w:pPr>
      <w:bookmarkStart w:id="29" w:name="_Toc4463"/>
      <w:bookmarkStart w:id="30" w:name="_Toc13653"/>
      <w:r>
        <w:rPr>
          <w:rFonts w:hint="eastAsia"/>
          <w:color w:val="auto"/>
          <w:highlight w:val="none"/>
        </w:rPr>
        <w:t>二、2021年重点工作</w:t>
      </w:r>
      <w:bookmarkEnd w:id="27"/>
      <w:bookmarkEnd w:id="28"/>
      <w:r>
        <w:rPr>
          <w:rFonts w:hint="eastAsia"/>
          <w:color w:val="auto"/>
          <w:highlight w:val="none"/>
        </w:rPr>
        <w:t>完成情况</w:t>
      </w:r>
      <w:bookmarkEnd w:id="29"/>
      <w:bookmarkEnd w:id="30"/>
    </w:p>
    <w:p w14:paraId="70593353">
      <w:pPr>
        <w:spacing w:line="500" w:lineRule="exact"/>
        <w:ind w:firstLine="643" w:firstLineChars="200"/>
        <w:rPr>
          <w:rFonts w:ascii="仿宋_GB2312" w:hAnsi="仿宋_GB2312" w:eastAsia="仿宋_GB2312" w:cs="仿宋_GB2312"/>
          <w:b/>
          <w:bCs/>
          <w:color w:val="auto"/>
          <w:sz w:val="32"/>
          <w:szCs w:val="32"/>
          <w:highlight w:val="none"/>
        </w:rPr>
      </w:pPr>
      <w:bookmarkStart w:id="31" w:name="_Toc15377204"/>
      <w:bookmarkStart w:id="32" w:name="_Toc15396602"/>
      <w:bookmarkStart w:id="33" w:name="_Toc10518"/>
      <w:bookmarkStart w:id="34" w:name="_Toc10437"/>
      <w:r>
        <w:rPr>
          <w:rFonts w:hint="eastAsia" w:ascii="仿宋_GB2312" w:hAnsi="仿宋_GB2312" w:eastAsia="仿宋_GB2312" w:cs="仿宋_GB2312"/>
          <w:b/>
          <w:bCs/>
          <w:color w:val="auto"/>
          <w:sz w:val="32"/>
          <w:szCs w:val="32"/>
          <w:highlight w:val="none"/>
        </w:rPr>
        <w:t>（一）党建引领，师德垂范，建设和谐团队</w:t>
      </w:r>
      <w:r>
        <w:rPr>
          <w:rFonts w:ascii="仿宋_GB2312" w:hAnsi="仿宋_GB2312" w:eastAsia="仿宋_GB2312" w:cs="仿宋_GB2312"/>
          <w:b/>
          <w:bCs/>
          <w:color w:val="auto"/>
          <w:sz w:val="32"/>
          <w:szCs w:val="32"/>
          <w:highlight w:val="none"/>
        </w:rPr>
        <w:t xml:space="preserve"> </w:t>
      </w:r>
    </w:p>
    <w:p w14:paraId="314780C5">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学校党支部充分利用“学习强国”“党员</w:t>
      </w:r>
      <w:r>
        <w:rPr>
          <w:rFonts w:ascii="仿宋_GB2312" w:hAnsi="仿宋_GB2312" w:eastAsia="仿宋_GB2312" w:cs="仿宋_GB2312"/>
          <w:color w:val="auto"/>
          <w:sz w:val="32"/>
          <w:szCs w:val="32"/>
          <w:highlight w:val="none"/>
        </w:rPr>
        <w:t>E</w:t>
      </w:r>
      <w:r>
        <w:rPr>
          <w:rFonts w:hint="eastAsia" w:ascii="仿宋_GB2312" w:hAnsi="仿宋_GB2312" w:eastAsia="仿宋_GB2312" w:cs="仿宋_GB2312"/>
          <w:color w:val="auto"/>
          <w:sz w:val="32"/>
          <w:szCs w:val="32"/>
          <w:highlight w:val="none"/>
        </w:rPr>
        <w:t>家”“相聚党旗下”等党建网络平台，开好“三会一课”，及时宣传党的方针政策，开展党史学习教育和党性党风党纪教育，开设了最新工作安排、党员理论学习材料、党纪党规、校纪校规、学习体会与微信、QQ相结合，及时准确了解党员思想动态，不断提升了党员政治理论水平和忠诚于党的教育事业的信心、决心。</w:t>
      </w:r>
    </w:p>
    <w:p w14:paraId="6FFB50F7">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们以师德师风专项治理为契机，我们组织学习了《教师法》、《未成年人保护法》《新时期中小学教师职业道德规范》、《新时代中小学教师职业行为十项准则》等规章制度、法律法规和违纪按规定，开展了师德师风专项整治和警示教育。要求每一位教师都要：敬业、好学、爱生、爱校。都要树立作为一名人民教师的光荣感，安心本职工作，为人师表，以自己的良好行为和形象为学生树立榜样，有埋头苦干的精神，将奉献教育当做乐趣。</w:t>
      </w:r>
      <w:r>
        <w:rPr>
          <w:rFonts w:ascii="仿宋_GB2312" w:hAnsi="仿宋_GB2312" w:eastAsia="仿宋_GB2312" w:cs="仿宋_GB2312"/>
          <w:color w:val="auto"/>
          <w:sz w:val="32"/>
          <w:szCs w:val="32"/>
          <w:highlight w:val="none"/>
        </w:rPr>
        <w:t xml:space="preserve"> </w:t>
      </w:r>
    </w:p>
    <w:p w14:paraId="0E660131">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年来，我校教师在繁重的工作任务面前，任劳任怨，他们都能够勤勤恳恳地做好本职工作。另外，为了激发教师的主人翁意识，营造团结和谐的校园氛围，我们非常重视校务公开，只要是学校的重大事情，我们都严格按照民主管理的程序，在教师例会上公开讨论，让每一个教师都参与到学校的管理事务中来。可以说，全体教师“心往一处想，劲往一块使”，各项工作能得到大家的响应。</w:t>
      </w:r>
      <w:r>
        <w:rPr>
          <w:rFonts w:ascii="仿宋_GB2312" w:hAnsi="仿宋_GB2312" w:eastAsia="仿宋_GB2312" w:cs="仿宋_GB2312"/>
          <w:color w:val="auto"/>
          <w:sz w:val="32"/>
          <w:szCs w:val="32"/>
          <w:highlight w:val="none"/>
        </w:rPr>
        <w:t>2021</w:t>
      </w:r>
      <w:r>
        <w:rPr>
          <w:rFonts w:hint="eastAsia" w:ascii="仿宋_GB2312" w:hAnsi="仿宋_GB2312" w:eastAsia="仿宋_GB2312" w:cs="仿宋_GB2312"/>
          <w:color w:val="auto"/>
          <w:sz w:val="32"/>
          <w:szCs w:val="32"/>
          <w:highlight w:val="none"/>
        </w:rPr>
        <w:t>年度孙雅琳老师被教育局评为“优秀共产党员。</w:t>
      </w:r>
      <w:r>
        <w:rPr>
          <w:rFonts w:ascii="仿宋_GB2312" w:hAnsi="仿宋_GB2312" w:eastAsia="仿宋_GB2312" w:cs="仿宋_GB2312"/>
          <w:color w:val="auto"/>
          <w:sz w:val="32"/>
          <w:szCs w:val="32"/>
          <w:highlight w:val="none"/>
        </w:rPr>
        <w:t xml:space="preserve">    </w:t>
      </w:r>
    </w:p>
    <w:p w14:paraId="267E793F">
      <w:pPr>
        <w:spacing w:line="5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（二）重常规管理，教研促教，全面提升教学质量</w:t>
      </w:r>
      <w:r>
        <w:rPr>
          <w:rFonts w:ascii="仿宋_GB2312" w:hAnsi="仿宋_GB2312" w:eastAsia="仿宋_GB2312" w:cs="仿宋_GB2312"/>
          <w:b/>
          <w:bCs/>
          <w:color w:val="auto"/>
          <w:sz w:val="32"/>
          <w:szCs w:val="32"/>
          <w:highlight w:val="none"/>
        </w:rPr>
        <w:t xml:space="preserve"> </w:t>
      </w:r>
    </w:p>
    <w:p w14:paraId="769A396D">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狠抓教学常规，强化过程管理。教学常规的落实是提高教学质量的保证。因此，我们在教学管理中，要求教师严格按照教学常规的要求，备课、讲课、布置与批改作业。学校对任课教师从这几方面进行必要的引导和严格的检查。</w:t>
      </w:r>
      <w:r>
        <w:rPr>
          <w:rFonts w:ascii="仿宋_GB2312" w:hAnsi="仿宋_GB2312" w:eastAsia="仿宋_GB2312" w:cs="仿宋_GB2312"/>
          <w:color w:val="auto"/>
          <w:sz w:val="32"/>
          <w:szCs w:val="32"/>
          <w:highlight w:val="none"/>
        </w:rPr>
        <w:t xml:space="preserve"> </w:t>
      </w:r>
    </w:p>
    <w:p w14:paraId="338D7C23">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、坚持校本教研，提高课堂效率。课堂教学的优劣是反映教学质量高低的主要因素，而提高课堂教学效率关键是依靠教师的业务素质。这学年我们的公开课活动要求每个教师认真做好“四个一”</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写一篇教案，说一课设计，上一节公开课，写一篇反思。教师在听课评课过程中，开诚布公地指出课堂教学的优缺点，讲课教师作自我反思和总结。此外，我校认真组织“备好课”专题校本培训，引导教师走专业成长道路。由于措施得力，学校教研气氛浓厚，在空堂和下课期间，教师探讨的、大都是“如何教书，怎样提高教学成绩”的问题，还经常出现互相争论的现象。</w:t>
      </w:r>
      <w:r>
        <w:rPr>
          <w:rFonts w:ascii="仿宋_GB2312" w:hAnsi="仿宋_GB2312" w:eastAsia="仿宋_GB2312" w:cs="仿宋_GB2312"/>
          <w:color w:val="auto"/>
          <w:sz w:val="32"/>
          <w:szCs w:val="32"/>
          <w:highlight w:val="none"/>
        </w:rPr>
        <w:t xml:space="preserve"> </w:t>
      </w:r>
    </w:p>
    <w:p w14:paraId="6AC360AF">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抓好单元测验和课外辅导，重视培优和转差工作。由于种种原因，我校各个班级都不同程度地存在“差生较多、优生群体小”的现象。但是，我们教师坚持“只讲主观，不谈客观”的原则，树立“没有教不好的学生，只有教不好的老师”的观念，努力做好作业设计和批改，做好单元测试工作，一手抓差生转化，一手抓优生培养，最大限度地提高学生的学科成绩，由于措施得力，我校总体成绩稳中有升。</w:t>
      </w:r>
    </w:p>
    <w:p w14:paraId="4BFA854A">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4</w:t>
      </w:r>
      <w:r>
        <w:rPr>
          <w:rFonts w:ascii="仿宋_GB2312" w:hAnsi="仿宋_GB2312" w:eastAsia="仿宋_GB2312" w:cs="仿宋_GB2312"/>
          <w:b/>
          <w:bCs/>
          <w:color w:val="auto"/>
          <w:sz w:val="32"/>
          <w:szCs w:val="32"/>
          <w:highlight w:val="none"/>
        </w:rPr>
        <w:t>.</w:t>
      </w:r>
      <w:r>
        <w:rPr>
          <w:rFonts w:hint="eastAsia" w:ascii="仿宋_GB2312" w:hAnsi="仿宋_GB2312" w:eastAsia="仿宋_GB2312" w:cs="仿宋_GB2312"/>
          <w:color w:val="auto"/>
          <w:sz w:val="32"/>
          <w:szCs w:val="32"/>
          <w:highlight w:val="none"/>
        </w:rPr>
        <w:t>活动促学，教研促教，注重青年教师培养。教学质量通过教师的方法和手段来展现，而教学活动是载体，我校采取活动促学、教研促学的方法，每期中年教师上好一堂示范课，年轻教师上好一堂合格课，逐步形成了你追我赶的教研氛围；加大青年教师的培养力度，不定期召开青年教师座谈会，采用结对子学习，互相听课，教学大比武等教研活动促进了教学质量的提高。本学年派出</w:t>
      </w:r>
      <w:r>
        <w:rPr>
          <w:rFonts w:ascii="仿宋_GB2312" w:hAnsi="仿宋_GB2312" w:eastAsia="仿宋_GB2312" w:cs="仿宋_GB2312"/>
          <w:color w:val="auto"/>
          <w:sz w:val="32"/>
          <w:szCs w:val="32"/>
          <w:highlight w:val="none"/>
        </w:rPr>
        <w:t>11</w:t>
      </w:r>
      <w:r>
        <w:rPr>
          <w:rFonts w:hint="eastAsia" w:ascii="仿宋_GB2312" w:hAnsi="仿宋_GB2312" w:eastAsia="仿宋_GB2312" w:cs="仿宋_GB2312"/>
          <w:color w:val="auto"/>
          <w:sz w:val="32"/>
          <w:szCs w:val="32"/>
          <w:highlight w:val="none"/>
        </w:rPr>
        <w:t>位年轻教师参加省市区组织的各项培训，提高了年轻教师业务能力。孙雅琳、马小艳、罗玉凤等多位教师已经成为教学上的一把好手，成为了学校的中坚力量，为学校教育教学质量的稳步提升。重课改和课题研究，组织教师集中学习全国先进教学思想，区级课题《农村小学生反思能力的策略研究》的研究，取得了阶段性成果。</w:t>
      </w:r>
    </w:p>
    <w:p w14:paraId="1C8614BE">
      <w:pPr>
        <w:spacing w:line="5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（三）全力打好防疫阻击战，努力创建平安校园</w:t>
      </w:r>
    </w:p>
    <w:p w14:paraId="13FAD711">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一年来，学校将安全工作作为</w:t>
      </w:r>
      <w:r>
        <w:rPr>
          <w:rFonts w:hint="eastAsia" w:ascii="仿宋_GB2312" w:hAnsi="仿宋_GB2312" w:eastAsia="仿宋_GB2312" w:cs="仿宋_GB2312"/>
          <w:color w:val="auto"/>
          <w:sz w:val="32"/>
          <w:szCs w:val="32"/>
          <w:highlight w:val="none"/>
          <w:lang w:eastAsia="zh-CN"/>
        </w:rPr>
        <w:t>重中之重</w:t>
      </w:r>
      <w:r>
        <w:rPr>
          <w:rFonts w:hint="eastAsia" w:ascii="仿宋_GB2312" w:hAnsi="仿宋_GB2312" w:eastAsia="仿宋_GB2312" w:cs="仿宋_GB2312"/>
          <w:color w:val="auto"/>
          <w:sz w:val="32"/>
          <w:szCs w:val="32"/>
          <w:highlight w:val="none"/>
        </w:rPr>
        <w:t>来抓，首先建立健全了校园安全领导组织机构，制定了校园安全防范各项制度和应急预案，与全体教职工签订了安全责任书，针对可能存在的安全隐患，出台了一系列安全措施，严格执行安全日报制度，班内每半月开一次安全教育主题班会，让全校师生把安全记在心上，落实在行动上。为了让学生增强安全意识，校长、班主任、家长、学生共同签了安全责任书。学生在放学期间，家长护送。优化细化疫情防控“四案”、“九制”；严格错时错峰分段按时开学，开学报到井然有序；开学后学校封闭管理，严格执行师生“三检”，学校环境消杀和通风，学生就餐和休息分段分时进行；学生上</w:t>
      </w:r>
      <w:bookmarkStart w:id="120" w:name="_GoBack"/>
      <w:bookmarkEnd w:id="120"/>
      <w:r>
        <w:rPr>
          <w:rFonts w:hint="eastAsia" w:ascii="仿宋_GB2312" w:hAnsi="仿宋_GB2312" w:eastAsia="仿宋_GB2312" w:cs="仿宋_GB2312"/>
          <w:color w:val="auto"/>
          <w:sz w:val="32"/>
          <w:szCs w:val="32"/>
          <w:highlight w:val="none"/>
        </w:rPr>
        <w:t>学、放学严格按照错时错峰分段进行，特别是学生进校体温监测和健康扫码，坚持每天日报告制和零报告制度。学校食品安全卫生工作常抓不懈，常态化开展食堂管理人员和从业人员安全只培训和规范操作培训，同时不定期开展督查和指导；食堂管理运行正常，制度完善，管理人员分工明确，各项记录规范。一年来，学校在全体师生和家长的支持下无安全事故发生。</w:t>
      </w:r>
      <w:r>
        <w:rPr>
          <w:rFonts w:ascii="仿宋_GB2312" w:hAnsi="仿宋_GB2312" w:eastAsia="仿宋_GB2312" w:cs="仿宋_GB2312"/>
          <w:color w:val="auto"/>
          <w:sz w:val="32"/>
          <w:szCs w:val="32"/>
          <w:highlight w:val="none"/>
        </w:rPr>
        <w:t xml:space="preserve"> </w:t>
      </w:r>
    </w:p>
    <w:p w14:paraId="03746B3F">
      <w:pPr>
        <w:spacing w:line="600" w:lineRule="exact"/>
        <w:ind w:firstLine="643" w:firstLineChars="200"/>
        <w:jc w:val="left"/>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（四）抓实德育活动，促进学生全面健康发展</w:t>
      </w:r>
    </w:p>
    <w:p w14:paraId="160F821A">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一是坚持做好了以为感恩、奋进为主题的每周一国旗下演讲活动。二是利用节庆日做好感恩教育和红色爱国主义教育。例如：</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月，学校开展了“学雷锋，树新风”文明礼貌月活动，评选校园之星，树立学生学习榜样；</w:t>
      </w: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月清明节，全体师生文明祭扫，敬献花篮，瞻仰革命先烈等活动；</w:t>
      </w:r>
      <w:r>
        <w:rPr>
          <w:rFonts w:ascii="仿宋_GB2312" w:hAnsi="仿宋_GB2312" w:eastAsia="仿宋_GB2312" w:cs="仿宋_GB2312"/>
          <w:color w:val="auto"/>
          <w:sz w:val="32"/>
          <w:szCs w:val="32"/>
          <w:highlight w:val="none"/>
        </w:rPr>
        <w:t xml:space="preserve"> 5</w:t>
      </w:r>
      <w:r>
        <w:rPr>
          <w:rFonts w:hint="eastAsia" w:ascii="仿宋_GB2312" w:hAnsi="仿宋_GB2312" w:eastAsia="仿宋_GB2312" w:cs="仿宋_GB2312"/>
          <w:color w:val="auto"/>
          <w:sz w:val="32"/>
          <w:szCs w:val="32"/>
          <w:highlight w:val="none"/>
        </w:rPr>
        <w:t>月开展“‘卫生习惯从我做起’活动月；六月开展庆六一儿童文艺汇演；</w:t>
      </w:r>
      <w:r>
        <w:rPr>
          <w:rFonts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rPr>
        <w:t>月学校举行了庆祝教师节、中秋节，感恩父母、感恩老师的征文及黑板报评比活动；</w:t>
      </w:r>
      <w:r>
        <w:rPr>
          <w:rFonts w:ascii="仿宋_GB2312" w:hAnsi="仿宋_GB2312" w:eastAsia="仿宋_GB2312" w:cs="仿宋_GB2312"/>
          <w:color w:val="auto"/>
          <w:sz w:val="32"/>
          <w:szCs w:val="32"/>
          <w:highlight w:val="none"/>
        </w:rPr>
        <w:t>10</w:t>
      </w:r>
      <w:r>
        <w:rPr>
          <w:rFonts w:hint="eastAsia" w:ascii="仿宋_GB2312" w:hAnsi="仿宋_GB2312" w:eastAsia="仿宋_GB2312" w:cs="仿宋_GB2312"/>
          <w:color w:val="auto"/>
          <w:sz w:val="32"/>
          <w:szCs w:val="32"/>
          <w:highlight w:val="none"/>
        </w:rPr>
        <w:t>月</w:t>
      </w:r>
      <w:r>
        <w:rPr>
          <w:rFonts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rPr>
        <w:t>“励志中国梦</w:t>
      </w:r>
      <w:r>
        <w:rPr>
          <w:rFonts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rPr>
        <w:t>感恩在心中”系列活动；</w:t>
      </w:r>
      <w:r>
        <w:rPr>
          <w:rFonts w:ascii="仿宋_GB2312" w:hAnsi="仿宋_GB2312" w:eastAsia="仿宋_GB2312" w:cs="仿宋_GB2312"/>
          <w:color w:val="auto"/>
          <w:sz w:val="32"/>
          <w:szCs w:val="32"/>
          <w:highlight w:val="none"/>
        </w:rPr>
        <w:t>11</w:t>
      </w:r>
      <w:r>
        <w:rPr>
          <w:rFonts w:hint="eastAsia" w:ascii="仿宋_GB2312" w:hAnsi="仿宋_GB2312" w:eastAsia="仿宋_GB2312" w:cs="仿宋_GB2312"/>
          <w:color w:val="auto"/>
          <w:sz w:val="32"/>
          <w:szCs w:val="32"/>
          <w:highlight w:val="none"/>
        </w:rPr>
        <w:t>月举办了秋季球类运动会，</w:t>
      </w:r>
      <w:r>
        <w:rPr>
          <w:rFonts w:ascii="仿宋_GB2312" w:hAnsi="仿宋_GB2312" w:eastAsia="仿宋_GB2312" w:cs="仿宋_GB2312"/>
          <w:color w:val="auto"/>
          <w:sz w:val="32"/>
          <w:szCs w:val="32"/>
          <w:highlight w:val="none"/>
        </w:rPr>
        <w:t>12</w:t>
      </w:r>
      <w:r>
        <w:rPr>
          <w:rFonts w:hint="eastAsia" w:ascii="仿宋_GB2312" w:hAnsi="仿宋_GB2312" w:eastAsia="仿宋_GB2312" w:cs="仿宋_GB2312"/>
          <w:color w:val="auto"/>
          <w:sz w:val="32"/>
          <w:szCs w:val="32"/>
          <w:highlight w:val="none"/>
        </w:rPr>
        <w:t>月举办了庆元旦系列活动。同时依托少年宫为主阵地，开设美术、书法、篮球、足球、声乐等社团，通过活动使学生特长得到发展，个性得到张扬，提高了学生素养，让师生在快乐中学习，在活动中锻炼，展现了我校的青春与活力。</w:t>
      </w:r>
    </w:p>
    <w:p w14:paraId="2651E8B4">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我校获得</w:t>
      </w:r>
      <w:r>
        <w:rPr>
          <w:rFonts w:ascii="仿宋_GB2312" w:hAnsi="仿宋_GB2312" w:eastAsia="仿宋_GB2312" w:cs="仿宋_GB2312"/>
          <w:color w:val="auto"/>
          <w:sz w:val="32"/>
          <w:szCs w:val="32"/>
          <w:highlight w:val="none"/>
        </w:rPr>
        <w:t>2021</w:t>
      </w:r>
      <w:r>
        <w:rPr>
          <w:rFonts w:hint="eastAsia" w:ascii="仿宋_GB2312" w:hAnsi="仿宋_GB2312" w:eastAsia="仿宋_GB2312" w:cs="仿宋_GB2312"/>
          <w:color w:val="auto"/>
          <w:sz w:val="32"/>
          <w:szCs w:val="32"/>
          <w:highlight w:val="none"/>
        </w:rPr>
        <w:t>年昭化区青少年校园足球联赛同类小学男女五、六名的成绩；广元市艺术人才大赛获得</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个一等奖，</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个二等奖，</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个三等奖的好成绩。</w:t>
      </w:r>
    </w:p>
    <w:p w14:paraId="7AC00730">
      <w:pPr>
        <w:spacing w:line="5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（五）多措并举促教育，大力改善办学环境</w:t>
      </w:r>
    </w:p>
    <w:p w14:paraId="2F5B1749">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月，阳光大地房地产有限公司捐赠近</w:t>
      </w:r>
      <w:r>
        <w:rPr>
          <w:rFonts w:ascii="仿宋_GB2312" w:hAnsi="仿宋_GB2312" w:eastAsia="仿宋_GB2312" w:cs="仿宋_GB2312"/>
          <w:color w:val="auto"/>
          <w:sz w:val="32"/>
          <w:szCs w:val="32"/>
          <w:highlight w:val="none"/>
        </w:rPr>
        <w:t>1.5</w:t>
      </w:r>
      <w:r>
        <w:rPr>
          <w:rFonts w:hint="eastAsia" w:ascii="仿宋_GB2312" w:hAnsi="仿宋_GB2312" w:eastAsia="仿宋_GB2312" w:cs="仿宋_GB2312"/>
          <w:color w:val="auto"/>
          <w:sz w:val="32"/>
          <w:szCs w:val="32"/>
          <w:highlight w:val="none"/>
        </w:rPr>
        <w:t>万元的图书设备，建立了阳光书屋；</w:t>
      </w:r>
      <w:r>
        <w:rPr>
          <w:rFonts w:ascii="仿宋_GB2312" w:hAnsi="仿宋_GB2312" w:eastAsia="仿宋_GB2312" w:cs="仿宋_GB2312"/>
          <w:color w:val="auto"/>
          <w:sz w:val="32"/>
          <w:szCs w:val="32"/>
          <w:highlight w:val="none"/>
        </w:rPr>
        <w:t>10</w:t>
      </w:r>
      <w:r>
        <w:rPr>
          <w:rFonts w:hint="eastAsia" w:ascii="仿宋_GB2312" w:hAnsi="仿宋_GB2312" w:eastAsia="仿宋_GB2312" w:cs="仿宋_GB2312"/>
          <w:color w:val="auto"/>
          <w:sz w:val="32"/>
          <w:szCs w:val="32"/>
          <w:highlight w:val="none"/>
        </w:rPr>
        <w:t>月完成学校舞蹈室的建设和电路改造；</w:t>
      </w:r>
      <w:r>
        <w:rPr>
          <w:rFonts w:ascii="仿宋_GB2312" w:hAnsi="仿宋_GB2312" w:eastAsia="仿宋_GB2312" w:cs="仿宋_GB2312"/>
          <w:color w:val="auto"/>
          <w:sz w:val="32"/>
          <w:szCs w:val="32"/>
          <w:highlight w:val="none"/>
        </w:rPr>
        <w:t>11</w:t>
      </w:r>
      <w:r>
        <w:rPr>
          <w:rFonts w:hint="eastAsia" w:ascii="仿宋_GB2312" w:hAnsi="仿宋_GB2312" w:eastAsia="仿宋_GB2312" w:cs="仿宋_GB2312"/>
          <w:color w:val="auto"/>
          <w:sz w:val="32"/>
          <w:szCs w:val="32"/>
          <w:highlight w:val="none"/>
        </w:rPr>
        <w:t>月完成学校自来水管网和消防管网的改造，学校硬件设施得到进一步改善，优化了办学环境。</w:t>
      </w:r>
    </w:p>
    <w:p w14:paraId="1D119FE7">
      <w:pPr>
        <w:pStyle w:val="28"/>
        <w:spacing w:line="500" w:lineRule="exact"/>
        <w:ind w:firstLine="31680"/>
        <w:rPr>
          <w:rFonts w:ascii="黑体" w:hAnsi="黑体" w:eastAsia="黑体" w:cs="黑体"/>
          <w:color w:val="auto"/>
          <w:sz w:val="32"/>
          <w:szCs w:val="32"/>
          <w:highlight w:val="none"/>
        </w:rPr>
      </w:pPr>
      <w:r>
        <w:rPr>
          <w:rFonts w:hint="eastAsia" w:ascii="黑体" w:hAnsi="黑体" w:eastAsia="黑体" w:cs="黑体"/>
          <w:b/>
          <w:bCs/>
          <w:color w:val="auto"/>
          <w:sz w:val="32"/>
          <w:szCs w:val="32"/>
          <w:highlight w:val="none"/>
        </w:rPr>
        <w:t>三、工作特色及亮点</w:t>
      </w:r>
      <w:r>
        <w:rPr>
          <w:rFonts w:hint="eastAsia" w:ascii="黑体" w:hAnsi="黑体" w:eastAsia="黑体" w:cs="黑体"/>
          <w:color w:val="auto"/>
          <w:sz w:val="32"/>
          <w:szCs w:val="32"/>
          <w:highlight w:val="none"/>
        </w:rPr>
        <w:t>：</w:t>
      </w:r>
    </w:p>
    <w:p w14:paraId="5BC497E7">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、加强学校制度建设，做到学校工作有章可循，奖惩分明，规范有序；</w:t>
      </w:r>
    </w:p>
    <w:p w14:paraId="5BF7B77F">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、注重青年教师的培养，教育教学水平和业务能力大提升；</w:t>
      </w:r>
    </w:p>
    <w:p w14:paraId="56BE1784">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、强管理，重过程，努力打造有效课堂，学校教育教学质量提升快；</w:t>
      </w:r>
    </w:p>
    <w:p w14:paraId="52732AB0">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、科学规划，精心打造校园文化、美化、绿化，学校育人环境变化大；</w:t>
      </w:r>
    </w:p>
    <w:p w14:paraId="67683ED2">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、学校德育活动丰富多彩，手工制作、书法、舞蹈、绘画、体育等社团建设特色显著，学生文明素养大提高；</w:t>
      </w:r>
    </w:p>
    <w:p w14:paraId="47DFA848">
      <w:pPr>
        <w:spacing w:line="500" w:lineRule="exact"/>
        <w:ind w:firstLine="643" w:firstLineChars="200"/>
        <w:rPr>
          <w:rFonts w:ascii="黑体" w:hAnsi="黑体" w:eastAsia="黑体" w:cs="黑体"/>
          <w:color w:val="auto"/>
          <w:sz w:val="32"/>
          <w:szCs w:val="32"/>
          <w:highlight w:val="none"/>
        </w:rPr>
      </w:pPr>
      <w:r>
        <w:rPr>
          <w:rFonts w:hint="eastAsia" w:ascii="黑体" w:hAnsi="黑体" w:eastAsia="黑体" w:cs="黑体"/>
          <w:b/>
          <w:bCs/>
          <w:color w:val="auto"/>
          <w:sz w:val="32"/>
          <w:szCs w:val="32"/>
          <w:highlight w:val="none"/>
        </w:rPr>
        <w:t>四、存在的困难与不足</w:t>
      </w:r>
    </w:p>
    <w:p w14:paraId="5EE8A357">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、领导班子的执行力还需加强；</w:t>
      </w:r>
    </w:p>
    <w:p w14:paraId="0316293C">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、学校文化内涵不够，有待继续挖掘提高文化育人环境；</w:t>
      </w:r>
    </w:p>
    <w:p w14:paraId="42678DEE">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、学校常规工作还需做到常态化、精细化；</w:t>
      </w:r>
    </w:p>
    <w:p w14:paraId="451276AD">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、学校管理制度需要进一步完善和科学化、人文化；</w:t>
      </w:r>
    </w:p>
    <w:p w14:paraId="2CE531D2">
      <w:pPr>
        <w:spacing w:line="5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、因学校地处偏远，条件较差，需进一步加大对教师的关爱工作</w:t>
      </w:r>
      <w:r>
        <w:rPr>
          <w:rFonts w:ascii="仿宋_GB2312" w:hAnsi="仿宋_GB2312" w:eastAsia="仿宋_GB2312" w:cs="仿宋_GB2312"/>
          <w:color w:val="auto"/>
          <w:sz w:val="32"/>
          <w:szCs w:val="32"/>
          <w:highlight w:val="none"/>
        </w:rPr>
        <w:t>;</w:t>
      </w:r>
    </w:p>
    <w:p w14:paraId="14232A56">
      <w:pPr>
        <w:spacing w:line="500" w:lineRule="exact"/>
        <w:ind w:firstLine="640" w:firstLineChars="200"/>
        <w:rPr>
          <w:rFonts w:ascii="仿宋_GB2312" w:hAnsi="仿宋_GB2312" w:eastAsia="仿宋_GB2312" w:cs="仿宋_GB2312"/>
          <w:b/>
          <w:bCs/>
          <w:color w:val="auto"/>
          <w:sz w:val="32"/>
          <w:szCs w:val="32"/>
          <w:highlight w:val="none"/>
        </w:rPr>
      </w:pP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、学校维修项目多，差旅费开支大，资金使用紧张。</w:t>
      </w:r>
    </w:p>
    <w:p w14:paraId="15658197">
      <w:pPr>
        <w:spacing w:line="50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五、今后努力的方向</w:t>
      </w:r>
    </w:p>
    <w:p w14:paraId="1965C4FB">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一是加强全校教职工思想道德建设和业务能力的学习培训，打造一支爱岗敬业、业务精湛的队伍。</w:t>
      </w:r>
    </w:p>
    <w:p w14:paraId="0DE93825">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二是进一步改善办学环境，做到教师安心教，尽心教；学生勤奋学，快乐学。</w:t>
      </w:r>
    </w:p>
    <w:p w14:paraId="20AB583B">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三是切实提高教育教学质量，扩大宣传，凸显亮点，努力提高办学效益。</w:t>
      </w:r>
    </w:p>
    <w:p w14:paraId="642D9069">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四是开展好少年宫社团活动，努力打造学校特色。</w:t>
      </w:r>
    </w:p>
    <w:p w14:paraId="4452734F">
      <w:pPr>
        <w:spacing w:line="5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各位领导，各位老师，一年来，我们的工作取得了一定的成效，但我们更要看到自己的差距。下一个年度，我们将继续努力，开拓创新，为昭化的教育做出更大的贡献。</w:t>
      </w:r>
    </w:p>
    <w:p w14:paraId="3D4DAD92">
      <w:pPr>
        <w:pStyle w:val="3"/>
        <w:bidi w:val="0"/>
        <w:rPr>
          <w:rFonts w:hint="eastAsia"/>
          <w:color w:val="auto"/>
          <w:highlight w:val="none"/>
        </w:rPr>
      </w:pPr>
      <w:r>
        <w:rPr>
          <w:rFonts w:hint="eastAsia"/>
          <w:color w:val="auto"/>
          <w:highlight w:val="none"/>
        </w:rPr>
        <w:t>第二部分 2021年度单位决算情况说明</w:t>
      </w:r>
      <w:bookmarkEnd w:id="31"/>
      <w:bookmarkEnd w:id="32"/>
      <w:bookmarkEnd w:id="33"/>
      <w:bookmarkEnd w:id="34"/>
    </w:p>
    <w:p w14:paraId="46417D2E">
      <w:pPr>
        <w:pStyle w:val="4"/>
        <w:numPr>
          <w:ilvl w:val="0"/>
          <w:numId w:val="2"/>
        </w:numPr>
        <w:bidi w:val="0"/>
        <w:ind w:left="0" w:leftChars="0" w:firstLine="643" w:firstLineChars="200"/>
        <w:rPr>
          <w:rFonts w:hint="eastAsia"/>
          <w:color w:val="auto"/>
          <w:highlight w:val="none"/>
        </w:rPr>
      </w:pPr>
      <w:bookmarkStart w:id="35" w:name="_Toc15396603"/>
      <w:bookmarkStart w:id="36" w:name="_Toc5075"/>
      <w:bookmarkStart w:id="37" w:name="_Toc15377205"/>
      <w:bookmarkStart w:id="38" w:name="_Toc28278"/>
      <w:r>
        <w:rPr>
          <w:rFonts w:hint="eastAsia"/>
          <w:color w:val="auto"/>
          <w:highlight w:val="none"/>
        </w:rPr>
        <w:t>收入支出决算总体情况说明</w:t>
      </w:r>
      <w:bookmarkEnd w:id="35"/>
      <w:bookmarkEnd w:id="36"/>
      <w:bookmarkEnd w:id="37"/>
      <w:bookmarkEnd w:id="38"/>
    </w:p>
    <w:p w14:paraId="35F91C98">
      <w:pPr>
        <w:spacing w:line="600" w:lineRule="exact"/>
        <w:ind w:firstLine="640" w:firstLineChars="200"/>
        <w:outlineLvl w:val="1"/>
        <w:rPr>
          <w:rFonts w:hint="eastAsia" w:ascii="仿宋" w:hAnsi="仿宋" w:eastAsia="仿宋" w:cs="仿宋"/>
          <w:color w:val="auto"/>
          <w:highlight w:val="none"/>
          <w:lang w:eastAsia="zh-CN"/>
        </w:rPr>
      </w:pPr>
      <w:bookmarkStart w:id="39" w:name="_Toc9801"/>
      <w:bookmarkStart w:id="40" w:name="_Toc20192"/>
      <w:bookmarkStart w:id="41"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522.05</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120.06</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18.70</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bookmarkEnd w:id="39"/>
      <w:bookmarkEnd w:id="40"/>
      <w:bookmarkEnd w:id="41"/>
    </w:p>
    <w:p w14:paraId="27693C44">
      <w:pPr>
        <w:pStyle w:val="4"/>
        <w:numPr>
          <w:ilvl w:val="0"/>
          <w:numId w:val="2"/>
        </w:numPr>
        <w:bidi w:val="0"/>
        <w:ind w:left="0" w:leftChars="0" w:firstLine="643" w:firstLineChars="200"/>
        <w:rPr>
          <w:rFonts w:hint="eastAsia"/>
          <w:color w:val="auto"/>
          <w:highlight w:val="none"/>
        </w:rPr>
      </w:pPr>
      <w:bookmarkStart w:id="42" w:name="_Toc15377206"/>
      <w:bookmarkStart w:id="43" w:name="_Toc9393"/>
      <w:bookmarkStart w:id="44" w:name="_Toc11923"/>
      <w:bookmarkStart w:id="45" w:name="_Toc15396604"/>
      <w:r>
        <w:rPr>
          <w:rFonts w:hint="eastAsia"/>
          <w:color w:val="auto"/>
          <w:highlight w:val="none"/>
          <w:lang w:eastAsia="zh-CN"/>
        </w:rPr>
        <w:drawing>
          <wp:anchor distT="0" distB="0" distL="114300" distR="114300" simplePos="0" relativeHeight="251663360" behindDoc="0" locked="0" layoutInCell="1" allowOverlap="1">
            <wp:simplePos x="0" y="0"/>
            <wp:positionH relativeFrom="column">
              <wp:posOffset>207010</wp:posOffset>
            </wp:positionH>
            <wp:positionV relativeFrom="paragraph">
              <wp:posOffset>37465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color w:val="auto"/>
          <w:highlight w:val="none"/>
        </w:rPr>
        <w:t>收入决算情况说明</w:t>
      </w:r>
      <w:bookmarkEnd w:id="42"/>
      <w:bookmarkEnd w:id="43"/>
      <w:bookmarkEnd w:id="44"/>
      <w:bookmarkEnd w:id="45"/>
    </w:p>
    <w:p w14:paraId="0CC4A1B3">
      <w:pPr>
        <w:spacing w:line="600" w:lineRule="exact"/>
        <w:ind w:firstLine="420" w:firstLineChars="200"/>
        <w:outlineLvl w:val="1"/>
        <w:rPr>
          <w:rFonts w:ascii="仿宋" w:hAnsi="仿宋" w:eastAsia="仿宋"/>
          <w:color w:val="auto"/>
          <w:sz w:val="32"/>
          <w:szCs w:val="32"/>
          <w:highlight w:val="none"/>
        </w:rPr>
      </w:pPr>
      <w:bookmarkStart w:id="46" w:name="_Toc25597"/>
      <w:r>
        <w:rPr>
          <w:rFonts w:hint="eastAsia" w:eastAsia="宋体"/>
          <w:color w:val="auto"/>
          <w:highlight w:val="none"/>
          <w:lang w:eastAsia="zh-CN"/>
        </w:rPr>
        <w:drawing>
          <wp:anchor distT="0" distB="0" distL="114300" distR="114300" simplePos="0" relativeHeight="251664384" behindDoc="0" locked="0" layoutInCell="1" allowOverlap="1">
            <wp:simplePos x="0" y="0"/>
            <wp:positionH relativeFrom="column">
              <wp:posOffset>-128905</wp:posOffset>
            </wp:positionH>
            <wp:positionV relativeFrom="paragraph">
              <wp:posOffset>1306830</wp:posOffset>
            </wp:positionV>
            <wp:extent cx="5584825" cy="2199640"/>
            <wp:effectExtent l="4445" t="4445" r="11430" b="5715"/>
            <wp:wrapTopAndBottom/>
            <wp:docPr id="1" name="图表 1"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522.05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520.57</w:t>
      </w:r>
      <w:r>
        <w:rPr>
          <w:rFonts w:hint="eastAsia" w:ascii="仿宋" w:hAnsi="仿宋" w:eastAsia="仿宋"/>
          <w:color w:val="auto"/>
          <w:sz w:val="32"/>
          <w:szCs w:val="32"/>
          <w:highlight w:val="none"/>
        </w:rPr>
        <w:t>万元，</w:t>
      </w:r>
      <w:bookmarkEnd w:id="46"/>
      <w:r>
        <w:rPr>
          <w:rFonts w:hint="eastAsia" w:ascii="仿宋" w:hAnsi="仿宋" w:eastAsia="仿宋"/>
          <w:color w:val="auto"/>
          <w:sz w:val="32"/>
          <w:szCs w:val="32"/>
          <w:highlight w:val="none"/>
        </w:rPr>
        <w:t>占</w:t>
      </w:r>
      <w:r>
        <w:rPr>
          <w:rFonts w:ascii="仿宋" w:hAnsi="仿宋" w:eastAsia="仿宋"/>
          <w:color w:val="auto"/>
          <w:sz w:val="32"/>
          <w:szCs w:val="32"/>
          <w:highlight w:val="none"/>
        </w:rPr>
        <w:t>99.72%</w:t>
      </w:r>
      <w:r>
        <w:rPr>
          <w:rFonts w:hint="eastAsia" w:ascii="仿宋" w:hAnsi="仿宋" w:eastAsia="仿宋"/>
          <w:color w:val="auto"/>
          <w:sz w:val="32"/>
          <w:szCs w:val="32"/>
          <w:highlight w:val="none"/>
        </w:rPr>
        <w:t>；政府性基金预算财政拨款收入</w:t>
      </w:r>
      <w:r>
        <w:rPr>
          <w:rFonts w:ascii="仿宋" w:hAnsi="仿宋" w:eastAsia="仿宋"/>
          <w:color w:val="auto"/>
          <w:sz w:val="32"/>
          <w:szCs w:val="32"/>
          <w:highlight w:val="none"/>
        </w:rPr>
        <w:t>1.48</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0.28%</w:t>
      </w:r>
      <w:r>
        <w:rPr>
          <w:rFonts w:hint="eastAsia" w:ascii="仿宋" w:hAnsi="仿宋" w:eastAsia="仿宋"/>
          <w:color w:val="auto"/>
          <w:sz w:val="32"/>
          <w:szCs w:val="32"/>
          <w:highlight w:val="none"/>
        </w:rPr>
        <w:t>。</w:t>
      </w:r>
    </w:p>
    <w:p w14:paraId="6EE47BCE">
      <w:pPr>
        <w:pStyle w:val="4"/>
        <w:bidi w:val="0"/>
        <w:ind w:left="0" w:leftChars="0" w:firstLine="643" w:firstLineChars="200"/>
        <w:rPr>
          <w:color w:val="auto"/>
          <w:highlight w:val="none"/>
        </w:rPr>
      </w:pPr>
      <w:bookmarkStart w:id="47" w:name="_Toc15377207"/>
      <w:bookmarkStart w:id="48" w:name="_Toc15396605"/>
      <w:bookmarkStart w:id="49" w:name="_Toc12816"/>
      <w:r>
        <w:rPr>
          <w:rFonts w:hint="eastAsia"/>
          <w:color w:val="auto"/>
          <w:highlight w:val="none"/>
          <w:lang w:eastAsia="zh-CN"/>
        </w:rPr>
        <w:t>三、</w:t>
      </w:r>
      <w:r>
        <w:rPr>
          <w:rFonts w:hint="eastAsia"/>
          <w:color w:val="auto"/>
          <w:highlight w:val="none"/>
        </w:rPr>
        <w:t>支出决算情况说明</w:t>
      </w:r>
      <w:bookmarkEnd w:id="47"/>
      <w:bookmarkEnd w:id="48"/>
      <w:bookmarkEnd w:id="49"/>
    </w:p>
    <w:p w14:paraId="087E22A9">
      <w:pPr>
        <w:spacing w:line="600" w:lineRule="exact"/>
        <w:ind w:firstLine="640" w:firstLineChars="200"/>
        <w:outlineLvl w:val="1"/>
        <w:rPr>
          <w:rFonts w:ascii="仿宋" w:hAnsi="仿宋" w:eastAsia="仿宋"/>
          <w:color w:val="auto"/>
          <w:sz w:val="32"/>
          <w:szCs w:val="32"/>
          <w:highlight w:val="none"/>
        </w:rPr>
      </w:pPr>
      <w:bookmarkStart w:id="50" w:name="_Toc3107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522.05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392.57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75.20</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129.48万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23.28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p>
    <w:p w14:paraId="5F93CE3F">
      <w:pPr>
        <w:pStyle w:val="4"/>
        <w:bidi w:val="0"/>
        <w:rPr>
          <w:color w:val="auto"/>
          <w:highlight w:val="none"/>
        </w:rPr>
      </w:pPr>
      <w:bookmarkStart w:id="51" w:name="_Toc15396606"/>
      <w:bookmarkStart w:id="52" w:name="_Toc15377208"/>
      <w:bookmarkStart w:id="53" w:name="_Toc20083"/>
      <w:r>
        <w:rPr>
          <w:rFonts w:hint="eastAsia"/>
          <w:color w:val="auto"/>
          <w:highlight w:val="none"/>
        </w:rPr>
        <w:t>四、财政拨款收入支出决算总体情况说明</w:t>
      </w:r>
      <w:bookmarkEnd w:id="51"/>
      <w:bookmarkEnd w:id="52"/>
      <w:bookmarkEnd w:id="53"/>
    </w:p>
    <w:p w14:paraId="0F9E300D">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522.05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120.06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18.70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14:paraId="20E39E70">
      <w:pPr>
        <w:pStyle w:val="16"/>
        <w:rPr>
          <w:color w:val="auto"/>
          <w:highlight w:val="none"/>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5E47FEF">
      <w:pPr>
        <w:pStyle w:val="4"/>
        <w:bidi w:val="0"/>
        <w:rPr>
          <w:color w:val="auto"/>
          <w:highlight w:val="none"/>
        </w:rPr>
      </w:pPr>
      <w:bookmarkStart w:id="54" w:name="_Toc15396607"/>
      <w:bookmarkStart w:id="55" w:name="_Toc15377209"/>
      <w:bookmarkStart w:id="56" w:name="_Toc20242"/>
      <w:r>
        <w:rPr>
          <w:rFonts w:hint="eastAsia"/>
          <w:color w:val="auto"/>
          <w:highlight w:val="none"/>
        </w:rPr>
        <w:t>五、一般公共预算财政拨款支出决算情况说明</w:t>
      </w:r>
      <w:bookmarkEnd w:id="54"/>
      <w:bookmarkEnd w:id="55"/>
      <w:bookmarkEnd w:id="56"/>
    </w:p>
    <w:p w14:paraId="4FA9DC12">
      <w:pPr>
        <w:spacing w:line="600" w:lineRule="exact"/>
        <w:ind w:firstLine="643" w:firstLineChars="200"/>
        <w:outlineLvl w:val="2"/>
        <w:rPr>
          <w:rFonts w:ascii="仿宋" w:hAnsi="仿宋" w:eastAsia="仿宋"/>
          <w:b/>
          <w:color w:val="auto"/>
          <w:sz w:val="32"/>
          <w:szCs w:val="32"/>
          <w:highlight w:val="none"/>
        </w:rPr>
      </w:pPr>
      <w:bookmarkStart w:id="57" w:name="_Toc15377210"/>
      <w:r>
        <w:rPr>
          <w:rFonts w:hint="eastAsia" w:ascii="仿宋" w:hAnsi="仿宋" w:eastAsia="仿宋"/>
          <w:b/>
          <w:color w:val="auto"/>
          <w:sz w:val="32"/>
          <w:szCs w:val="32"/>
          <w:highlight w:val="none"/>
        </w:rPr>
        <w:t>（一）一般公共预算财政拨款支出决算总体情况</w:t>
      </w:r>
      <w:bookmarkEnd w:id="57"/>
    </w:p>
    <w:p w14:paraId="3E0A0C1E">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520.57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99.72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639.11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118.54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18.55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14:paraId="4FCE0573">
      <w:pPr>
        <w:spacing w:line="600" w:lineRule="exact"/>
        <w:ind w:firstLine="643" w:firstLineChars="200"/>
        <w:outlineLvl w:val="2"/>
        <w:rPr>
          <w:rFonts w:ascii="仿宋" w:hAnsi="仿宋" w:eastAsia="仿宋"/>
          <w:b/>
          <w:color w:val="auto"/>
          <w:sz w:val="32"/>
          <w:szCs w:val="32"/>
          <w:highlight w:val="none"/>
        </w:rPr>
      </w:pPr>
      <w:bookmarkStart w:id="58" w:name="_Toc15377211"/>
      <w:r>
        <w:rPr>
          <w:rFonts w:hint="eastAsia" w:ascii="仿宋" w:hAnsi="仿宋" w:eastAsia="仿宋"/>
          <w:b/>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260985</wp:posOffset>
            </wp:positionV>
            <wp:extent cx="5013960" cy="2248535"/>
            <wp:effectExtent l="4445" t="4445" r="10795" b="13970"/>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58"/>
    </w:p>
    <w:p w14:paraId="5E9817ED">
      <w:pPr>
        <w:spacing w:line="600" w:lineRule="exact"/>
        <w:ind w:firstLine="640"/>
        <w:rPr>
          <w:rFonts w:hint="eastAsia" w:ascii="仿宋" w:hAnsi="仿宋" w:eastAsia="仿宋"/>
          <w:color w:val="auto"/>
          <w:sz w:val="32"/>
          <w:szCs w:val="32"/>
          <w:highlight w:val="none"/>
          <w:lang w:val="en-US" w:eastAsia="zh-CN"/>
        </w:rPr>
      </w:pPr>
      <w:r>
        <w:rPr>
          <w:rFonts w:hint="eastAsia" w:ascii="仿宋" w:hAnsi="仿宋" w:eastAsia="仿宋"/>
          <w:b/>
          <w:color w:val="auto"/>
          <w:sz w:val="32"/>
          <w:szCs w:val="32"/>
          <w:highlight w:val="none"/>
        </w:rPr>
        <w:drawing>
          <wp:anchor distT="0" distB="0" distL="114300" distR="114300" simplePos="0" relativeHeight="251665408" behindDoc="0" locked="0" layoutInCell="1" allowOverlap="1">
            <wp:simplePos x="0" y="0"/>
            <wp:positionH relativeFrom="column">
              <wp:posOffset>99695</wp:posOffset>
            </wp:positionH>
            <wp:positionV relativeFrom="paragraph">
              <wp:posOffset>1237615</wp:posOffset>
            </wp:positionV>
            <wp:extent cx="4861560" cy="2228850"/>
            <wp:effectExtent l="5080" t="4445" r="10160" b="14605"/>
            <wp:wrapSquare wrapText="bothSides"/>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lang w:val="en-US" w:eastAsia="zh-CN"/>
        </w:rPr>
        <w:t xml:space="preserve"> </w:t>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520.57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514.16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98.77</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社</w:t>
      </w:r>
      <w:r>
        <w:rPr>
          <w:rFonts w:hint="eastAsia" w:ascii="仿宋" w:hAnsi="仿宋" w:eastAsia="仿宋"/>
          <w:b/>
          <w:bCs/>
          <w:color w:val="auto"/>
          <w:sz w:val="32"/>
          <w:szCs w:val="32"/>
          <w:highlight w:val="none"/>
        </w:rPr>
        <w:t>会保障和就业支出（类）</w:t>
      </w:r>
      <w:r>
        <w:rPr>
          <w:rFonts w:ascii="仿宋" w:hAnsi="仿宋" w:eastAsia="仿宋"/>
          <w:color w:val="auto"/>
          <w:sz w:val="32"/>
          <w:szCs w:val="32"/>
          <w:highlight w:val="none"/>
        </w:rPr>
        <w:t>6.41</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1.23%</w:t>
      </w:r>
      <w:r>
        <w:rPr>
          <w:rFonts w:hint="eastAsia" w:ascii="仿宋" w:hAnsi="仿宋" w:eastAsia="仿宋"/>
          <w:color w:val="auto"/>
          <w:sz w:val="32"/>
          <w:szCs w:val="32"/>
          <w:highlight w:val="none"/>
        </w:rPr>
        <w:t>。</w:t>
      </w:r>
    </w:p>
    <w:p w14:paraId="795D9D6A">
      <w:pPr>
        <w:spacing w:line="600" w:lineRule="exact"/>
        <w:ind w:firstLine="643" w:firstLineChars="200"/>
        <w:jc w:val="left"/>
        <w:rPr>
          <w:rFonts w:ascii="仿宋" w:hAnsi="仿宋" w:eastAsia="仿宋"/>
          <w:b/>
          <w:color w:val="auto"/>
          <w:sz w:val="32"/>
          <w:szCs w:val="32"/>
          <w:highlight w:val="none"/>
        </w:rPr>
      </w:pPr>
      <w:bookmarkStart w:id="59" w:name="_Toc15377212"/>
      <w:r>
        <w:rPr>
          <w:rFonts w:hint="eastAsia" w:ascii="仿宋" w:hAnsi="仿宋" w:eastAsia="仿宋"/>
          <w:b/>
          <w:color w:val="auto"/>
          <w:sz w:val="32"/>
          <w:szCs w:val="32"/>
          <w:highlight w:val="none"/>
        </w:rPr>
        <w:t>（三）一般公共预算财政拨款支出决算具体情况</w:t>
      </w:r>
      <w:bookmarkEnd w:id="59"/>
    </w:p>
    <w:p w14:paraId="26F8E71B">
      <w:pPr>
        <w:spacing w:line="600" w:lineRule="exact"/>
        <w:ind w:firstLine="643" w:firstLineChars="200"/>
        <w:outlineLvl w:val="2"/>
        <w:rPr>
          <w:rFonts w:ascii="仿宋" w:hAnsi="仿宋" w:eastAsia="仿宋"/>
          <w:color w:val="auto"/>
          <w:sz w:val="32"/>
          <w:szCs w:val="32"/>
          <w:highlight w:val="none"/>
        </w:rPr>
      </w:pPr>
      <w:bookmarkStart w:id="60" w:name="_Toc15377213"/>
      <w:bookmarkStart w:id="61" w:name="_Toc15378460"/>
      <w:bookmarkStart w:id="62"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520.57</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60"/>
      <w:bookmarkEnd w:id="61"/>
      <w:bookmarkEnd w:id="62"/>
    </w:p>
    <w:p w14:paraId="2A13EB98">
      <w:pPr>
        <w:numPr>
          <w:ilvl w:val="0"/>
          <w:numId w:val="3"/>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386.16</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393FDEF7">
      <w:pPr>
        <w:numPr>
          <w:ilvl w:val="0"/>
          <w:numId w:val="3"/>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128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73A75A3E">
      <w:pPr>
        <w:numPr>
          <w:ilvl w:val="0"/>
          <w:numId w:val="0"/>
        </w:numPr>
        <w:spacing w:line="600" w:lineRule="exact"/>
        <w:ind w:firstLine="640" w:firstLineChars="200"/>
        <w:rPr>
          <w:rStyle w:val="19"/>
          <w:rFonts w:ascii="仿宋" w:hAnsi="仿宋" w:eastAsia="仿宋"/>
          <w:b w:val="0"/>
          <w:bCs/>
          <w:color w:val="auto"/>
          <w:sz w:val="32"/>
          <w:szCs w:val="32"/>
          <w:highlight w:val="none"/>
        </w:rPr>
      </w:pPr>
      <w:r>
        <w:rPr>
          <w:rStyle w:val="19"/>
          <w:rFonts w:hint="eastAsia" w:ascii="仿宋" w:hAnsi="仿宋" w:eastAsia="仿宋"/>
          <w:b w:val="0"/>
          <w:bCs/>
          <w:color w:val="auto"/>
          <w:sz w:val="32"/>
          <w:szCs w:val="32"/>
          <w:highlight w:val="none"/>
          <w:lang w:val="en-US" w:eastAsia="zh-CN"/>
        </w:rPr>
        <w:t>3.</w:t>
      </w:r>
      <w:r>
        <w:rPr>
          <w:rFonts w:hint="eastAsia" w:ascii="仿宋" w:hAnsi="仿宋" w:eastAsia="仿宋"/>
          <w:b/>
          <w:bCs/>
          <w:color w:val="auto"/>
          <w:sz w:val="32"/>
          <w:szCs w:val="32"/>
          <w:highlight w:val="none"/>
        </w:rPr>
        <w:t>社会保障和就业</w:t>
      </w:r>
      <w:r>
        <w:rPr>
          <w:rFonts w:ascii="仿宋" w:hAnsi="仿宋" w:eastAsia="仿宋"/>
          <w:b/>
          <w:bCs/>
          <w:color w:val="auto"/>
          <w:sz w:val="32"/>
          <w:szCs w:val="32"/>
          <w:highlight w:val="none"/>
        </w:rPr>
        <w:t>208</w:t>
      </w:r>
      <w:r>
        <w:rPr>
          <w:rFonts w:hint="eastAsia" w:ascii="仿宋" w:hAnsi="仿宋" w:eastAsia="仿宋"/>
          <w:b/>
          <w:bCs/>
          <w:color w:val="auto"/>
          <w:sz w:val="32"/>
          <w:szCs w:val="32"/>
          <w:highlight w:val="none"/>
        </w:rPr>
        <w:t>（类）</w:t>
      </w:r>
      <w:r>
        <w:rPr>
          <w:rFonts w:ascii="仿宋" w:hAnsi="仿宋" w:eastAsia="仿宋"/>
          <w:b/>
          <w:bCs/>
          <w:color w:val="auto"/>
          <w:sz w:val="32"/>
          <w:szCs w:val="32"/>
          <w:highlight w:val="none"/>
        </w:rPr>
        <w:t>08</w:t>
      </w:r>
      <w:r>
        <w:rPr>
          <w:rFonts w:hint="eastAsia" w:ascii="仿宋" w:hAnsi="仿宋" w:eastAsia="仿宋"/>
          <w:b/>
          <w:bCs/>
          <w:color w:val="auto"/>
          <w:sz w:val="32"/>
          <w:szCs w:val="32"/>
          <w:highlight w:val="none"/>
        </w:rPr>
        <w:t>（款）</w:t>
      </w:r>
      <w:r>
        <w:rPr>
          <w:rFonts w:ascii="仿宋" w:hAnsi="仿宋" w:eastAsia="仿宋"/>
          <w:b/>
          <w:bCs/>
          <w:color w:val="auto"/>
          <w:sz w:val="32"/>
          <w:szCs w:val="32"/>
          <w:highlight w:val="none"/>
        </w:rPr>
        <w:t>01</w:t>
      </w:r>
      <w:r>
        <w:rPr>
          <w:rFonts w:hint="eastAsia" w:ascii="仿宋" w:hAnsi="仿宋" w:eastAsia="仿宋"/>
          <w:b/>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6.41</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5BE86A2A">
      <w:pPr>
        <w:pStyle w:val="4"/>
        <w:bidi w:val="0"/>
        <w:rPr>
          <w:color w:val="auto"/>
          <w:highlight w:val="none"/>
        </w:rPr>
      </w:pPr>
      <w:bookmarkStart w:id="63" w:name="_Toc15377214"/>
      <w:bookmarkStart w:id="64" w:name="_Toc15396608"/>
      <w:bookmarkStart w:id="65" w:name="_Toc2813"/>
      <w:r>
        <w:rPr>
          <w:rFonts w:hint="eastAsia"/>
          <w:color w:val="auto"/>
          <w:highlight w:val="none"/>
        </w:rPr>
        <w:t>六、一般公共预算财政拨款基本支出决算情况说明</w:t>
      </w:r>
      <w:bookmarkEnd w:id="63"/>
      <w:bookmarkEnd w:id="64"/>
      <w:bookmarkEnd w:id="65"/>
      <w:r>
        <w:rPr>
          <w:color w:val="auto"/>
          <w:highlight w:val="none"/>
        </w:rPr>
        <w:tab/>
      </w:r>
    </w:p>
    <w:p w14:paraId="2AD13D87">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392.57</w:t>
      </w:r>
      <w:r>
        <w:rPr>
          <w:rFonts w:hint="eastAsia" w:ascii="仿宋" w:hAnsi="仿宋" w:eastAsia="仿宋"/>
          <w:color w:val="auto"/>
          <w:sz w:val="32"/>
          <w:szCs w:val="32"/>
          <w:highlight w:val="none"/>
        </w:rPr>
        <w:t>万元，其中：</w:t>
      </w:r>
    </w:p>
    <w:p w14:paraId="349CADFB">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342.95</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其他社会保障缴费、其他工资福利支出、抚恤金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其他个人和家庭的补助支出等。</w:t>
      </w:r>
    </w:p>
    <w:p w14:paraId="5796BB77">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49.62</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129F4358">
      <w:pPr>
        <w:pStyle w:val="4"/>
        <w:bidi w:val="0"/>
        <w:rPr>
          <w:color w:val="auto"/>
          <w:highlight w:val="none"/>
        </w:rPr>
      </w:pPr>
      <w:bookmarkStart w:id="66" w:name="_Toc15396609"/>
      <w:bookmarkStart w:id="67" w:name="_Toc15377215"/>
      <w:bookmarkStart w:id="68" w:name="_Toc9813"/>
      <w:r>
        <w:rPr>
          <w:rFonts w:hint="eastAsia"/>
          <w:color w:val="auto"/>
          <w:highlight w:val="none"/>
        </w:rPr>
        <w:t>七、“三公”经费财政拨款支出决算情况说明</w:t>
      </w:r>
      <w:bookmarkEnd w:id="66"/>
      <w:bookmarkEnd w:id="67"/>
      <w:bookmarkEnd w:id="68"/>
    </w:p>
    <w:p w14:paraId="0B59454D">
      <w:pPr>
        <w:spacing w:line="600" w:lineRule="exact"/>
        <w:ind w:firstLine="640"/>
        <w:outlineLvl w:val="2"/>
        <w:rPr>
          <w:rFonts w:ascii="仿宋" w:hAnsi="仿宋" w:eastAsia="仿宋"/>
          <w:b/>
          <w:color w:val="auto"/>
          <w:sz w:val="32"/>
          <w:szCs w:val="32"/>
          <w:highlight w:val="none"/>
        </w:rPr>
      </w:pPr>
      <w:bookmarkStart w:id="69" w:name="_Toc15377216"/>
      <w:r>
        <w:rPr>
          <w:rFonts w:hint="eastAsia" w:ascii="仿宋" w:hAnsi="仿宋" w:eastAsia="仿宋"/>
          <w:b/>
          <w:color w:val="auto"/>
          <w:sz w:val="32"/>
          <w:szCs w:val="32"/>
          <w:highlight w:val="none"/>
        </w:rPr>
        <w:t>（一）“三公”经费财政拨款支出决算总体情况说明</w:t>
      </w:r>
      <w:bookmarkEnd w:id="69"/>
    </w:p>
    <w:p w14:paraId="288ECB9E">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3.33</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146B5A7C">
      <w:pPr>
        <w:spacing w:line="600" w:lineRule="exact"/>
        <w:ind w:firstLine="640"/>
        <w:outlineLvl w:val="2"/>
        <w:rPr>
          <w:rFonts w:ascii="仿宋" w:hAnsi="仿宋" w:eastAsia="仿宋"/>
          <w:b/>
          <w:color w:val="auto"/>
          <w:sz w:val="32"/>
          <w:szCs w:val="32"/>
          <w:highlight w:val="none"/>
        </w:rPr>
      </w:pPr>
      <w:bookmarkStart w:id="70" w:name="_Toc15377217"/>
      <w:r>
        <w:rPr>
          <w:rFonts w:hint="eastAsia" w:ascii="仿宋" w:hAnsi="仿宋" w:eastAsia="仿宋"/>
          <w:b/>
          <w:color w:val="auto"/>
          <w:sz w:val="32"/>
          <w:szCs w:val="32"/>
          <w:highlight w:val="none"/>
        </w:rPr>
        <w:t>（二）“三公”经费财政拨款支出决算具体情况说明</w:t>
      </w:r>
      <w:bookmarkEnd w:id="70"/>
    </w:p>
    <w:p w14:paraId="57A0DD7B">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316230</wp:posOffset>
            </wp:positionH>
            <wp:positionV relativeFrom="paragraph">
              <wp:posOffset>1939925</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1D91AEA2">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1B00BDE2">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730CF31F">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2D415FA5">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0D5D406B">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93.33</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5.08</w:t>
      </w:r>
      <w:r>
        <w:rPr>
          <w:rFonts w:hint="eastAsia" w:ascii="仿宋" w:hAnsi="仿宋" w:eastAsia="仿宋" w:cs="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0EFEFC7F">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0.56</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31</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97</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0.56</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学生活动费及运动会学生用餐、交通费、体检费等0.26万元。</w:t>
      </w:r>
    </w:p>
    <w:p w14:paraId="3B497BC6">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57B07E2A">
      <w:pPr>
        <w:spacing w:line="600" w:lineRule="exact"/>
        <w:outlineLvl w:val="1"/>
        <w:rPr>
          <w:rFonts w:ascii="黑体" w:eastAsia="黑体"/>
          <w:color w:val="auto"/>
          <w:sz w:val="32"/>
          <w:szCs w:val="32"/>
          <w:highlight w:val="none"/>
        </w:rPr>
      </w:pPr>
      <w:bookmarkStart w:id="71" w:name="_Toc15377218"/>
      <w:bookmarkStart w:id="72" w:name="_Toc15396610"/>
    </w:p>
    <w:p w14:paraId="3D3C8E7D">
      <w:pPr>
        <w:pStyle w:val="4"/>
        <w:bidi w:val="0"/>
        <w:rPr>
          <w:color w:val="auto"/>
          <w:highlight w:val="none"/>
        </w:rPr>
      </w:pPr>
      <w:bookmarkStart w:id="73" w:name="_Toc3503"/>
      <w:r>
        <w:rPr>
          <w:rFonts w:hint="eastAsia"/>
          <w:color w:val="auto"/>
          <w:highlight w:val="none"/>
        </w:rPr>
        <w:t>八、政府性基金预算支出决算情况说明</w:t>
      </w:r>
      <w:bookmarkEnd w:id="71"/>
      <w:bookmarkEnd w:id="72"/>
      <w:bookmarkEnd w:id="73"/>
    </w:p>
    <w:p w14:paraId="36B4A5A9">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1.48</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1CC693EE">
      <w:pPr>
        <w:pStyle w:val="16"/>
        <w:rPr>
          <w:color w:val="auto"/>
          <w:highlight w:val="none"/>
        </w:rPr>
      </w:pPr>
    </w:p>
    <w:p w14:paraId="0A762B86">
      <w:pPr>
        <w:pStyle w:val="4"/>
        <w:numPr>
          <w:ilvl w:val="0"/>
          <w:numId w:val="4"/>
        </w:numPr>
        <w:bidi w:val="0"/>
        <w:rPr>
          <w:color w:val="auto"/>
          <w:highlight w:val="none"/>
        </w:rPr>
      </w:pPr>
      <w:bookmarkStart w:id="74" w:name="_Toc15377219"/>
      <w:bookmarkStart w:id="75" w:name="_Toc15396611"/>
      <w:bookmarkStart w:id="76" w:name="_Toc30571"/>
      <w:r>
        <w:rPr>
          <w:rFonts w:hint="eastAsia"/>
          <w:color w:val="auto"/>
          <w:highlight w:val="none"/>
        </w:rPr>
        <w:t>国有资本经营预算支出决算情况说明</w:t>
      </w:r>
      <w:bookmarkEnd w:id="74"/>
      <w:bookmarkEnd w:id="75"/>
      <w:bookmarkEnd w:id="76"/>
    </w:p>
    <w:p w14:paraId="736C37E8">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67F67776">
      <w:pPr>
        <w:spacing w:line="580" w:lineRule="exact"/>
        <w:rPr>
          <w:rFonts w:ascii="方正小标宋简体" w:hAnsi="方正小标宋简体" w:eastAsia="方正小标宋简体" w:cs="方正小标宋简体"/>
          <w:color w:val="auto"/>
          <w:sz w:val="44"/>
          <w:szCs w:val="44"/>
          <w:highlight w:val="none"/>
        </w:rPr>
      </w:pPr>
    </w:p>
    <w:p w14:paraId="724D3F6C">
      <w:pPr>
        <w:pStyle w:val="4"/>
        <w:numPr>
          <w:ilvl w:val="0"/>
          <w:numId w:val="4"/>
        </w:numPr>
        <w:bidi w:val="0"/>
        <w:rPr>
          <w:color w:val="auto"/>
          <w:highlight w:val="none"/>
        </w:rPr>
      </w:pPr>
      <w:bookmarkStart w:id="77" w:name="_Toc14092"/>
      <w:bookmarkStart w:id="78" w:name="_Toc15396612"/>
      <w:bookmarkStart w:id="79" w:name="_Toc15377221"/>
      <w:r>
        <w:rPr>
          <w:rFonts w:hint="eastAsia"/>
          <w:color w:val="auto"/>
          <w:highlight w:val="none"/>
        </w:rPr>
        <w:t>预算绩效管理情况</w:t>
      </w:r>
      <w:bookmarkEnd w:id="77"/>
    </w:p>
    <w:p w14:paraId="00EC48BE">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73C2BE5B">
      <w:pPr>
        <w:pStyle w:val="4"/>
        <w:numPr>
          <w:ilvl w:val="0"/>
          <w:numId w:val="4"/>
        </w:numPr>
        <w:bidi w:val="0"/>
        <w:rPr>
          <w:color w:val="auto"/>
          <w:highlight w:val="none"/>
        </w:rPr>
      </w:pPr>
      <w:bookmarkStart w:id="80" w:name="_Toc11548"/>
      <w:r>
        <w:rPr>
          <w:rFonts w:hint="eastAsia"/>
          <w:color w:val="auto"/>
          <w:highlight w:val="none"/>
        </w:rPr>
        <w:t>其他重要事项的情况说明</w:t>
      </w:r>
      <w:bookmarkEnd w:id="78"/>
      <w:bookmarkEnd w:id="79"/>
      <w:bookmarkEnd w:id="80"/>
    </w:p>
    <w:p w14:paraId="1F6E65DA">
      <w:pPr>
        <w:spacing w:line="600" w:lineRule="exact"/>
        <w:ind w:firstLine="643" w:firstLineChars="200"/>
        <w:outlineLvl w:val="2"/>
        <w:rPr>
          <w:rFonts w:ascii="仿宋" w:hAnsi="仿宋" w:eastAsia="仿宋"/>
          <w:color w:val="auto"/>
          <w:sz w:val="32"/>
          <w:szCs w:val="32"/>
          <w:highlight w:val="none"/>
        </w:rPr>
      </w:pPr>
      <w:bookmarkStart w:id="81" w:name="_Toc15377222"/>
      <w:r>
        <w:rPr>
          <w:rFonts w:hint="eastAsia" w:ascii="仿宋" w:hAnsi="仿宋" w:eastAsia="仿宋"/>
          <w:b/>
          <w:color w:val="auto"/>
          <w:sz w:val="32"/>
          <w:szCs w:val="32"/>
          <w:highlight w:val="none"/>
        </w:rPr>
        <w:t>（一）机关运行经费支出情况</w:t>
      </w:r>
      <w:bookmarkEnd w:id="81"/>
    </w:p>
    <w:p w14:paraId="4207A0BE">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82"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5A00C654">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2"/>
    </w:p>
    <w:p w14:paraId="7299223E">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6824B44A">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4"/>
      <w:r>
        <w:rPr>
          <w:rFonts w:hint="eastAsia" w:ascii="仿宋" w:hAnsi="仿宋" w:eastAsia="仿宋"/>
          <w:b/>
          <w:color w:val="auto"/>
          <w:sz w:val="32"/>
          <w:szCs w:val="32"/>
          <w:highlight w:val="none"/>
        </w:rPr>
        <w:t>（三）国有资产占有使用情况</w:t>
      </w:r>
      <w:bookmarkEnd w:id="83"/>
    </w:p>
    <w:p w14:paraId="19F785C1">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5D5E21F9">
      <w:pPr>
        <w:pStyle w:val="2"/>
        <w:spacing w:before="93"/>
        <w:rPr>
          <w:color w:val="auto"/>
          <w:highlight w:val="none"/>
        </w:rPr>
      </w:pPr>
    </w:p>
    <w:p w14:paraId="6CD4B9CD">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49F99D8E">
      <w:pPr>
        <w:pStyle w:val="3"/>
        <w:numPr>
          <w:ilvl w:val="0"/>
          <w:numId w:val="5"/>
        </w:numPr>
        <w:bidi w:val="0"/>
        <w:rPr>
          <w:color w:val="auto"/>
          <w:highlight w:val="none"/>
        </w:rPr>
      </w:pPr>
      <w:bookmarkStart w:id="84" w:name="_Toc27075"/>
      <w:bookmarkStart w:id="85" w:name="_Toc15396613"/>
      <w:bookmarkStart w:id="86" w:name="_Toc15377225"/>
      <w:r>
        <w:rPr>
          <w:rFonts w:hint="eastAsia"/>
          <w:color w:val="auto"/>
          <w:highlight w:val="none"/>
        </w:rPr>
        <w:t>名词解释</w:t>
      </w:r>
      <w:bookmarkEnd w:id="84"/>
      <w:bookmarkEnd w:id="85"/>
      <w:bookmarkEnd w:id="86"/>
    </w:p>
    <w:p w14:paraId="1F2B3009">
      <w:pPr>
        <w:spacing w:line="600" w:lineRule="exact"/>
        <w:jc w:val="left"/>
        <w:rPr>
          <w:rFonts w:ascii="宋体"/>
          <w:b/>
          <w:color w:val="auto"/>
          <w:sz w:val="44"/>
          <w:szCs w:val="44"/>
          <w:highlight w:val="none"/>
        </w:rPr>
      </w:pPr>
    </w:p>
    <w:p w14:paraId="17697084">
      <w:pPr>
        <w:pStyle w:val="27"/>
        <w:spacing w:line="560" w:lineRule="exact"/>
        <w:ind w:firstLine="640" w:firstLineChars="200"/>
        <w:rPr>
          <w:rFonts w:ascii="仿宋_GB2312" w:eastAsia="仿宋_GB2312"/>
          <w:color w:val="auto"/>
          <w:sz w:val="32"/>
          <w:szCs w:val="32"/>
          <w:highlight w:val="none"/>
        </w:rPr>
      </w:pPr>
      <w:bookmarkStart w:id="87"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3979ABE5">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0A907A61">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257EB046">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7C7F4340">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0BAC806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56D4900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14:paraId="32FAE01B">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.社会保障和就业支出（类）抚恤（款）死亡抚恤（项）：指死亡抚恤。</w:t>
      </w:r>
    </w:p>
    <w:p w14:paraId="4A1BF577">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14:paraId="5B856DEC">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10.社会保障和就业支出（类）行政事业单位养老支出（款）机关事业单位基本养老保险缴费支出（项）: 指机关事业单位实施养老保险制度由单位缴纳的基本养老保险费支出。</w:t>
      </w:r>
    </w:p>
    <w:p w14:paraId="26A432E2">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11.社会保障和就业支出（类）其他社会保障和就业支出（款）其他社会保障和就业支出（项）: 指其他用于社会保障和就业方面的支出。</w:t>
      </w:r>
    </w:p>
    <w:p w14:paraId="71700C91">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7E63D06A">
      <w:pPr>
        <w:pStyle w:val="2"/>
        <w:ind w:firstLine="640" w:firstLineChars="200"/>
        <w:rPr>
          <w:color w:val="auto"/>
          <w:highlight w:val="none"/>
        </w:rPr>
      </w:pPr>
      <w:r>
        <w:rPr>
          <w:rFonts w:hint="eastAsia" w:hAnsi="Calibri" w:cs="仿宋"/>
          <w:color w:val="auto"/>
          <w:kern w:val="0"/>
          <w:sz w:val="32"/>
          <w:szCs w:val="32"/>
          <w:highlight w:val="none"/>
          <w:lang w:val="en-US" w:eastAsia="zh-CN"/>
        </w:rPr>
        <w:t>13.</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0713E5F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3C2E38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0A6C430A">
      <w:pPr>
        <w:pStyle w:val="27"/>
        <w:spacing w:line="560" w:lineRule="exact"/>
        <w:ind w:firstLine="640" w:firstLineChars="200"/>
        <w:jc w:val="center"/>
        <w:rPr>
          <w:rStyle w:val="29"/>
          <w:color w:val="auto"/>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宋体"/>
          <w:b/>
          <w:color w:val="auto"/>
          <w:sz w:val="44"/>
          <w:szCs w:val="44"/>
          <w:highlight w:val="none"/>
        </w:rPr>
        <w:br w:type="page"/>
      </w:r>
      <w:bookmarkStart w:id="88" w:name="_Toc15396614"/>
      <w:bookmarkStart w:id="89" w:name="_Toc24127"/>
      <w:r>
        <w:rPr>
          <w:rStyle w:val="29"/>
          <w:rFonts w:hint="eastAsia"/>
          <w:color w:val="auto"/>
          <w:highlight w:val="none"/>
        </w:rPr>
        <w:t>第四部分 附件</w:t>
      </w:r>
      <w:bookmarkEnd w:id="88"/>
    </w:p>
    <w:bookmarkEnd w:id="89"/>
    <w:p w14:paraId="40E58ECB">
      <w:pPr>
        <w:spacing w:line="572" w:lineRule="exact"/>
        <w:jc w:val="left"/>
        <w:outlineLvl w:val="0"/>
        <w:rPr>
          <w:rFonts w:hint="eastAsia" w:ascii="黑体" w:hAnsi="黑体" w:eastAsia="黑体" w:cs="黑体"/>
          <w:color w:val="auto"/>
          <w:sz w:val="32"/>
          <w:szCs w:val="32"/>
          <w:highlight w:val="none"/>
          <w:lang w:val="en-US" w:eastAsia="zh-CN"/>
        </w:rPr>
      </w:pPr>
      <w:bookmarkStart w:id="90" w:name="_Toc1143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198DFC45">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192352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3B51C388">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76163F63">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7306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8D0CE">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360327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61A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2C39">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广元市昭化区青牛镇小学</w:t>
            </w:r>
          </w:p>
        </w:tc>
      </w:tr>
      <w:tr w14:paraId="45426B1E">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5BD9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481F0AF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4C8CE03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E5F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3793">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EBE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44D4">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1.48</w:t>
            </w:r>
          </w:p>
        </w:tc>
      </w:tr>
      <w:tr w14:paraId="5436CB82">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E55A6">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6580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403555FC">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9E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1.48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37E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28809E2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15A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1.48</w:t>
            </w:r>
          </w:p>
        </w:tc>
      </w:tr>
      <w:tr w14:paraId="4F0AA0C1">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B684B">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50F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F72A">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1681">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6F00">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15FDE13F">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757B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5AA68AE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A9E10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4B2C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168C1FB2">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A9123">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3353A46E">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47A4DDB6">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426A8EEC">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6ECEFB7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6925119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5C3644F9">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0816">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5F7F9760">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790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0C95589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D710">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E54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7B81DE32">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025B5D3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ED6A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05D87B5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CFA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4D6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ABE5">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425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1BCD631F">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2DE2864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65C7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47B169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E6A1">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5E5464F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B2E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A12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420CACA5">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0DA82B1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C38D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3869B839">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11C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29B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4D4F">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6AD3072D">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1052B40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A1EB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94D7802">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A7C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D82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D690">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7C5FA1FB">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270F572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6609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063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DDD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7CC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1D8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02EBB062">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3D8D2B1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6CF9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AFBD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C66A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9A4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1.48万元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EEB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1.48万元</w:t>
            </w:r>
          </w:p>
        </w:tc>
      </w:tr>
      <w:tr w14:paraId="595F04CA">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19A7127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8A46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05411A6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DF46D6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4CD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B97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5DE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21C6F488">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508CC46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3426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7376384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576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821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3DF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78886007">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3F89D2A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4776A76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57D760E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28A68A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348993A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4B3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35D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201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55A849C9">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236E649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404B2D1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A275AC7">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403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7C3A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A4B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287D5158">
      <w:pPr>
        <w:spacing w:line="572" w:lineRule="exact"/>
        <w:jc w:val="left"/>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301DE3A">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30D753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（运动场改造项目）</w:t>
            </w:r>
          </w:p>
        </w:tc>
        <w:tc>
          <w:tcPr>
            <w:tcW w:w="236" w:type="dxa"/>
            <w:tcBorders>
              <w:top w:val="nil"/>
              <w:left w:val="nil"/>
              <w:bottom w:val="nil"/>
              <w:right w:val="nil"/>
            </w:tcBorders>
            <w:shd w:val="clear" w:color="auto" w:fill="auto"/>
            <w:vAlign w:val="center"/>
          </w:tcPr>
          <w:p w14:paraId="5BAB719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65AFA502">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DEAF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EF354">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360327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7A6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954C5">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广元市昭化区青牛镇小学</w:t>
            </w:r>
          </w:p>
        </w:tc>
      </w:tr>
      <w:tr w14:paraId="556E77CC">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E208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5FE3B33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288969A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97B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E5C1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6AB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AE6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128</w:t>
            </w:r>
          </w:p>
        </w:tc>
      </w:tr>
      <w:tr w14:paraId="25CCE24D">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A8EF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C75E">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3BC671E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14C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128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72E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BF65303">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469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128</w:t>
            </w:r>
          </w:p>
        </w:tc>
      </w:tr>
      <w:tr w14:paraId="730418CD">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98A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CB5A">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645B">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497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ED9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591FD277">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DB2E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5607C63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CF5AB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BBB7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6322D2AC">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38B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648AE347">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支持欠发达地区特别是“三区三州”等原深度贫困地区巩固教育脱贫攻坚成果，积极扩大基础教育学位供给，提高学前教育入学率和义务教育巩固率，保障群众受教育权利，加快缩小与其他地区教育差距，阻断贫困代际传递。</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58CBF63C">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提高学前教育入学率和义务教育巩固率，保障群众受教育权利，加快缩小与其他地区教育差距。</w:t>
            </w:r>
          </w:p>
        </w:tc>
      </w:tr>
      <w:tr w14:paraId="6936D0AF">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0DD7920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3E17B3C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0F68BB6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BB0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355F627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91B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267683F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90E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CC4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3B20EC48">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0288C2F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C683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31A53C4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0141F9D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5962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65B6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2800m²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FAB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2800m²</w:t>
            </w:r>
          </w:p>
        </w:tc>
      </w:tr>
      <w:tr w14:paraId="3B5B32C8">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3AD1E7A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030D702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BA5E5B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9DB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1B72">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141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D25D">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141</w:t>
            </w:r>
          </w:p>
        </w:tc>
      </w:tr>
      <w:tr w14:paraId="401F7184">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273357E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0BF3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5AF2F4F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A61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中央预算内投资支付率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6CB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094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46FBAD48">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1482FFF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D596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26A9449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75DA">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审计、督查、巡视等指出问题项目比例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896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618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0</w:t>
            </w:r>
          </w:p>
        </w:tc>
      </w:tr>
      <w:tr w14:paraId="7982A60E">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138240B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6860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55A325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E4B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项目工程质量合格率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0989">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7DED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52E2C359">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5366854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6428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A1D01E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F34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项目建设周期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C89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3CA8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22E8E0D3">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567F462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F780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59A947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5009">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“两个责任”按项目落实到位率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C7B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4C3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r>
      <w:tr w14:paraId="48E5D131">
        <w:tblPrEx>
          <w:tblCellMar>
            <w:top w:w="0" w:type="dxa"/>
            <w:left w:w="108" w:type="dxa"/>
            <w:bottom w:w="0" w:type="dxa"/>
            <w:right w:w="108" w:type="dxa"/>
          </w:tblCellMar>
        </w:tblPrEx>
        <w:trPr>
          <w:gridAfter w:val="1"/>
          <w:wAfter w:w="236" w:type="dxa"/>
          <w:trHeight w:val="90" w:hRule="atLeast"/>
        </w:trPr>
        <w:tc>
          <w:tcPr>
            <w:tcW w:w="1113" w:type="dxa"/>
            <w:vMerge w:val="continue"/>
            <w:tcBorders>
              <w:left w:val="single" w:color="000000" w:sz="4" w:space="0"/>
              <w:right w:val="single" w:color="000000" w:sz="4" w:space="0"/>
            </w:tcBorders>
            <w:shd w:val="clear" w:color="auto" w:fill="auto"/>
            <w:vAlign w:val="center"/>
          </w:tcPr>
          <w:p w14:paraId="22F5FD2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1440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72E1782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F883">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改扩建项目成本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92B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DF6E">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457元</w:t>
            </w:r>
          </w:p>
        </w:tc>
      </w:tr>
      <w:tr w14:paraId="6CB7C041">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37733A9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0F31167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0D37087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614EDD2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EECD9F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BC51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F4C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06D0E67C">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111C13A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53FD759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163EFD9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4F9A874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46881E2A">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BD6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C45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576026F4">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1C699A1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37F0EC4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01B3EB8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A1447A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AE1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6FE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48FBC4F6">
        <w:tblPrEx>
          <w:tblCellMar>
            <w:top w:w="0" w:type="dxa"/>
            <w:left w:w="108" w:type="dxa"/>
            <w:bottom w:w="0" w:type="dxa"/>
            <w:right w:w="108" w:type="dxa"/>
          </w:tblCellMar>
        </w:tblPrEx>
        <w:trPr>
          <w:gridAfter w:val="1"/>
          <w:wAfter w:w="236" w:type="dxa"/>
          <w:trHeight w:val="519" w:hRule="atLeast"/>
        </w:trPr>
        <w:tc>
          <w:tcPr>
            <w:tcW w:w="1113" w:type="dxa"/>
            <w:vMerge w:val="continue"/>
            <w:tcBorders>
              <w:left w:val="single" w:color="000000" w:sz="4" w:space="0"/>
              <w:right w:val="single" w:color="000000" w:sz="4" w:space="0"/>
            </w:tcBorders>
            <w:shd w:val="clear" w:color="auto" w:fill="auto"/>
            <w:vAlign w:val="center"/>
          </w:tcPr>
          <w:p w14:paraId="5AE0927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62AA39C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06EBF7B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DF5D53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004BFA8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CDCC">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E53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18B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5B74F3A7">
        <w:tblPrEx>
          <w:tblCellMar>
            <w:top w:w="0" w:type="dxa"/>
            <w:left w:w="108" w:type="dxa"/>
            <w:bottom w:w="0" w:type="dxa"/>
            <w:right w:w="108" w:type="dxa"/>
          </w:tblCellMar>
        </w:tblPrEx>
        <w:trPr>
          <w:gridAfter w:val="1"/>
          <w:wAfter w:w="236" w:type="dxa"/>
          <w:trHeight w:val="535"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4E90629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2EEC987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1F5C3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4F8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0ED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537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3939D9FD">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bookmarkEnd w:id="90"/>
    <w:p w14:paraId="7F6A1CCE">
      <w:pPr>
        <w:pStyle w:val="3"/>
        <w:bidi w:val="0"/>
        <w:rPr>
          <w:color w:val="auto"/>
          <w:highlight w:val="none"/>
        </w:rPr>
      </w:pPr>
      <w:bookmarkStart w:id="91" w:name="_Toc24969"/>
      <w:bookmarkStart w:id="92" w:name="_Toc15396618"/>
      <w:r>
        <w:rPr>
          <w:rFonts w:hint="eastAsia"/>
          <w:color w:val="auto"/>
          <w:highlight w:val="none"/>
        </w:rPr>
        <w:t>第五部分 附表</w:t>
      </w:r>
      <w:bookmarkEnd w:id="87"/>
      <w:bookmarkEnd w:id="91"/>
      <w:bookmarkEnd w:id="92"/>
      <w:bookmarkStart w:id="93" w:name="_Toc15396619"/>
    </w:p>
    <w:p w14:paraId="4462B01D">
      <w:pPr>
        <w:pStyle w:val="4"/>
        <w:bidi w:val="0"/>
        <w:rPr>
          <w:color w:val="auto"/>
          <w:highlight w:val="none"/>
        </w:rPr>
      </w:pPr>
      <w:bookmarkStart w:id="94" w:name="_Toc26442"/>
      <w:r>
        <w:rPr>
          <w:rFonts w:hint="eastAsia"/>
          <w:color w:val="auto"/>
          <w:highlight w:val="none"/>
        </w:rPr>
        <w:t>一、收入支出决算总表</w:t>
      </w:r>
      <w:bookmarkEnd w:id="93"/>
      <w:bookmarkEnd w:id="94"/>
    </w:p>
    <w:p w14:paraId="05D7B166">
      <w:pPr>
        <w:pStyle w:val="4"/>
        <w:bidi w:val="0"/>
        <w:rPr>
          <w:color w:val="auto"/>
          <w:highlight w:val="none"/>
        </w:rPr>
      </w:pPr>
      <w:bookmarkStart w:id="95" w:name="_Toc15396620"/>
      <w:bookmarkStart w:id="96" w:name="_Toc24488"/>
      <w:r>
        <w:rPr>
          <w:rFonts w:hint="eastAsia"/>
          <w:color w:val="auto"/>
          <w:highlight w:val="none"/>
        </w:rPr>
        <w:t>二、收入决算表</w:t>
      </w:r>
      <w:bookmarkEnd w:id="95"/>
      <w:bookmarkEnd w:id="96"/>
    </w:p>
    <w:p w14:paraId="37687871">
      <w:pPr>
        <w:pStyle w:val="4"/>
        <w:bidi w:val="0"/>
        <w:rPr>
          <w:color w:val="auto"/>
          <w:highlight w:val="none"/>
        </w:rPr>
      </w:pPr>
      <w:bookmarkStart w:id="97" w:name="_Toc6939"/>
      <w:bookmarkStart w:id="98" w:name="_Toc15396621"/>
      <w:r>
        <w:rPr>
          <w:rFonts w:hint="eastAsia"/>
          <w:color w:val="auto"/>
          <w:highlight w:val="none"/>
        </w:rPr>
        <w:t>三、支出决算表</w:t>
      </w:r>
      <w:bookmarkEnd w:id="97"/>
      <w:bookmarkEnd w:id="98"/>
    </w:p>
    <w:p w14:paraId="2DA598D6">
      <w:pPr>
        <w:pStyle w:val="4"/>
        <w:bidi w:val="0"/>
        <w:rPr>
          <w:color w:val="auto"/>
          <w:highlight w:val="none"/>
        </w:rPr>
      </w:pPr>
      <w:bookmarkStart w:id="99" w:name="_Toc30417"/>
      <w:bookmarkStart w:id="100" w:name="_Toc15396622"/>
      <w:r>
        <w:rPr>
          <w:rFonts w:hint="eastAsia"/>
          <w:color w:val="auto"/>
          <w:highlight w:val="none"/>
        </w:rPr>
        <w:t>四、财政拨款收入支出决算总表</w:t>
      </w:r>
      <w:bookmarkEnd w:id="99"/>
      <w:bookmarkEnd w:id="100"/>
    </w:p>
    <w:p w14:paraId="51DFDEA5">
      <w:pPr>
        <w:pStyle w:val="4"/>
        <w:bidi w:val="0"/>
        <w:rPr>
          <w:color w:val="auto"/>
          <w:highlight w:val="none"/>
        </w:rPr>
      </w:pPr>
      <w:bookmarkStart w:id="101" w:name="_Toc1651"/>
      <w:bookmarkStart w:id="102" w:name="_Toc15396623"/>
      <w:r>
        <w:rPr>
          <w:rFonts w:hint="eastAsia"/>
          <w:color w:val="auto"/>
          <w:highlight w:val="none"/>
        </w:rPr>
        <w:t>五、财政拨款支出决算明细表</w:t>
      </w:r>
      <w:bookmarkEnd w:id="101"/>
      <w:bookmarkEnd w:id="102"/>
      <w:bookmarkStart w:id="103" w:name="_Toc15396624"/>
    </w:p>
    <w:p w14:paraId="3E40FD2E">
      <w:pPr>
        <w:pStyle w:val="4"/>
        <w:bidi w:val="0"/>
        <w:rPr>
          <w:color w:val="auto"/>
          <w:highlight w:val="none"/>
        </w:rPr>
      </w:pPr>
      <w:bookmarkStart w:id="104" w:name="_Toc18542"/>
      <w:r>
        <w:rPr>
          <w:rFonts w:hint="eastAsia"/>
          <w:color w:val="auto"/>
          <w:highlight w:val="none"/>
        </w:rPr>
        <w:t>六、一般公共预算财政拨款支出决算表</w:t>
      </w:r>
      <w:bookmarkEnd w:id="103"/>
      <w:bookmarkEnd w:id="104"/>
    </w:p>
    <w:p w14:paraId="365A4557">
      <w:pPr>
        <w:pStyle w:val="4"/>
        <w:bidi w:val="0"/>
        <w:rPr>
          <w:color w:val="auto"/>
          <w:highlight w:val="none"/>
        </w:rPr>
      </w:pPr>
      <w:bookmarkStart w:id="105" w:name="_Toc25672"/>
      <w:bookmarkStart w:id="106" w:name="_Toc15396625"/>
      <w:r>
        <w:rPr>
          <w:rFonts w:hint="eastAsia"/>
          <w:color w:val="auto"/>
          <w:highlight w:val="none"/>
        </w:rPr>
        <w:t>七、一般公共预算财政拨款支出决算明细表</w:t>
      </w:r>
      <w:bookmarkEnd w:id="105"/>
      <w:bookmarkEnd w:id="106"/>
    </w:p>
    <w:p w14:paraId="5B89EF91">
      <w:pPr>
        <w:pStyle w:val="4"/>
        <w:bidi w:val="0"/>
        <w:rPr>
          <w:color w:val="auto"/>
          <w:highlight w:val="none"/>
        </w:rPr>
      </w:pPr>
      <w:bookmarkStart w:id="107" w:name="_Toc15396626"/>
      <w:bookmarkStart w:id="108" w:name="_Toc3598"/>
      <w:r>
        <w:rPr>
          <w:rFonts w:hint="eastAsia"/>
          <w:color w:val="auto"/>
          <w:highlight w:val="none"/>
        </w:rPr>
        <w:t>八、一般公共预算财政拨款基本支出决算表</w:t>
      </w:r>
      <w:bookmarkEnd w:id="107"/>
      <w:bookmarkEnd w:id="108"/>
    </w:p>
    <w:p w14:paraId="77A09DAB">
      <w:pPr>
        <w:pStyle w:val="4"/>
        <w:bidi w:val="0"/>
        <w:rPr>
          <w:color w:val="auto"/>
          <w:highlight w:val="none"/>
        </w:rPr>
      </w:pPr>
      <w:bookmarkStart w:id="109" w:name="_Toc28845"/>
      <w:bookmarkStart w:id="110" w:name="_Toc15396627"/>
      <w:r>
        <w:rPr>
          <w:rFonts w:hint="eastAsia"/>
          <w:color w:val="auto"/>
          <w:highlight w:val="none"/>
        </w:rPr>
        <w:t>九、一般公共预算财政拨款项目支出决算表</w:t>
      </w:r>
      <w:bookmarkEnd w:id="109"/>
      <w:bookmarkEnd w:id="110"/>
    </w:p>
    <w:p w14:paraId="340C1917">
      <w:pPr>
        <w:pStyle w:val="4"/>
        <w:bidi w:val="0"/>
        <w:rPr>
          <w:color w:val="auto"/>
          <w:highlight w:val="none"/>
        </w:rPr>
      </w:pPr>
      <w:bookmarkStart w:id="111" w:name="_Toc15396628"/>
      <w:bookmarkStart w:id="112" w:name="_Toc24879"/>
      <w:r>
        <w:rPr>
          <w:rFonts w:hint="eastAsia"/>
          <w:color w:val="auto"/>
          <w:highlight w:val="none"/>
        </w:rPr>
        <w:t>十、一般公共预算财政拨款“三公”经费支出决算表</w:t>
      </w:r>
      <w:bookmarkEnd w:id="111"/>
      <w:bookmarkEnd w:id="112"/>
    </w:p>
    <w:p w14:paraId="2118634E">
      <w:pPr>
        <w:pStyle w:val="4"/>
        <w:bidi w:val="0"/>
        <w:rPr>
          <w:color w:val="auto"/>
          <w:highlight w:val="none"/>
        </w:rPr>
      </w:pPr>
      <w:bookmarkStart w:id="113" w:name="_Toc24059"/>
      <w:bookmarkStart w:id="114" w:name="_Toc15396629"/>
      <w:r>
        <w:rPr>
          <w:rFonts w:hint="eastAsia"/>
          <w:color w:val="auto"/>
          <w:highlight w:val="none"/>
        </w:rPr>
        <w:t>十一、政府性基金预算财政拨款收入支出决算表</w:t>
      </w:r>
      <w:bookmarkEnd w:id="113"/>
      <w:bookmarkEnd w:id="114"/>
    </w:p>
    <w:p w14:paraId="642DBAF8">
      <w:pPr>
        <w:pStyle w:val="4"/>
        <w:bidi w:val="0"/>
        <w:rPr>
          <w:color w:val="auto"/>
          <w:highlight w:val="none"/>
        </w:rPr>
      </w:pPr>
      <w:bookmarkStart w:id="115" w:name="_Toc15396630"/>
      <w:bookmarkStart w:id="116" w:name="_Toc30287"/>
      <w:r>
        <w:rPr>
          <w:rFonts w:hint="eastAsia"/>
          <w:color w:val="auto"/>
          <w:highlight w:val="none"/>
        </w:rPr>
        <w:t>十二、政府性基金预算财政拨款“三公”经费支出决算表</w:t>
      </w:r>
      <w:bookmarkEnd w:id="115"/>
      <w:bookmarkEnd w:id="116"/>
    </w:p>
    <w:p w14:paraId="1DA1E9AE">
      <w:pPr>
        <w:pStyle w:val="4"/>
        <w:bidi w:val="0"/>
        <w:rPr>
          <w:color w:val="auto"/>
          <w:highlight w:val="none"/>
        </w:rPr>
      </w:pPr>
      <w:bookmarkStart w:id="117" w:name="_Toc15396631"/>
      <w:bookmarkStart w:id="118" w:name="_Toc21531"/>
      <w:r>
        <w:rPr>
          <w:rFonts w:hint="eastAsia"/>
          <w:color w:val="auto"/>
          <w:highlight w:val="none"/>
        </w:rPr>
        <w:t>十三、国有资本经营预算财政拨款收入支出决算表</w:t>
      </w:r>
      <w:bookmarkEnd w:id="117"/>
      <w:bookmarkEnd w:id="118"/>
    </w:p>
    <w:p w14:paraId="2AE857FE">
      <w:pPr>
        <w:pStyle w:val="4"/>
        <w:bidi w:val="0"/>
        <w:rPr>
          <w:color w:val="auto"/>
          <w:highlight w:val="none"/>
        </w:rPr>
      </w:pPr>
      <w:bookmarkStart w:id="119" w:name="_Toc3471"/>
      <w:r>
        <w:rPr>
          <w:rFonts w:hint="eastAsia"/>
          <w:color w:val="auto"/>
          <w:highlight w:val="none"/>
        </w:rPr>
        <w:t>十四、国有资本经营预算财政拨款支出决算表</w:t>
      </w:r>
      <w:bookmarkEnd w:id="119"/>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44C0D6-A82B-483A-B178-3EFFD2D69B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F1CFB60-021E-4119-9112-06B8437E130A}"/>
  </w:font>
  <w:font w:name="仿宋">
    <w:panose1 w:val="02010609060101010101"/>
    <w:charset w:val="86"/>
    <w:family w:val="auto"/>
    <w:pitch w:val="default"/>
    <w:sig w:usb0="800002BF" w:usb1="38CF7CFA" w:usb2="00000016" w:usb3="00000000" w:csb0="00040001" w:csb1="00000000"/>
    <w:embedRegular r:id="rId3" w:fontKey="{6092E9C7-EE3B-4BB5-83E9-9AA958F5FFFC}"/>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4" w:fontKey="{C3BE794F-5A50-42FA-A813-F0836749ED4D}"/>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5" w:fontKey="{37A6CABD-90A0-4DE9-AA61-348108C0FF16}"/>
  </w:font>
  <w:font w:name="方正小标宋_GBK">
    <w:panose1 w:val="02000000000000000000"/>
    <w:charset w:val="86"/>
    <w:family w:val="auto"/>
    <w:pitch w:val="default"/>
    <w:sig w:usb0="A00002BF" w:usb1="38CF7CFA" w:usb2="00082016" w:usb3="00000000" w:csb0="00040001" w:csb1="00000000"/>
    <w:embedRegular r:id="rId6" w:fontKey="{8ADBD8EE-68B8-4EB1-81AB-6B06D8EE25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5E9AAF3C">
        <w:pPr>
          <w:pStyle w:val="11"/>
          <w:jc w:val="center"/>
        </w:pPr>
        <w:r>
          <w:fldChar w:fldCharType="begin"/>
        </w:r>
        <w:r>
          <w:instrText xml:space="preserve">PAGE   \* MERGEFORMAT</w:instrText>
        </w:r>
        <w:r>
          <w:fldChar w:fldCharType="separate"/>
        </w:r>
        <w:r>
          <w:rPr>
            <w:lang w:val="zh-CN"/>
          </w:rPr>
          <w:t>12</w:t>
        </w:r>
        <w:r>
          <w:fldChar w:fldCharType="end"/>
        </w:r>
      </w:p>
    </w:sdtContent>
  </w:sdt>
  <w:p w14:paraId="6BA2B90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C54F1">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CD6CFA4"/>
    <w:multiLevelType w:val="singleLevel"/>
    <w:tmpl w:val="ECD6CFA4"/>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BD6AEC"/>
    <w:rsid w:val="021553A6"/>
    <w:rsid w:val="05074814"/>
    <w:rsid w:val="0A2032A3"/>
    <w:rsid w:val="0B8A37D8"/>
    <w:rsid w:val="0EC71F0D"/>
    <w:rsid w:val="10C055FF"/>
    <w:rsid w:val="112C7A85"/>
    <w:rsid w:val="118107EC"/>
    <w:rsid w:val="11DD6519"/>
    <w:rsid w:val="12910332"/>
    <w:rsid w:val="14A05121"/>
    <w:rsid w:val="157E27B0"/>
    <w:rsid w:val="160A2EFA"/>
    <w:rsid w:val="16BB723D"/>
    <w:rsid w:val="177D300F"/>
    <w:rsid w:val="18015F3F"/>
    <w:rsid w:val="1AAB6921"/>
    <w:rsid w:val="1BE8440E"/>
    <w:rsid w:val="1D155CEE"/>
    <w:rsid w:val="1D7C43F0"/>
    <w:rsid w:val="206860B8"/>
    <w:rsid w:val="20F57F95"/>
    <w:rsid w:val="23066A21"/>
    <w:rsid w:val="240371BF"/>
    <w:rsid w:val="24D54B4E"/>
    <w:rsid w:val="25C741E6"/>
    <w:rsid w:val="27842671"/>
    <w:rsid w:val="280F42BA"/>
    <w:rsid w:val="29FD04D3"/>
    <w:rsid w:val="2AB74F6C"/>
    <w:rsid w:val="2ABE7A3E"/>
    <w:rsid w:val="2BAE4DE0"/>
    <w:rsid w:val="2C0D4D5A"/>
    <w:rsid w:val="2EFA178C"/>
    <w:rsid w:val="30B46D73"/>
    <w:rsid w:val="319F7F4E"/>
    <w:rsid w:val="32E05DEF"/>
    <w:rsid w:val="353C0D20"/>
    <w:rsid w:val="39AE70AB"/>
    <w:rsid w:val="3BC1546A"/>
    <w:rsid w:val="3C0C0783"/>
    <w:rsid w:val="3C9924DB"/>
    <w:rsid w:val="3F795B0E"/>
    <w:rsid w:val="3F9F3A96"/>
    <w:rsid w:val="41BF4911"/>
    <w:rsid w:val="436677A4"/>
    <w:rsid w:val="43757953"/>
    <w:rsid w:val="47B55BAA"/>
    <w:rsid w:val="493C27E9"/>
    <w:rsid w:val="496F39ED"/>
    <w:rsid w:val="49FF41D3"/>
    <w:rsid w:val="4A185DC8"/>
    <w:rsid w:val="4BE068DB"/>
    <w:rsid w:val="4BF6002B"/>
    <w:rsid w:val="4D4F2522"/>
    <w:rsid w:val="4EA56D46"/>
    <w:rsid w:val="4ECE2238"/>
    <w:rsid w:val="4FD61684"/>
    <w:rsid w:val="503645ED"/>
    <w:rsid w:val="508F3649"/>
    <w:rsid w:val="51DB4B86"/>
    <w:rsid w:val="527E6C4D"/>
    <w:rsid w:val="52FB5859"/>
    <w:rsid w:val="55333C3E"/>
    <w:rsid w:val="58737E60"/>
    <w:rsid w:val="5C804CE9"/>
    <w:rsid w:val="5EEF25B2"/>
    <w:rsid w:val="5F2569C1"/>
    <w:rsid w:val="64A80084"/>
    <w:rsid w:val="64AF44B0"/>
    <w:rsid w:val="64CA39A1"/>
    <w:rsid w:val="65B126BB"/>
    <w:rsid w:val="6C4A05C8"/>
    <w:rsid w:val="6C6E6699"/>
    <w:rsid w:val="6EDA0CDC"/>
    <w:rsid w:val="71B61FB7"/>
    <w:rsid w:val="72734D90"/>
    <w:rsid w:val="727D7081"/>
    <w:rsid w:val="72E456B5"/>
    <w:rsid w:val="72F147DB"/>
    <w:rsid w:val="74E366CA"/>
    <w:rsid w:val="799926E5"/>
    <w:rsid w:val="79E7B28D"/>
    <w:rsid w:val="7AC82E51"/>
    <w:rsid w:val="7BFA24EA"/>
    <w:rsid w:val="7CAB154F"/>
    <w:rsid w:val="7E523BC9"/>
    <w:rsid w:val="7F586151"/>
    <w:rsid w:val="7F9F20EE"/>
    <w:rsid w:val="7FC55F0C"/>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autoRedefine/>
    <w:qFormat/>
    <w:uiPriority w:val="9"/>
    <w:pPr>
      <w:keepNext/>
      <w:keepLines/>
      <w:spacing w:before="340" w:after="330" w:line="578" w:lineRule="auto"/>
      <w:jc w:val="center"/>
      <w:outlineLvl w:val="0"/>
    </w:pPr>
    <w:rPr>
      <w:rFonts w:ascii="Times New Roman" w:hAnsi="Times New Roman" w:eastAsia="仿宋"/>
      <w:b/>
      <w:bCs/>
      <w:kern w:val="44"/>
      <w:sz w:val="44"/>
      <w:szCs w:val="44"/>
    </w:rPr>
  </w:style>
  <w:style w:type="paragraph" w:styleId="4">
    <w:name w:val="heading 2"/>
    <w:basedOn w:val="1"/>
    <w:next w:val="1"/>
    <w:link w:val="40"/>
    <w:unhideWhenUsed/>
    <w:qFormat/>
    <w:uiPriority w:val="9"/>
    <w:pPr>
      <w:keepNext/>
      <w:keepLines/>
      <w:spacing w:before="260" w:after="260" w:line="240" w:lineRule="auto"/>
      <w:ind w:firstLine="1440" w:firstLineChars="200"/>
      <w:jc w:val="left"/>
      <w:outlineLvl w:val="1"/>
    </w:pPr>
    <w:rPr>
      <w:rFonts w:eastAsia="宋体" w:asciiTheme="majorAscii" w:hAnsiTheme="majorAscii" w:cstheme="majorBidi"/>
      <w:b/>
      <w:bCs/>
      <w:sz w:val="32"/>
      <w:szCs w:val="32"/>
    </w:rPr>
  </w:style>
  <w:style w:type="paragraph" w:styleId="5">
    <w:name w:val="heading 3"/>
    <w:basedOn w:val="1"/>
    <w:next w:val="1"/>
    <w:link w:val="33"/>
    <w:autoRedefine/>
    <w:unhideWhenUsed/>
    <w:qFormat/>
    <w:uiPriority w:val="9"/>
    <w:pPr>
      <w:keepNext/>
      <w:keepLines/>
      <w:spacing w:before="260" w:after="260" w:line="416" w:lineRule="auto"/>
      <w:outlineLvl w:val="2"/>
    </w:pPr>
    <w:rPr>
      <w:b/>
      <w:bCs/>
      <w:sz w:val="32"/>
      <w:szCs w:val="32"/>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autoRedefine/>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autoRedefine/>
    <w:qFormat/>
    <w:uiPriority w:val="99"/>
  </w:style>
  <w:style w:type="paragraph" w:styleId="8">
    <w:name w:val="Body Text Indent"/>
    <w:basedOn w:val="1"/>
    <w:link w:val="38"/>
    <w:autoRedefine/>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autoRedefine/>
    <w:semiHidden/>
    <w:unhideWhenUsed/>
    <w:qFormat/>
    <w:uiPriority w:val="99"/>
    <w:rPr>
      <w:sz w:val="18"/>
      <w:szCs w:val="18"/>
    </w:rPr>
  </w:style>
  <w:style w:type="paragraph" w:styleId="11">
    <w:name w:val="footer"/>
    <w:basedOn w:val="1"/>
    <w:link w:val="24"/>
    <w:autoRedefine/>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autoRedefine/>
    <w:unhideWhenUsed/>
    <w:qFormat/>
    <w:uiPriority w:val="39"/>
    <w:pPr>
      <w:tabs>
        <w:tab w:val="right" w:leader="dot" w:pos="8296"/>
      </w:tabs>
      <w:ind w:left="420" w:leftChars="200"/>
    </w:pPr>
  </w:style>
  <w:style w:type="paragraph" w:styleId="15">
    <w:name w:val="Normal (Web)"/>
    <w:basedOn w:val="1"/>
    <w:autoRedefine/>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autoRedefine/>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autoRedefine/>
    <w:qFormat/>
    <w:uiPriority w:val="34"/>
    <w:pPr>
      <w:ind w:firstLine="420" w:firstLineChars="200"/>
    </w:pPr>
  </w:style>
  <w:style w:type="character" w:customStyle="1" w:styleId="29">
    <w:name w:val="标题 1 Char"/>
    <w:basedOn w:val="18"/>
    <w:link w:val="3"/>
    <w:qFormat/>
    <w:uiPriority w:val="9"/>
    <w:rPr>
      <w:rFonts w:ascii="Times New Roman" w:hAnsi="Times New Roman" w:eastAsia="仿宋"/>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eastAsia="宋体" w:cs="Times New Roman" w:asciiTheme="majorAscii" w:hAnsiTheme="majorAsci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642.11</c:v>
                </c:pt>
                <c:pt idx="1">
                  <c:v>522.05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642.11</c:v>
                </c:pt>
                <c:pt idx="1">
                  <c:v>522.05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3e512a86-e5c9-4a10-a35d-fface16de235}"/>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99.</a:t>
                    </a:r>
                    <a:r>
                      <a:rPr lang="en-US" altLang="zh-CN"/>
                      <a:t>72</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0.000484374837563866"/>
                  <c:y val="0.21401331132572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0.</a:t>
                    </a:r>
                    <a:r>
                      <a:rPr lang="en-US" altLang="zh-CN"/>
                      <a:t>28</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0.9972</c:v>
                </c:pt>
                <c:pt idx="1">
                  <c:v>0.0028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182dcb5-d2cb-4d79-a290-176ee8bd8e5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75.02</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23.28</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392.57</c:v>
                </c:pt>
                <c:pt idx="1">
                  <c:v>129.48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edff29ac-3974-4465-ae01-b8dba4f9e60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642.11</c:v>
                </c:pt>
                <c:pt idx="1">
                  <c:v>522.05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642.11</c:v>
                </c:pt>
                <c:pt idx="1">
                  <c:v>522.05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b8c7df5-35a7-48e9-9782-174e0a6e817f}"/>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639.11</c:v>
                </c:pt>
                <c:pt idx="1">
                  <c:v>520.57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a1208ef-fa7b-4dad-95d3-8694a8572696}"/>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378752423434636"/>
                  <c:y val="-0.2968377358486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98.60</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184393692092979"/>
                  <c:y val="0.087685052052361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1.40</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0872500000000001"/>
                      <c:h val="0.0767295597484277"/>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社会保障和就业支出（类）</c:v>
                </c:pt>
              </c:strCache>
            </c:strRef>
          </c:cat>
          <c:val>
            <c:numRef>
              <c:f>Sheet1!$B$2:$B$3</c:f>
              <c:numCache>
                <c:formatCode>General</c:formatCode>
                <c:ptCount val="2"/>
                <c:pt idx="0">
                  <c:v>98.77</c:v>
                </c:pt>
                <c:pt idx="1">
                  <c:v>1.23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783e1e0-aac2-400b-9426-ebfe8a6993f9}"/>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4a3d1759-1254-419f-b005-9e07633915be}"/>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22</Pages>
  <Words>8077</Words>
  <Characters>8578</Characters>
  <Lines>47</Lines>
  <Paragraphs>13</Paragraphs>
  <TotalTime>7</TotalTime>
  <ScaleCrop>false</ScaleCrop>
  <LinksUpToDate>false</LinksUpToDate>
  <CharactersWithSpaces>8663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2025-01-08T09:15:45Z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DB83FF4682C443DF864DAFBB55C3CE09</vt:lpwstr>
  </property>
  <property fmtid="{D5CDD505-2E9C-101B-9397-08002B2CF9AE}" pid="4" name="KSOTemplateDocerSaveRecord">
    <vt:lpwstr>eyJoZGlkIjoiMGVhYTg4NGNkZWJkODFjNzcyZDRjM2M4Y2UzNjI5ZmUiLCJ1c2VySWQiOiI2MTE2MzEwMDYifQ==</vt:lpwstr>
  </property>
</Properties>
</file>