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outlineLvl w:val="0"/>
        <w:rPr>
          <w:rFonts w:ascii="方正小标宋简体" w:hAnsi="宋体" w:eastAsia="方正小标宋简体"/>
          <w:color w:val="auto"/>
          <w:sz w:val="72"/>
          <w:szCs w:val="72"/>
          <w:highlight w:val="none"/>
        </w:rPr>
      </w:pPr>
      <w:bookmarkStart w:id="0" w:name="_Toc15306267"/>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spacing w:line="600" w:lineRule="exact"/>
        <w:jc w:val="center"/>
        <w:outlineLvl w:val="0"/>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1" w:name="_Toc15377425"/>
      <w:bookmarkStart w:id="2" w:name="_Toc15396597"/>
      <w:bookmarkStart w:id="3" w:name="_Toc15378441"/>
      <w:bookmarkStart w:id="4" w:name="_Toc15396475"/>
      <w:bookmarkStart w:id="5" w:name="_Toc15377193"/>
      <w:r>
        <w:rPr>
          <w:rFonts w:hint="eastAsia" w:ascii="方正小标宋_GBK" w:hAnsi="方正小标宋_GBK" w:eastAsia="方正小标宋_GBK" w:cs="方正小标宋_GBK"/>
          <w:color w:val="auto"/>
          <w:sz w:val="72"/>
          <w:szCs w:val="72"/>
          <w:highlight w:val="none"/>
        </w:rPr>
        <w:t>2021年度</w:t>
      </w:r>
      <w:bookmarkEnd w:id="1"/>
      <w:bookmarkEnd w:id="2"/>
      <w:bookmarkEnd w:id="3"/>
      <w:bookmarkEnd w:id="4"/>
      <w:bookmarkEnd w:id="5"/>
    </w:p>
    <w:p>
      <w:pPr>
        <w:adjustRightInd w:val="0"/>
        <w:snapToGrid w:val="0"/>
        <w:spacing w:line="360" w:lineRule="auto"/>
        <w:jc w:val="center"/>
        <w:outlineLvl w:val="0"/>
        <w:rPr>
          <w:rFonts w:ascii="方正小标宋_GBK" w:hAnsi="方正小标宋_GBK" w:eastAsia="方正小标宋_GBK" w:cs="方正小标宋_GBK"/>
          <w:color w:val="auto"/>
          <w:sz w:val="72"/>
          <w:szCs w:val="72"/>
          <w:highlight w:val="none"/>
        </w:rPr>
      </w:pPr>
      <w:bookmarkStart w:id="6" w:name="_Toc15396598"/>
      <w:bookmarkStart w:id="7" w:name="_Toc15396476"/>
      <w:bookmarkStart w:id="8" w:name="_Toc15378442"/>
      <w:bookmarkStart w:id="9" w:name="_Toc15377194"/>
      <w:bookmarkStart w:id="10" w:name="_Toc15377426"/>
      <w:r>
        <w:rPr>
          <w:rFonts w:hint="eastAsia" w:ascii="方正小标宋_GBK" w:hAnsi="方正小标宋_GBK" w:eastAsia="方正小标宋_GBK" w:cs="方正小标宋_GBK"/>
          <w:color w:val="auto"/>
          <w:sz w:val="72"/>
          <w:szCs w:val="72"/>
          <w:highlight w:val="none"/>
        </w:rPr>
        <w:t>四川省</w:t>
      </w:r>
      <w:bookmarkEnd w:id="0"/>
      <w:bookmarkStart w:id="11" w:name="_Toc15306268"/>
      <w:r>
        <w:rPr>
          <w:rFonts w:hint="eastAsia" w:ascii="方正小标宋_GBK" w:hAnsi="方正小标宋_GBK" w:eastAsia="方正小标宋_GBK" w:cs="方正小标宋_GBK"/>
          <w:color w:val="auto"/>
          <w:sz w:val="72"/>
          <w:szCs w:val="72"/>
          <w:highlight w:val="none"/>
        </w:rPr>
        <w:t>广元市昭化区虎跳镇小学单位决算</w:t>
      </w:r>
      <w:bookmarkEnd w:id="6"/>
      <w:bookmarkEnd w:id="7"/>
      <w:bookmarkEnd w:id="8"/>
      <w:bookmarkEnd w:id="9"/>
      <w:bookmarkEnd w:id="10"/>
      <w:bookmarkEnd w:id="11"/>
    </w:p>
    <w:p>
      <w:pPr>
        <w:widowControl/>
        <w:jc w:val="center"/>
        <w:rPr>
          <w:rFonts w:ascii="黑体" w:hAnsi="黑体" w:eastAsia="黑体"/>
          <w:color w:val="auto"/>
          <w:sz w:val="48"/>
          <w:szCs w:val="48"/>
          <w:highlight w:val="none"/>
        </w:rPr>
      </w:pPr>
      <w:r>
        <w:rPr>
          <w:rFonts w:ascii="方正小标宋简体" w:hAnsi="宋体" w:eastAsia="方正小标宋简体"/>
          <w:color w:val="auto"/>
          <w:sz w:val="36"/>
          <w:szCs w:val="36"/>
          <w:highlight w:val="none"/>
        </w:rPr>
        <w:br w:type="page"/>
      </w:r>
      <w:r>
        <w:rPr>
          <w:rFonts w:hint="eastAsia" w:ascii="黑体" w:hAnsi="黑体" w:eastAsia="黑体"/>
          <w:color w:val="auto"/>
          <w:sz w:val="48"/>
          <w:szCs w:val="48"/>
          <w:highlight w:val="none"/>
        </w:rPr>
        <w:t>目录</w:t>
      </w:r>
    </w:p>
    <w:p>
      <w:pPr>
        <w:pStyle w:val="13"/>
        <w:jc w:val="both"/>
        <w:rPr>
          <w:color w:val="auto"/>
          <w:highlight w:val="none"/>
        </w:rPr>
      </w:pPr>
    </w:p>
    <w:p>
      <w:pPr>
        <w:rPr>
          <w:color w:val="auto"/>
          <w:highlight w:val="none"/>
        </w:rPr>
      </w:pPr>
    </w:p>
    <w:p>
      <w:pPr>
        <w:pStyle w:val="13"/>
        <w:keepNext w:val="0"/>
        <w:keepLines w:val="0"/>
        <w:pageBreakBefore w:val="0"/>
        <w:widowControl w:val="0"/>
        <w:tabs>
          <w:tab w:val="right" w:leader="middleDot" w:pos="8296"/>
        </w:tabs>
        <w:kinsoku/>
        <w:wordWrap/>
        <w:overflowPunct/>
        <w:topLinePunct w:val="0"/>
        <w:autoSpaceDE/>
        <w:autoSpaceDN/>
        <w:bidi w:val="0"/>
        <w:adjustRightInd w:val="0"/>
        <w:snapToGrid w:val="0"/>
        <w:spacing w:before="0" w:line="440" w:lineRule="exact"/>
        <w:jc w:val="left"/>
        <w:textAlignment w:val="auto"/>
        <w:rPr>
          <w:rFonts w:hint="default" w:eastAsia="仿宋" w:cstheme="minorBidi"/>
          <w:color w:val="auto"/>
          <w:sz w:val="24"/>
          <w:szCs w:val="24"/>
          <w:highlight w:val="none"/>
          <w:lang w:val="en-US" w:eastAsia="zh-CN"/>
        </w:rPr>
      </w:pPr>
      <w:bookmarkStart w:id="12" w:name="_Toc15396599"/>
      <w:bookmarkStart w:id="13" w:name="_Toc15377196"/>
      <w:r>
        <w:rPr>
          <w:rFonts w:hint="eastAsia"/>
          <w:color w:val="auto"/>
          <w:sz w:val="24"/>
          <w:highlight w:val="none"/>
        </w:rPr>
        <w:t>第一部分</w:t>
      </w:r>
      <w:r>
        <w:rPr>
          <w:color w:val="auto"/>
          <w:sz w:val="24"/>
          <w:highlight w:val="none"/>
        </w:rPr>
        <w:t xml:space="preserve"> </w:t>
      </w:r>
      <w:r>
        <w:rPr>
          <w:rFonts w:hint="eastAsia"/>
          <w:color w:val="auto"/>
          <w:sz w:val="24"/>
          <w:highlight w:val="none"/>
          <w:lang w:eastAsia="zh-CN"/>
        </w:rPr>
        <w:t>单位</w:t>
      </w:r>
      <w:r>
        <w:rPr>
          <w:rFonts w:hint="eastAsia"/>
          <w:color w:val="auto"/>
          <w:sz w:val="24"/>
          <w:highlight w:val="none"/>
        </w:rPr>
        <w:t>概况</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eastAsia="宋体"/>
          <w:color w:val="auto"/>
          <w:sz w:val="24"/>
          <w:highlight w:val="none"/>
          <w:lang w:val="en-US" w:eastAsia="zh-CN"/>
        </w:rPr>
      </w:pPr>
      <w:r>
        <w:rPr>
          <w:rFonts w:hint="eastAsia"/>
          <w:color w:val="auto"/>
          <w:sz w:val="24"/>
          <w:highlight w:val="none"/>
        </w:rPr>
        <w:t>一、职能</w:t>
      </w:r>
      <w:r>
        <w:rPr>
          <w:rFonts w:hint="eastAsia"/>
          <w:color w:val="auto"/>
          <w:sz w:val="24"/>
          <w:highlight w:val="none"/>
          <w:lang w:eastAsia="zh-CN"/>
        </w:rPr>
        <w:t>简介</w:t>
      </w:r>
      <w:r>
        <w:rPr>
          <w:rFonts w:hint="eastAsia"/>
          <w:color w:val="auto"/>
          <w:sz w:val="24"/>
          <w:highlight w:val="none"/>
          <w:lang w:val="en-US" w:eastAsia="zh-CN"/>
        </w:rPr>
        <w:tab/>
      </w:r>
      <w:r>
        <w:rPr>
          <w:rFonts w:hint="eastAsia"/>
          <w:color w:val="auto"/>
          <w:sz w:val="24"/>
          <w:highlight w:val="none"/>
          <w:lang w:val="en-US" w:eastAsia="zh-CN"/>
        </w:rPr>
        <w:t>4</w:t>
      </w:r>
    </w:p>
    <w:p>
      <w:pPr>
        <w:pStyle w:val="14"/>
        <w:adjustRightInd w:val="0"/>
        <w:snapToGrid w:val="0"/>
        <w:spacing w:line="440" w:lineRule="exact"/>
        <w:jc w:val="distribute"/>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lang w:eastAsia="zh-CN"/>
        </w:rPr>
        <w:t>二、</w:t>
      </w:r>
      <w:r>
        <w:rPr>
          <w:rFonts w:hint="eastAsia" w:asciiTheme="minorEastAsia" w:hAnsiTheme="minorEastAsia" w:eastAsiaTheme="minorEastAsia" w:cstheme="minorEastAsia"/>
          <w:color w:val="auto"/>
          <w:sz w:val="24"/>
          <w:highlight w:val="none"/>
          <w:lang w:val="en-US" w:eastAsia="zh-CN"/>
        </w:rPr>
        <w:t>2021年重点</w:t>
      </w:r>
      <w:r>
        <w:rPr>
          <w:rFonts w:hint="eastAsia" w:asciiTheme="minorEastAsia" w:hAnsiTheme="minorEastAsia" w:eastAsiaTheme="minorEastAsia" w:cstheme="minorEastAsia"/>
          <w:color w:val="auto"/>
          <w:sz w:val="24"/>
          <w:highlight w:val="none"/>
        </w:rPr>
        <w:t>工作</w:t>
      </w:r>
      <w:r>
        <w:rPr>
          <w:rFonts w:hint="eastAsia" w:asciiTheme="minorEastAsia" w:hAnsiTheme="minorEastAsia" w:eastAsiaTheme="minorEastAsia" w:cstheme="minorEastAsia"/>
          <w:color w:val="auto"/>
          <w:sz w:val="24"/>
          <w:highlight w:val="none"/>
          <w:lang w:eastAsia="zh-CN"/>
        </w:rPr>
        <w:t>完成情况</w:t>
      </w:r>
      <w:r>
        <w:rPr>
          <w:rFonts w:hint="eastAsia"/>
          <w:color w:val="auto"/>
          <w:sz w:val="24"/>
          <w:highlight w:val="none"/>
          <w:lang w:val="en-US" w:eastAsia="zh-CN"/>
        </w:rPr>
        <w:tab/>
      </w:r>
      <w:r>
        <w:rPr>
          <w:rFonts w:hint="eastAsia"/>
          <w:color w:val="auto"/>
          <w:sz w:val="24"/>
          <w:highlight w:val="none"/>
          <w:lang w:val="en-US" w:eastAsia="zh-CN"/>
        </w:rPr>
        <w:t>5</w:t>
      </w:r>
    </w:p>
    <w:p>
      <w:pPr>
        <w:pStyle w:val="13"/>
        <w:adjustRightInd w:val="0"/>
        <w:snapToGrid w:val="0"/>
        <w:spacing w:before="0" w:line="440" w:lineRule="exact"/>
        <w:jc w:val="left"/>
        <w:rPr>
          <w:rFonts w:hint="default"/>
          <w:color w:val="auto"/>
          <w:sz w:val="24"/>
          <w:szCs w:val="24"/>
          <w:highlight w:val="none"/>
          <w:lang w:val="en-US"/>
        </w:rPr>
      </w:pPr>
      <w:r>
        <w:rPr>
          <w:rFonts w:hint="eastAsia"/>
          <w:color w:val="auto"/>
          <w:sz w:val="24"/>
          <w:highlight w:val="none"/>
        </w:rPr>
        <w:t>第二部分</w:t>
      </w:r>
      <w:r>
        <w:rPr>
          <w:rFonts w:hint="eastAsia"/>
          <w:color w:val="auto"/>
          <w:sz w:val="24"/>
          <w:highlight w:val="none"/>
          <w:lang w:val="en-US" w:eastAsia="zh-CN"/>
        </w:rPr>
        <w:t xml:space="preserve"> 2021年度</w:t>
      </w:r>
      <w:r>
        <w:rPr>
          <w:rFonts w:hint="eastAsia"/>
          <w:color w:val="auto"/>
          <w:sz w:val="24"/>
          <w:highlight w:val="none"/>
          <w:lang w:eastAsia="zh-CN"/>
        </w:rPr>
        <w:t>单位</w:t>
      </w:r>
      <w:r>
        <w:rPr>
          <w:rFonts w:hint="eastAsia"/>
          <w:color w:val="auto"/>
          <w:sz w:val="24"/>
          <w:highlight w:val="none"/>
        </w:rPr>
        <w:t>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一、收入支出决算总体情况说明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ascii="仿宋" w:hAnsi="仿宋" w:eastAsia="仿宋" w:cstheme="minorBidi"/>
          <w:color w:val="auto"/>
          <w:sz w:val="24"/>
          <w:highlight w:val="none"/>
        </w:rPr>
      </w:pPr>
      <w:r>
        <w:rPr>
          <w:rFonts w:hint="eastAsia"/>
          <w:color w:val="auto"/>
          <w:sz w:val="24"/>
          <w:highlight w:val="none"/>
        </w:rPr>
        <w:t>二、收入决算情况说明</w:t>
      </w:r>
      <w:r>
        <w:rPr>
          <w:rFonts w:hint="eastAsia"/>
          <w:color w:val="auto"/>
          <w:sz w:val="24"/>
          <w:highlight w:val="none"/>
          <w:lang w:val="en-US" w:eastAsia="zh-CN"/>
        </w:rPr>
        <w:tab/>
      </w:r>
      <w:r>
        <w:rPr>
          <w:rFonts w:hint="eastAsia"/>
          <w:color w:val="auto"/>
          <w:sz w:val="24"/>
          <w:highlight w:val="none"/>
          <w:lang w:val="en-US" w:eastAsia="zh-CN"/>
        </w:rPr>
        <w:t>9</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三、支出决算情况说明</w:t>
      </w:r>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四、财政拨款收入支出决算总体情况说明</w:t>
      </w:r>
      <w:bookmarkStart w:id="67" w:name="_GoBack"/>
      <w:bookmarkEnd w:id="67"/>
      <w:r>
        <w:rPr>
          <w:rFonts w:hint="eastAsia"/>
          <w:color w:val="auto"/>
          <w:sz w:val="24"/>
          <w:highlight w:val="none"/>
          <w:lang w:val="en-US" w:eastAsia="zh-CN"/>
        </w:rPr>
        <w:tab/>
      </w:r>
      <w:r>
        <w:rPr>
          <w:rFonts w:hint="eastAsia"/>
          <w:color w:val="auto"/>
          <w:sz w:val="24"/>
          <w:highlight w:val="none"/>
          <w:lang w:val="en-US" w:eastAsia="zh-CN"/>
        </w:rPr>
        <w:t>10</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五、一般公共预算财政拨款支出决算情况说明</w:t>
      </w:r>
      <w:r>
        <w:rPr>
          <w:rFonts w:hint="eastAsia"/>
          <w:color w:val="auto"/>
          <w:sz w:val="24"/>
          <w:highlight w:val="none"/>
          <w:lang w:val="en-US" w:eastAsia="zh-CN"/>
        </w:rPr>
        <w:tab/>
      </w:r>
      <w:r>
        <w:rPr>
          <w:rFonts w:hint="eastAsia"/>
          <w:color w:val="auto"/>
          <w:sz w:val="24"/>
          <w:highlight w:val="none"/>
          <w:lang w:val="en-US" w:eastAsia="zh-CN"/>
        </w:rPr>
        <w:t>11</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六、一般公共预算财政拨款基本支出决算情况说明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七、</w:t>
      </w:r>
      <w:r>
        <w:rPr>
          <w:rFonts w:hint="eastAsia"/>
          <w:color w:val="auto"/>
          <w:sz w:val="24"/>
          <w:highlight w:val="none"/>
          <w:lang w:eastAsia="zh-CN"/>
        </w:rPr>
        <w:t>“</w:t>
      </w:r>
      <w:r>
        <w:rPr>
          <w:rFonts w:hint="eastAsia"/>
          <w:color w:val="auto"/>
          <w:sz w:val="24"/>
          <w:highlight w:val="none"/>
        </w:rPr>
        <w:t>三公”经费财政拨款支出决算情况说明</w:t>
      </w:r>
      <w:r>
        <w:rPr>
          <w:rFonts w:hint="eastAsia"/>
          <w:color w:val="auto"/>
          <w:sz w:val="24"/>
          <w:highlight w:val="none"/>
          <w:lang w:val="en-US" w:eastAsia="zh-CN"/>
        </w:rPr>
        <w:tab/>
      </w:r>
      <w:r>
        <w:rPr>
          <w:rFonts w:hint="eastAsia"/>
          <w:color w:val="auto"/>
          <w:sz w:val="24"/>
          <w:highlight w:val="none"/>
          <w:lang w:val="en-US" w:eastAsia="zh-CN"/>
        </w:rPr>
        <w:t>12</w:t>
      </w:r>
    </w:p>
    <w:p>
      <w:pPr>
        <w:pStyle w:val="14"/>
        <w:adjustRightInd w:val="0"/>
        <w:snapToGrid w:val="0"/>
        <w:spacing w:line="440" w:lineRule="exact"/>
        <w:jc w:val="distribute"/>
        <w:rPr>
          <w:rFonts w:hint="default" w:ascii="仿宋" w:hAnsi="仿宋" w:eastAsia="仿宋" w:cstheme="minorBidi"/>
          <w:color w:val="auto"/>
          <w:sz w:val="24"/>
          <w:highlight w:val="none"/>
          <w:lang w:val="en-US"/>
        </w:rPr>
      </w:pPr>
      <w:r>
        <w:rPr>
          <w:rFonts w:hint="eastAsia"/>
          <w:color w:val="auto"/>
          <w:sz w:val="24"/>
          <w:highlight w:val="none"/>
        </w:rPr>
        <w:t>八、政府性基金预算支出决算情况说明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eastAsia"/>
          <w:color w:val="auto"/>
          <w:sz w:val="24"/>
          <w:highlight w:val="none"/>
        </w:rPr>
      </w:pPr>
      <w:r>
        <w:rPr>
          <w:rFonts w:hint="eastAsia"/>
          <w:color w:val="auto"/>
          <w:sz w:val="24"/>
          <w:highlight w:val="none"/>
        </w:rPr>
        <w:t>九、国有资本经营预算支出决算情况说明</w:t>
      </w:r>
      <w:r>
        <w:rPr>
          <w:rFonts w:hint="eastAsia"/>
          <w:color w:val="auto"/>
          <w:sz w:val="24"/>
          <w:highlight w:val="none"/>
          <w:lang w:val="en-US" w:eastAsia="zh-CN"/>
        </w:rPr>
        <w:tab/>
      </w:r>
      <w:r>
        <w:rPr>
          <w:rFonts w:hint="eastAsia"/>
          <w:color w:val="auto"/>
          <w:sz w:val="24"/>
          <w:highlight w:val="none"/>
          <w:lang w:val="en-US" w:eastAsia="zh-CN"/>
        </w:rPr>
        <w:t>14</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rPr>
        <w:t>十、</w:t>
      </w:r>
      <w:r>
        <w:rPr>
          <w:rFonts w:hint="eastAsia" w:asciiTheme="minorEastAsia" w:hAnsiTheme="minorEastAsia" w:eastAsiaTheme="minorEastAsia" w:cstheme="minorEastAsia"/>
          <w:color w:val="auto"/>
          <w:sz w:val="24"/>
          <w:highlight w:val="none"/>
          <w:lang w:val="en-US" w:eastAsia="zh-CN"/>
        </w:rPr>
        <w:t>预算绩效管理情况</w:t>
      </w:r>
      <w:r>
        <w:rPr>
          <w:rFonts w:hint="eastAsia"/>
          <w:color w:val="auto"/>
          <w:sz w:val="24"/>
          <w:highlight w:val="none"/>
          <w:lang w:val="en-US" w:eastAsia="zh-CN"/>
        </w:rPr>
        <w:tab/>
      </w:r>
      <w:r>
        <w:rPr>
          <w:rFonts w:hint="eastAsia"/>
          <w:color w:val="auto"/>
          <w:sz w:val="24"/>
          <w:highlight w:val="none"/>
          <w:lang w:val="en-US" w:eastAsia="zh-CN"/>
        </w:rPr>
        <w:t>15</w:t>
      </w:r>
    </w:p>
    <w:p>
      <w:pPr>
        <w:pStyle w:val="14"/>
        <w:adjustRightInd w:val="0"/>
        <w:snapToGrid w:val="0"/>
        <w:spacing w:line="440" w:lineRule="exact"/>
        <w:jc w:val="distribute"/>
        <w:rPr>
          <w:rFonts w:hint="default" w:eastAsia="宋体"/>
          <w:color w:val="auto"/>
          <w:highlight w:val="none"/>
          <w:lang w:val="en-US" w:eastAsia="zh-CN"/>
        </w:rPr>
      </w:pPr>
      <w:r>
        <w:rPr>
          <w:rFonts w:hint="eastAsia"/>
          <w:color w:val="auto"/>
          <w:sz w:val="24"/>
          <w:highlight w:val="none"/>
          <w:lang w:val="en-US" w:eastAsia="zh-CN"/>
        </w:rPr>
        <w:t>十一、</w:t>
      </w:r>
      <w:r>
        <w:rPr>
          <w:rFonts w:hint="eastAsia"/>
          <w:color w:val="auto"/>
          <w:sz w:val="24"/>
          <w:highlight w:val="none"/>
        </w:rPr>
        <w:t>其他重要事项的情况说明</w:t>
      </w:r>
      <w:r>
        <w:rPr>
          <w:rFonts w:hint="eastAsia"/>
          <w:color w:val="auto"/>
          <w:sz w:val="24"/>
          <w:highlight w:val="none"/>
          <w:lang w:val="en-US" w:eastAsia="zh-CN"/>
        </w:rPr>
        <w:tab/>
      </w:r>
      <w:r>
        <w:rPr>
          <w:rFonts w:hint="eastAsia"/>
          <w:color w:val="auto"/>
          <w:sz w:val="24"/>
          <w:highlight w:val="none"/>
          <w:lang w:val="en-US" w:eastAsia="zh-CN"/>
        </w:rPr>
        <w:t>15</w:t>
      </w:r>
    </w:p>
    <w:p>
      <w:pPr>
        <w:pStyle w:val="13"/>
        <w:adjustRightInd w:val="0"/>
        <w:snapToGrid w:val="0"/>
        <w:spacing w:before="0" w:line="440" w:lineRule="exact"/>
        <w:jc w:val="left"/>
        <w:rPr>
          <w:rFonts w:hint="default" w:ascii="Times New Roman" w:hAnsi="Times New Roman" w:eastAsia="宋体" w:cs="Times New Roman"/>
          <w:color w:val="auto"/>
          <w:kern w:val="2"/>
          <w:sz w:val="24"/>
          <w:szCs w:val="24"/>
          <w:highlight w:val="none"/>
          <w:lang w:val="en-US" w:eastAsia="zh-CN" w:bidi="ar-SA"/>
        </w:rPr>
      </w:pPr>
      <w:r>
        <w:rPr>
          <w:rFonts w:hint="eastAsia"/>
          <w:color w:val="auto"/>
          <w:sz w:val="24"/>
          <w:highlight w:val="none"/>
        </w:rPr>
        <w:t>第三部分</w:t>
      </w:r>
      <w:r>
        <w:rPr>
          <w:color w:val="auto"/>
          <w:sz w:val="24"/>
          <w:highlight w:val="none"/>
        </w:rPr>
        <w:t xml:space="preserve"> </w:t>
      </w:r>
      <w:r>
        <w:rPr>
          <w:rFonts w:hint="eastAsia"/>
          <w:color w:val="auto"/>
          <w:sz w:val="24"/>
          <w:highlight w:val="none"/>
        </w:rPr>
        <w:t>名词解释</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16</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第四部分</w:t>
      </w:r>
      <w:r>
        <w:rPr>
          <w:color w:val="auto"/>
          <w:sz w:val="24"/>
          <w:highlight w:val="none"/>
        </w:rPr>
        <w:t xml:space="preserve"> </w:t>
      </w:r>
      <w:r>
        <w:rPr>
          <w:rFonts w:hint="eastAsia"/>
          <w:color w:val="auto"/>
          <w:sz w:val="24"/>
          <w:highlight w:val="none"/>
        </w:rPr>
        <w:t>附件</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18</w:t>
      </w:r>
    </w:p>
    <w:p>
      <w:pPr>
        <w:pStyle w:val="13"/>
        <w:adjustRightInd w:val="0"/>
        <w:snapToGrid w:val="0"/>
        <w:spacing w:before="0" w:line="440" w:lineRule="exact"/>
        <w:jc w:val="left"/>
        <w:rPr>
          <w:rFonts w:hint="default" w:cstheme="minorBidi"/>
          <w:color w:val="auto"/>
          <w:sz w:val="24"/>
          <w:szCs w:val="24"/>
          <w:highlight w:val="none"/>
          <w:lang w:val="en-US"/>
        </w:rPr>
      </w:pPr>
      <w:r>
        <w:rPr>
          <w:rFonts w:hint="eastAsia"/>
          <w:color w:val="auto"/>
          <w:sz w:val="24"/>
          <w:highlight w:val="none"/>
        </w:rPr>
        <w:t>第五部分</w:t>
      </w:r>
      <w:r>
        <w:rPr>
          <w:color w:val="auto"/>
          <w:sz w:val="24"/>
          <w:highlight w:val="none"/>
        </w:rPr>
        <w:t xml:space="preserve"> </w:t>
      </w:r>
      <w:r>
        <w:rPr>
          <w:rFonts w:hint="eastAsia"/>
          <w:color w:val="auto"/>
          <w:sz w:val="24"/>
          <w:highlight w:val="none"/>
        </w:rPr>
        <w:t>附表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default"/>
          <w:color w:val="auto"/>
          <w:sz w:val="24"/>
          <w:highlight w:val="none"/>
          <w:lang w:val="en-US"/>
        </w:rPr>
      </w:pPr>
      <w:r>
        <w:rPr>
          <w:rFonts w:hint="eastAsia"/>
          <w:color w:val="auto"/>
          <w:sz w:val="24"/>
          <w:highlight w:val="none"/>
        </w:rPr>
        <w:t>一、收入支出决算总表</w:t>
      </w:r>
      <w:r>
        <w:rPr>
          <w:rFonts w:hint="eastAsia"/>
          <w:color w:val="auto"/>
          <w:sz w:val="24"/>
          <w:highlight w:val="none"/>
          <w:lang w:val="en-US" w:eastAsia="zh-CN"/>
        </w:rPr>
        <w:tab/>
      </w:r>
      <w:r>
        <w:rPr>
          <w:rFonts w:hint="eastAsia" w:ascii="Times New Roman" w:hAnsi="Times New Roman" w:eastAsia="宋体" w:cs="Times New Roman"/>
          <w:color w:val="auto"/>
          <w:kern w:val="2"/>
          <w:sz w:val="24"/>
          <w:szCs w:val="24"/>
          <w:highlight w:val="none"/>
          <w:lang w:val="en-US" w:eastAsia="zh-CN" w:bidi="ar-SA"/>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二、收入决算表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三、支出决算表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四、财政拨款收入支出决算总表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五、财政拨款支出决算明细表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六、一般公共预算财政拨款支出决算表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七、一般公共预算财政拨款支出决算明细表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八、一般公共预算财政拨款基本支出决算表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九、一般公共预算财政拨款项目支出决算表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十、一般公共预算财政拨款“三公”经费支出决算表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十一、政府性基金预算财政拨款收入支出决算表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十二、政府性基金预算财政拨款“三公”经费支出决算表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hint="eastAsia"/>
          <w:color w:val="auto"/>
          <w:sz w:val="24"/>
          <w:highlight w:val="none"/>
        </w:rPr>
      </w:pPr>
      <w:r>
        <w:rPr>
          <w:rFonts w:hint="eastAsia"/>
          <w:color w:val="auto"/>
          <w:sz w:val="24"/>
          <w:highlight w:val="none"/>
        </w:rPr>
        <w:t>十三、国有资本经营预算</w:t>
      </w:r>
      <w:r>
        <w:rPr>
          <w:rFonts w:hint="eastAsia"/>
          <w:color w:val="auto"/>
          <w:sz w:val="24"/>
          <w:highlight w:val="none"/>
          <w:lang w:eastAsia="zh-CN"/>
        </w:rPr>
        <w:t>财政拨款收入</w:t>
      </w:r>
      <w:r>
        <w:rPr>
          <w:rFonts w:hint="eastAsia"/>
          <w:color w:val="auto"/>
          <w:sz w:val="24"/>
          <w:highlight w:val="none"/>
        </w:rPr>
        <w:t>支出决算表</w:t>
      </w:r>
      <w:r>
        <w:rPr>
          <w:rFonts w:hint="eastAsia"/>
          <w:color w:val="auto"/>
          <w:sz w:val="24"/>
          <w:highlight w:val="none"/>
          <w:lang w:val="en-US" w:eastAsia="zh-CN"/>
        </w:rPr>
        <w:tab/>
      </w:r>
      <w:r>
        <w:rPr>
          <w:rFonts w:hint="eastAsia"/>
          <w:color w:val="auto"/>
          <w:sz w:val="24"/>
          <w:highlight w:val="none"/>
          <w:lang w:val="en-US" w:eastAsia="zh-CN"/>
        </w:rPr>
        <w:t>20</w:t>
      </w:r>
    </w:p>
    <w:p>
      <w:pPr>
        <w:pStyle w:val="14"/>
        <w:adjustRightInd w:val="0"/>
        <w:snapToGrid w:val="0"/>
        <w:spacing w:line="440" w:lineRule="exact"/>
        <w:jc w:val="left"/>
        <w:rPr>
          <w:rFonts w:ascii="仿宋" w:hAnsi="仿宋" w:eastAsia="仿宋"/>
          <w:bCs/>
          <w:color w:val="auto"/>
          <w:kern w:val="44"/>
          <w:sz w:val="24"/>
          <w:highlight w:val="none"/>
        </w:rPr>
      </w:pPr>
      <w:r>
        <w:rPr>
          <w:rFonts w:hint="eastAsia"/>
          <w:color w:val="auto"/>
          <w:sz w:val="24"/>
          <w:highlight w:val="none"/>
          <w:lang w:val="en-US" w:eastAsia="zh-CN"/>
        </w:rPr>
        <w:t>十四、国有资本经营预算财政拨款支出决算表</w:t>
      </w:r>
      <w:r>
        <w:rPr>
          <w:rFonts w:hint="eastAsia"/>
          <w:color w:val="auto"/>
          <w:sz w:val="24"/>
          <w:highlight w:val="none"/>
          <w:lang w:val="en-US" w:eastAsia="zh-CN"/>
        </w:rPr>
        <w:tab/>
      </w:r>
      <w:r>
        <w:rPr>
          <w:rFonts w:hint="eastAsia"/>
          <w:color w:val="auto"/>
          <w:sz w:val="24"/>
          <w:highlight w:val="none"/>
          <w:lang w:val="en-US" w:eastAsia="zh-CN"/>
        </w:rPr>
        <w:t>20</w:t>
      </w:r>
      <w:r>
        <w:rPr>
          <w:rFonts w:ascii="仿宋" w:hAnsi="仿宋" w:eastAsia="仿宋"/>
          <w:b/>
          <w:color w:val="auto"/>
          <w:sz w:val="24"/>
          <w:highlight w:val="none"/>
        </w:rPr>
        <w:br w:type="page"/>
      </w:r>
    </w:p>
    <w:p>
      <w:pPr>
        <w:pStyle w:val="3"/>
        <w:jc w:val="center"/>
        <w:rPr>
          <w:rStyle w:val="29"/>
          <w:rFonts w:ascii="黑体" w:hAnsi="黑体" w:eastAsia="黑体"/>
          <w:b/>
          <w:bCs w:val="0"/>
          <w:color w:val="auto"/>
          <w:highlight w:val="none"/>
        </w:rPr>
      </w:pPr>
      <w:r>
        <w:rPr>
          <w:rFonts w:hint="eastAsia" w:ascii="黑体" w:hAnsi="黑体" w:eastAsia="黑体"/>
          <w:b w:val="0"/>
          <w:color w:val="auto"/>
          <w:highlight w:val="none"/>
        </w:rPr>
        <w:t>第一部分 单位</w:t>
      </w:r>
      <w:r>
        <w:rPr>
          <w:rStyle w:val="29"/>
          <w:rFonts w:hint="eastAsia" w:ascii="黑体" w:hAnsi="黑体" w:eastAsia="黑体"/>
          <w:b w:val="0"/>
          <w:bCs w:val="0"/>
          <w:color w:val="auto"/>
          <w:highlight w:val="none"/>
        </w:rPr>
        <w:t>概况</w:t>
      </w:r>
      <w:bookmarkEnd w:id="12"/>
      <w:bookmarkEnd w:id="13"/>
    </w:p>
    <w:p>
      <w:pPr>
        <w:widowControl/>
        <w:jc w:val="left"/>
        <w:rPr>
          <w:rFonts w:ascii="黑体" w:eastAsia="黑体"/>
          <w:color w:val="auto"/>
          <w:sz w:val="32"/>
          <w:szCs w:val="32"/>
          <w:highlight w:val="none"/>
        </w:rPr>
      </w:pPr>
    </w:p>
    <w:p>
      <w:pPr>
        <w:pStyle w:val="4"/>
        <w:numPr>
          <w:ilvl w:val="0"/>
          <w:numId w:val="1"/>
        </w:numPr>
        <w:rPr>
          <w:rStyle w:val="30"/>
          <w:rFonts w:ascii="黑体" w:hAnsi="黑体" w:eastAsia="黑体"/>
          <w:b w:val="0"/>
          <w:bCs w:val="0"/>
          <w:color w:val="auto"/>
          <w:highlight w:val="none"/>
        </w:rPr>
      </w:pPr>
      <w:bookmarkStart w:id="14" w:name="_Toc15377197"/>
      <w:bookmarkStart w:id="15" w:name="_Toc15396600"/>
      <w:r>
        <w:rPr>
          <w:rStyle w:val="30"/>
          <w:rFonts w:hint="eastAsia" w:ascii="黑体" w:hAnsi="黑体" w:eastAsia="黑体"/>
          <w:b w:val="0"/>
          <w:bCs w:val="0"/>
          <w:color w:val="auto"/>
          <w:highlight w:val="none"/>
        </w:rPr>
        <w:t>职能简介</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1.贯彻党的教育方针，坚持社会主义办学方向，实行教育与生产劳动相结合，对学生进行德育、智育、体育、美育和劳动等方面的教育。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2.负责配合政府依法动员、组织适龄儿童、少年入学，严格控制学生辍学，依法保证适龄儿童、少年接受九年义务教育。</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3.负责依法制定学校章程，并按照章程自主管理。</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4.负责制定学校教育发展规划，并抓好组织和实施工作。</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5.负责按照教育主管部门发布的指导性教学计划、 教学大纲，组织实施教育教学活动。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6.</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负责学籍管理并对学生实施奖励或处分。</w:t>
      </w:r>
    </w:p>
    <w:p>
      <w:pPr>
        <w:pStyle w:val="15"/>
        <w:adjustRightInd w:val="0"/>
        <w:spacing w:beforeLines="30" w:line="500" w:lineRule="exact"/>
        <w:ind w:firstLine="640" w:firstLineChars="200"/>
        <w:outlineLvl w:val="2"/>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7.</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负责依法制定本校教师及其他职工聘任办法并对教师及其他员工实施包括奖励、处分</w:t>
      </w:r>
      <w:r>
        <w:rPr>
          <w:rFonts w:hint="eastAsia" w:ascii="仿宋" w:hAnsi="仿宋" w:eastAsia="仿宋" w:cs="仿宋"/>
          <w:color w:val="auto"/>
          <w:sz w:val="32"/>
          <w:szCs w:val="32"/>
          <w:highlight w:val="none"/>
        </w:rPr>
        <w:t>在内的具体管理活动。</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8. 负责科学管理、合理使用学校的设施和经费，并积极筹措资金，改善办学条件。</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9. 负责维护学校、师生的合法权益，有权拒绝任何组织和个人对教育教学活动</w:t>
      </w:r>
      <w:r>
        <w:rPr>
          <w:rFonts w:hint="eastAsia" w:ascii="仿宋" w:hAnsi="仿宋" w:eastAsia="仿宋" w:cs="仿宋"/>
          <w:color w:val="auto"/>
          <w:sz w:val="32"/>
          <w:szCs w:val="32"/>
          <w:highlight w:val="none"/>
          <w:lang w:eastAsia="zh-CN"/>
        </w:rPr>
        <w:t>的</w:t>
      </w:r>
      <w:r>
        <w:rPr>
          <w:rFonts w:hint="eastAsia" w:ascii="仿宋" w:hAnsi="仿宋" w:eastAsia="仿宋" w:cs="仿宋"/>
          <w:color w:val="auto"/>
          <w:sz w:val="32"/>
          <w:szCs w:val="32"/>
          <w:highlight w:val="none"/>
        </w:rPr>
        <w:t>非法干扰。</w:t>
      </w:r>
    </w:p>
    <w:p>
      <w:pPr>
        <w:pStyle w:val="15"/>
        <w:adjustRightInd w:val="0"/>
        <w:spacing w:beforeLines="30" w:line="500" w:lineRule="exact"/>
        <w:ind w:firstLine="640" w:firstLineChars="200"/>
        <w:outlineLvl w:val="2"/>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10.</w:t>
      </w:r>
      <w:r>
        <w:rPr>
          <w:rFonts w:hint="eastAsia" w:ascii="仿宋_GB2312" w:eastAsia="仿宋_GB2312"/>
          <w:color w:val="auto"/>
          <w:kern w:val="0"/>
          <w:szCs w:val="20"/>
          <w:highlight w:val="none"/>
        </w:rPr>
        <w:t xml:space="preserve"> </w:t>
      </w:r>
      <w:r>
        <w:rPr>
          <w:rFonts w:hint="eastAsia" w:ascii="仿宋" w:hAnsi="仿宋" w:eastAsia="仿宋" w:cs="仿宋"/>
          <w:color w:val="auto"/>
          <w:sz w:val="32"/>
          <w:szCs w:val="32"/>
          <w:highlight w:val="none"/>
        </w:rPr>
        <w:t>依法接受各级教育行政部门的检查指导和人民群众的监督。</w:t>
      </w:r>
    </w:p>
    <w:p>
      <w:pPr>
        <w:ind w:firstLine="640" w:firstLineChars="200"/>
        <w:rPr>
          <w:rFonts w:ascii="仿宋" w:hAnsi="仿宋" w:eastAsia="仿宋" w:cs="仿宋"/>
          <w:color w:val="auto"/>
          <w:sz w:val="32"/>
          <w:szCs w:val="32"/>
          <w:highlight w:val="none"/>
        </w:rPr>
      </w:pPr>
      <w:r>
        <w:rPr>
          <w:rFonts w:hint="eastAsia" w:ascii="仿宋" w:hAnsi="仿宋" w:eastAsia="仿宋" w:cs="仿宋"/>
          <w:color w:val="auto"/>
          <w:sz w:val="32"/>
          <w:szCs w:val="32"/>
          <w:highlight w:val="none"/>
        </w:rPr>
        <w:t>11.承办上级交办的其他事项。</w:t>
      </w:r>
    </w:p>
    <w:p>
      <w:pPr>
        <w:pStyle w:val="4"/>
        <w:rPr>
          <w:rFonts w:ascii="黑体" w:hAnsi="黑体" w:eastAsia="黑体"/>
          <w:b w:val="0"/>
          <w:color w:val="auto"/>
          <w:highlight w:val="none"/>
        </w:rPr>
      </w:pPr>
      <w:r>
        <w:rPr>
          <w:rFonts w:hint="eastAsia" w:ascii="黑体" w:hAnsi="黑体" w:eastAsia="黑体"/>
          <w:b w:val="0"/>
          <w:color w:val="auto"/>
          <w:highlight w:val="none"/>
        </w:rPr>
        <w:t>二、2021年重点工作</w:t>
      </w:r>
      <w:bookmarkEnd w:id="14"/>
      <w:bookmarkEnd w:id="15"/>
      <w:r>
        <w:rPr>
          <w:rFonts w:hint="eastAsia" w:ascii="黑体" w:hAnsi="黑体" w:eastAsia="黑体"/>
          <w:b w:val="0"/>
          <w:color w:val="auto"/>
          <w:highlight w:val="none"/>
        </w:rPr>
        <w:t>完成情况</w:t>
      </w:r>
    </w:p>
    <w:p>
      <w:pPr>
        <w:spacing w:line="576" w:lineRule="exact"/>
        <w:ind w:firstLine="640" w:firstLineChars="200"/>
        <w:rPr>
          <w:rFonts w:ascii="楷体_GB2312" w:eastAsia="楷体_GB2312"/>
          <w:bCs/>
          <w:color w:val="auto"/>
          <w:sz w:val="32"/>
          <w:szCs w:val="32"/>
          <w:highlight w:val="none"/>
        </w:rPr>
      </w:pPr>
      <w:r>
        <w:rPr>
          <w:rFonts w:hint="eastAsia" w:ascii="楷体_GB2312" w:eastAsia="楷体_GB2312"/>
          <w:bCs/>
          <w:color w:val="auto"/>
          <w:sz w:val="32"/>
          <w:szCs w:val="32"/>
          <w:highlight w:val="none"/>
        </w:rPr>
        <w:t>（一）工作方略</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统一一个思想：积极践行党组织领导下的校长负责制。</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练就一身本领：作为校长，要耐得住，静得下，会思考。</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完善一套机制：对教师的管理，要用学习去提高，用理论去武装，用制度去约束，用成绩去激励，用语言去温暖，用肚量去和谐，用任务去锻炼，用愿景去凝聚。</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4.</w:t>
      </w:r>
      <w:r>
        <w:rPr>
          <w:rFonts w:hint="eastAsia" w:eastAsia="仿宋_GB2312"/>
          <w:bCs/>
          <w:color w:val="auto"/>
          <w:sz w:val="32"/>
          <w:szCs w:val="32"/>
          <w:highlight w:val="none"/>
        </w:rPr>
        <w:t>形成一种风气：领导围着教师转，教师围着学生转，后勤围着前勤转，全校围着教学转。</w:t>
      </w:r>
    </w:p>
    <w:p>
      <w:pPr>
        <w:spacing w:line="576" w:lineRule="exact"/>
        <w:ind w:firstLine="640" w:firstLineChars="200"/>
        <w:rPr>
          <w:rFonts w:ascii="楷体_GB2312" w:eastAsia="楷体_GB2312"/>
          <w:bCs/>
          <w:color w:val="auto"/>
          <w:sz w:val="32"/>
          <w:szCs w:val="32"/>
          <w:highlight w:val="none"/>
        </w:rPr>
      </w:pPr>
      <w:r>
        <w:rPr>
          <w:rFonts w:hint="eastAsia" w:ascii="楷体_GB2312" w:eastAsia="楷体_GB2312"/>
          <w:bCs/>
          <w:color w:val="auto"/>
          <w:sz w:val="32"/>
          <w:szCs w:val="32"/>
          <w:highlight w:val="none"/>
        </w:rPr>
        <w:t>（二）学生成长</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保障安全，质量先行。我们把安全管理放在学校工作的第一位。安全管理网络健全，责任明确，措施有力。通过学习、培训、讲座、系列活动等，</w:t>
      </w:r>
      <w:r>
        <w:rPr>
          <w:rFonts w:hint="eastAsia" w:eastAsia="仿宋_GB2312"/>
          <w:bCs/>
          <w:color w:val="auto"/>
          <w:sz w:val="32"/>
          <w:szCs w:val="32"/>
          <w:highlight w:val="none"/>
        </w:rPr>
        <w:t>为全校师生工作、学习、生活保驾护航。针对新冠疫情防控，学校坚持</w:t>
      </w:r>
      <w:r>
        <w:rPr>
          <w:rFonts w:eastAsia="仿宋_GB2312"/>
          <w:bCs/>
          <w:color w:val="auto"/>
          <w:sz w:val="32"/>
          <w:szCs w:val="32"/>
          <w:highlight w:val="none"/>
        </w:rPr>
        <w:t>“</w:t>
      </w:r>
      <w:r>
        <w:rPr>
          <w:rFonts w:hint="eastAsia" w:eastAsia="仿宋_GB2312"/>
          <w:bCs/>
          <w:color w:val="auto"/>
          <w:sz w:val="32"/>
          <w:szCs w:val="32"/>
          <w:highlight w:val="none"/>
        </w:rPr>
        <w:t>做好规定动作不走样</w:t>
      </w:r>
      <w:r>
        <w:rPr>
          <w:rFonts w:eastAsia="仿宋_GB2312"/>
          <w:bCs/>
          <w:color w:val="auto"/>
          <w:sz w:val="32"/>
          <w:szCs w:val="32"/>
          <w:highlight w:val="none"/>
        </w:rPr>
        <w:t>”</w:t>
      </w:r>
      <w:r>
        <w:rPr>
          <w:rFonts w:hint="eastAsia" w:eastAsia="仿宋_GB2312"/>
          <w:bCs/>
          <w:color w:val="auto"/>
          <w:sz w:val="32"/>
          <w:szCs w:val="32"/>
          <w:highlight w:val="none"/>
        </w:rPr>
        <w:t>的原则，严格按照四川省中小学防疫指南及各级主管部门要求，规范操作，动态管理，科学防疫，并形成常态机制。</w:t>
      </w:r>
    </w:p>
    <w:p>
      <w:pPr>
        <w:spacing w:line="576"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我们把提高教学质量作为学校工作的生命线。教学实施精细化过程管理，充分调动教师的能动作用，切实抓好教学六认真，打造高效课堂，提高学习效率，缩小差距，提升水平。坚持班子成员联系年级负责制，坚持</w:t>
      </w:r>
      <w:r>
        <w:rPr>
          <w:rFonts w:eastAsia="仿宋_GB2312"/>
          <w:bCs/>
          <w:color w:val="auto"/>
          <w:sz w:val="32"/>
          <w:szCs w:val="32"/>
          <w:highlight w:val="none"/>
        </w:rPr>
        <w:t>“</w:t>
      </w:r>
      <w:r>
        <w:rPr>
          <w:rFonts w:hint="eastAsia" w:eastAsia="仿宋_GB2312"/>
          <w:bCs/>
          <w:color w:val="auto"/>
          <w:sz w:val="32"/>
          <w:szCs w:val="32"/>
          <w:highlight w:val="none"/>
        </w:rPr>
        <w:t>名优</w:t>
      </w:r>
      <w:r>
        <w:rPr>
          <w:rFonts w:eastAsia="仿宋_GB2312"/>
          <w:bCs/>
          <w:color w:val="auto"/>
          <w:sz w:val="32"/>
          <w:szCs w:val="32"/>
          <w:highlight w:val="none"/>
        </w:rPr>
        <w:t>”</w:t>
      </w:r>
      <w:r>
        <w:rPr>
          <w:rFonts w:hint="eastAsia" w:eastAsia="仿宋_GB2312"/>
          <w:bCs/>
          <w:color w:val="auto"/>
          <w:sz w:val="32"/>
          <w:szCs w:val="32"/>
          <w:highlight w:val="none"/>
        </w:rPr>
        <w:t>教师导师制。</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规范管理，外化于行。聚焦八大模块：即仪容仪表、财产管理、小红帽自主管理、课间安全、食堂就餐、文明就寝、桌椅摆放、学习向上。分块管理、分人负责。成就了学生的好习惯、好形象，培养了学生个性品质和合作意识。常规管理上，让学生参与其中，通过学生自主管理，教师调控，形成了人人有事做，事事有人管的良好局面。学校重视学生全面的兴趣特长，大力实施</w:t>
      </w:r>
      <w:r>
        <w:rPr>
          <w:rFonts w:eastAsia="仿宋_GB2312"/>
          <w:bCs/>
          <w:color w:val="auto"/>
          <w:sz w:val="32"/>
          <w:szCs w:val="32"/>
          <w:highlight w:val="none"/>
        </w:rPr>
        <w:t>“2+1”</w:t>
      </w:r>
      <w:r>
        <w:rPr>
          <w:rFonts w:hint="eastAsia" w:eastAsia="仿宋_GB2312"/>
          <w:bCs/>
          <w:color w:val="auto"/>
          <w:sz w:val="32"/>
          <w:szCs w:val="32"/>
          <w:highlight w:val="none"/>
        </w:rPr>
        <w:t>项目。除开严格艺术教育课堂教学外，还开设了艺术教育社团</w:t>
      </w:r>
      <w:r>
        <w:rPr>
          <w:rFonts w:eastAsia="仿宋_GB2312"/>
          <w:bCs/>
          <w:color w:val="auto"/>
          <w:sz w:val="32"/>
          <w:szCs w:val="32"/>
          <w:highlight w:val="none"/>
        </w:rPr>
        <w:t>18</w:t>
      </w:r>
      <w:r>
        <w:rPr>
          <w:rFonts w:hint="eastAsia" w:eastAsia="仿宋_GB2312"/>
          <w:bCs/>
          <w:color w:val="auto"/>
          <w:sz w:val="32"/>
          <w:szCs w:val="32"/>
          <w:highlight w:val="none"/>
        </w:rPr>
        <w:t>个，采用学生自主选择和</w:t>
      </w:r>
      <w:r>
        <w:rPr>
          <w:rFonts w:eastAsia="仿宋_GB2312"/>
          <w:bCs/>
          <w:color w:val="auto"/>
          <w:sz w:val="32"/>
          <w:szCs w:val="32"/>
          <w:highlight w:val="none"/>
        </w:rPr>
        <w:t>“</w:t>
      </w:r>
      <w:r>
        <w:rPr>
          <w:rFonts w:hint="eastAsia" w:eastAsia="仿宋_GB2312"/>
          <w:bCs/>
          <w:color w:val="auto"/>
          <w:sz w:val="32"/>
          <w:szCs w:val="32"/>
          <w:highlight w:val="none"/>
        </w:rPr>
        <w:t>苗子</w:t>
      </w:r>
      <w:r>
        <w:rPr>
          <w:rFonts w:eastAsia="仿宋_GB2312"/>
          <w:bCs/>
          <w:color w:val="auto"/>
          <w:sz w:val="32"/>
          <w:szCs w:val="32"/>
          <w:highlight w:val="none"/>
        </w:rPr>
        <w:t>”</w:t>
      </w:r>
      <w:r>
        <w:rPr>
          <w:rFonts w:hint="eastAsia" w:eastAsia="仿宋_GB2312"/>
          <w:bCs/>
          <w:color w:val="auto"/>
          <w:sz w:val="32"/>
          <w:szCs w:val="32"/>
          <w:highlight w:val="none"/>
        </w:rPr>
        <w:t>培养的方式，让学生人人发现特长，发展特长。</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关注他人，关注社会。引导学生放眼窗外，关注社会。通过德育系列活动，达到立德树人的目标；开展扶贫日捐助、做小小宣传员、深入村社开展脱贫攻坚知识宣讲等活动，让学生学会关心帮助他人；让学生走出校园，在调查、参观中培养综合能力；通过远足、野炊、深入社区义务服务等活动，进行主题学习、观察记录、动手实践，让学生与自然共生，与文化同行。</w:t>
      </w:r>
    </w:p>
    <w:p>
      <w:pPr>
        <w:spacing w:line="576" w:lineRule="exact"/>
        <w:ind w:firstLine="640" w:firstLineChars="200"/>
        <w:rPr>
          <w:rFonts w:ascii="楷体_GB2312" w:eastAsia="楷体_GB2312"/>
          <w:bCs/>
          <w:color w:val="auto"/>
          <w:sz w:val="32"/>
          <w:szCs w:val="32"/>
          <w:highlight w:val="none"/>
        </w:rPr>
      </w:pPr>
      <w:r>
        <w:rPr>
          <w:rFonts w:hint="eastAsia" w:ascii="楷体_GB2312" w:eastAsia="楷体_GB2312"/>
          <w:bCs/>
          <w:color w:val="auto"/>
          <w:sz w:val="32"/>
          <w:szCs w:val="32"/>
          <w:highlight w:val="none"/>
        </w:rPr>
        <w:t>（三）教师发展</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党建为本。统一思想，占领高地，规范行为。一个支部就是一座堡垒，一个党员就是一面旗帜。在纪律作风整顿年充分把</w:t>
      </w:r>
      <w:r>
        <w:rPr>
          <w:rFonts w:eastAsia="仿宋_GB2312"/>
          <w:bCs/>
          <w:color w:val="auto"/>
          <w:sz w:val="32"/>
          <w:szCs w:val="32"/>
          <w:highlight w:val="none"/>
        </w:rPr>
        <w:t>“</w:t>
      </w:r>
      <w:r>
        <w:rPr>
          <w:rFonts w:hint="eastAsia" w:eastAsia="仿宋_GB2312"/>
          <w:bCs/>
          <w:color w:val="auto"/>
          <w:sz w:val="32"/>
          <w:szCs w:val="32"/>
          <w:highlight w:val="none"/>
        </w:rPr>
        <w:t>以案促改”主题活动同学校发展、教师发展、学生发展相结合，突出实效性。努力践行党组织领导下的校长负责制，统一教职工思想，占领育人高地，规范师生行为。目前，我校教师队伍，政治信念坚定立场稳，政治氛围融洽人心齐，政治生活严肃有辣味，政治文化和谐风气正，政治纪律严明守底线，政治规矩严格讲规程，政治操守廉洁形象好。</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精神是源。学校</w:t>
      </w:r>
      <w:r>
        <w:rPr>
          <w:rFonts w:eastAsia="仿宋_GB2312"/>
          <w:bCs/>
          <w:color w:val="auto"/>
          <w:sz w:val="32"/>
          <w:szCs w:val="32"/>
          <w:highlight w:val="none"/>
        </w:rPr>
        <w:t>“</w:t>
      </w:r>
      <w:r>
        <w:rPr>
          <w:rFonts w:hint="eastAsia" w:eastAsia="仿宋_GB2312"/>
          <w:bCs/>
          <w:color w:val="auto"/>
          <w:sz w:val="32"/>
          <w:szCs w:val="32"/>
          <w:highlight w:val="none"/>
        </w:rPr>
        <w:t>善水</w:t>
      </w:r>
      <w:r>
        <w:rPr>
          <w:rFonts w:eastAsia="仿宋_GB2312"/>
          <w:bCs/>
          <w:color w:val="auto"/>
          <w:sz w:val="32"/>
          <w:szCs w:val="32"/>
          <w:highlight w:val="none"/>
        </w:rPr>
        <w:t>”</w:t>
      </w:r>
      <w:r>
        <w:rPr>
          <w:rFonts w:hint="eastAsia" w:eastAsia="仿宋_GB2312"/>
          <w:bCs/>
          <w:color w:val="auto"/>
          <w:sz w:val="32"/>
          <w:szCs w:val="32"/>
          <w:highlight w:val="none"/>
        </w:rPr>
        <w:t>文化主题中的柔韧、谦逊、坚持是全校师生的价值追求，也是我们不断向上的精神之源。在师生中提倡团队精神，在团队中不断学习，培养精神特质。</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3.</w:t>
      </w:r>
      <w:r>
        <w:rPr>
          <w:rFonts w:hint="eastAsia" w:eastAsia="仿宋_GB2312"/>
          <w:bCs/>
          <w:color w:val="auto"/>
          <w:sz w:val="32"/>
          <w:szCs w:val="32"/>
          <w:highlight w:val="none"/>
        </w:rPr>
        <w:t>培训之乐。我们创造一切机会，走出去、请进来。一年来，学校邀请了广元市小学数学杜甫名师工作室、杭州拱墅区名优教师团队来校把诊问脉、传经送宝；和广元市实验小学长期结对，实施城乡手拉手项目，让我校教师且学且思共成长；和区内元坝一小、卫子小学、昭化小学组成昭化区中国好老师共同体，相互学习、相互帮助、资源共享、共同成长；和区内名校元坝一小结对帮扶，实施共建，方向明、目标清、措施力，效果优；2021年春季带领教师团队到朝天区羊木镇小学观摩学习，他们的天地课堂、农耕文化带给我们太多的思考，行在教育路上，既要仰望星空，又要贴地而行，探索适合校情、富有地方底蕴和特色的渐进理想教育之路。本年度先后与元坝一小、黄龙小学、丁家小学、张家小学开展了以课堂建构和学科教学为主题的教学研究、分享。学校内部，一年来，以课堂教学为主阵地，以教学研究为主旋律开展系列活动，助力青年教师专业大提升，一周一主题，人人露一手。一年来学校外派教师到省、市、区参加各种培训达</w:t>
      </w:r>
      <w:r>
        <w:rPr>
          <w:rFonts w:eastAsia="仿宋_GB2312"/>
          <w:bCs/>
          <w:color w:val="auto"/>
          <w:sz w:val="32"/>
          <w:szCs w:val="32"/>
          <w:highlight w:val="none"/>
        </w:rPr>
        <w:t>13</w:t>
      </w:r>
      <w:r>
        <w:rPr>
          <w:rFonts w:hint="eastAsia" w:eastAsia="仿宋_GB2312"/>
          <w:bCs/>
          <w:color w:val="auto"/>
          <w:sz w:val="32"/>
          <w:szCs w:val="32"/>
          <w:highlight w:val="none"/>
        </w:rPr>
        <w:t>人次。教学研究引领教学实践，本年度我校市级课题和区级课题均顺利结题，市级课题研究成果荣获市级二等奖。种种途径，大力促进了我校师资队伍的专业成长。</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4.</w:t>
      </w:r>
      <w:r>
        <w:rPr>
          <w:rFonts w:hint="eastAsia" w:eastAsia="仿宋_GB2312"/>
          <w:bCs/>
          <w:color w:val="auto"/>
          <w:sz w:val="32"/>
          <w:szCs w:val="32"/>
          <w:highlight w:val="none"/>
        </w:rPr>
        <w:t>平台相助。立足课堂实施三大工程：即聚焦核心素养、深化课堂教学改革、重建理想课堂。一年来的努力，数学组提出了新授课的基本流程：创设教学情境</w:t>
      </w:r>
      <w:r>
        <w:rPr>
          <w:rFonts w:eastAsia="仿宋_GB2312"/>
          <w:bCs/>
          <w:color w:val="auto"/>
          <w:sz w:val="32"/>
          <w:szCs w:val="32"/>
          <w:highlight w:val="none"/>
        </w:rPr>
        <w:t>——</w:t>
      </w:r>
      <w:r>
        <w:rPr>
          <w:rFonts w:hint="eastAsia" w:eastAsia="仿宋_GB2312"/>
          <w:bCs/>
          <w:color w:val="auto"/>
          <w:sz w:val="32"/>
          <w:szCs w:val="32"/>
          <w:highlight w:val="none"/>
        </w:rPr>
        <w:t>提出有价值的数学信息</w:t>
      </w:r>
      <w:r>
        <w:rPr>
          <w:rFonts w:eastAsia="仿宋_GB2312"/>
          <w:bCs/>
          <w:color w:val="auto"/>
          <w:sz w:val="32"/>
          <w:szCs w:val="32"/>
          <w:highlight w:val="none"/>
        </w:rPr>
        <w:t>——</w:t>
      </w:r>
      <w:r>
        <w:rPr>
          <w:rFonts w:hint="eastAsia" w:eastAsia="仿宋_GB2312"/>
          <w:bCs/>
          <w:color w:val="auto"/>
          <w:sz w:val="32"/>
          <w:szCs w:val="32"/>
          <w:highlight w:val="none"/>
        </w:rPr>
        <w:t>提出有效的数学问题</w:t>
      </w:r>
      <w:r>
        <w:rPr>
          <w:rFonts w:eastAsia="仿宋_GB2312"/>
          <w:bCs/>
          <w:color w:val="auto"/>
          <w:sz w:val="32"/>
          <w:szCs w:val="32"/>
          <w:highlight w:val="none"/>
        </w:rPr>
        <w:t>——</w:t>
      </w:r>
      <w:r>
        <w:rPr>
          <w:rFonts w:hint="eastAsia" w:eastAsia="仿宋_GB2312"/>
          <w:bCs/>
          <w:color w:val="auto"/>
          <w:sz w:val="32"/>
          <w:szCs w:val="32"/>
          <w:highlight w:val="none"/>
        </w:rPr>
        <w:t>合作分析解决问题</w:t>
      </w:r>
      <w:r>
        <w:rPr>
          <w:rFonts w:eastAsia="仿宋_GB2312"/>
          <w:bCs/>
          <w:color w:val="auto"/>
          <w:sz w:val="32"/>
          <w:szCs w:val="32"/>
          <w:highlight w:val="none"/>
        </w:rPr>
        <w:t>——</w:t>
      </w:r>
      <w:r>
        <w:rPr>
          <w:rFonts w:hint="eastAsia" w:eastAsia="仿宋_GB2312"/>
          <w:bCs/>
          <w:color w:val="auto"/>
          <w:sz w:val="32"/>
          <w:szCs w:val="32"/>
          <w:highlight w:val="none"/>
        </w:rPr>
        <w:t>展示交流</w:t>
      </w:r>
      <w:r>
        <w:rPr>
          <w:rFonts w:eastAsia="仿宋_GB2312"/>
          <w:bCs/>
          <w:color w:val="auto"/>
          <w:sz w:val="32"/>
          <w:szCs w:val="32"/>
          <w:highlight w:val="none"/>
        </w:rPr>
        <w:t>——</w:t>
      </w:r>
      <w:r>
        <w:rPr>
          <w:rFonts w:hint="eastAsia" w:eastAsia="仿宋_GB2312"/>
          <w:bCs/>
          <w:color w:val="auto"/>
          <w:sz w:val="32"/>
          <w:szCs w:val="32"/>
          <w:highlight w:val="none"/>
        </w:rPr>
        <w:t>巩固升华、拓展延伸；语文组提出阅读教学基本模式：创设情境、激趣导课</w:t>
      </w:r>
      <w:r>
        <w:rPr>
          <w:rFonts w:eastAsia="仿宋_GB2312"/>
          <w:bCs/>
          <w:color w:val="auto"/>
          <w:sz w:val="32"/>
          <w:szCs w:val="32"/>
          <w:highlight w:val="none"/>
        </w:rPr>
        <w:t>——</w:t>
      </w:r>
      <w:r>
        <w:rPr>
          <w:rFonts w:hint="eastAsia" w:eastAsia="仿宋_GB2312"/>
          <w:bCs/>
          <w:color w:val="auto"/>
          <w:sz w:val="32"/>
          <w:szCs w:val="32"/>
          <w:highlight w:val="none"/>
        </w:rPr>
        <w:t>自主读书、整体感知</w:t>
      </w:r>
      <w:r>
        <w:rPr>
          <w:rFonts w:eastAsia="仿宋_GB2312"/>
          <w:bCs/>
          <w:color w:val="auto"/>
          <w:sz w:val="32"/>
          <w:szCs w:val="32"/>
          <w:highlight w:val="none"/>
        </w:rPr>
        <w:t>——</w:t>
      </w:r>
      <w:r>
        <w:rPr>
          <w:rFonts w:hint="eastAsia" w:eastAsia="仿宋_GB2312"/>
          <w:bCs/>
          <w:color w:val="auto"/>
          <w:sz w:val="32"/>
          <w:szCs w:val="32"/>
          <w:highlight w:val="none"/>
        </w:rPr>
        <w:t>合作探究、解读文本</w:t>
      </w:r>
      <w:r>
        <w:rPr>
          <w:rFonts w:eastAsia="仿宋_GB2312"/>
          <w:bCs/>
          <w:color w:val="auto"/>
          <w:sz w:val="32"/>
          <w:szCs w:val="32"/>
          <w:highlight w:val="none"/>
        </w:rPr>
        <w:t>——</w:t>
      </w:r>
      <w:r>
        <w:rPr>
          <w:rFonts w:hint="eastAsia" w:eastAsia="仿宋_GB2312"/>
          <w:bCs/>
          <w:color w:val="auto"/>
          <w:sz w:val="32"/>
          <w:szCs w:val="32"/>
          <w:highlight w:val="none"/>
        </w:rPr>
        <w:t>朗读背诵、体会情感</w:t>
      </w:r>
      <w:r>
        <w:rPr>
          <w:rFonts w:eastAsia="仿宋_GB2312"/>
          <w:bCs/>
          <w:color w:val="auto"/>
          <w:sz w:val="32"/>
          <w:szCs w:val="32"/>
          <w:highlight w:val="none"/>
        </w:rPr>
        <w:t>——</w:t>
      </w:r>
      <w:r>
        <w:rPr>
          <w:rFonts w:hint="eastAsia" w:eastAsia="仿宋_GB2312"/>
          <w:bCs/>
          <w:color w:val="auto"/>
          <w:sz w:val="32"/>
          <w:szCs w:val="32"/>
          <w:highlight w:val="none"/>
        </w:rPr>
        <w:t>交流感受、课外延伸。一年来，教师获得各级各类荣誉及奖项共计</w:t>
      </w:r>
      <w:r>
        <w:rPr>
          <w:rFonts w:eastAsia="仿宋_GB2312"/>
          <w:bCs/>
          <w:color w:val="auto"/>
          <w:sz w:val="32"/>
          <w:szCs w:val="32"/>
          <w:highlight w:val="none"/>
        </w:rPr>
        <w:t>24</w:t>
      </w:r>
      <w:r>
        <w:rPr>
          <w:rFonts w:hint="eastAsia" w:eastAsia="仿宋_GB2312"/>
          <w:bCs/>
          <w:color w:val="auto"/>
          <w:sz w:val="32"/>
          <w:szCs w:val="32"/>
          <w:highlight w:val="none"/>
        </w:rPr>
        <w:t>人次、发表及获奖论文</w:t>
      </w:r>
      <w:r>
        <w:rPr>
          <w:rFonts w:eastAsia="仿宋_GB2312"/>
          <w:bCs/>
          <w:color w:val="auto"/>
          <w:sz w:val="32"/>
          <w:szCs w:val="32"/>
          <w:highlight w:val="none"/>
        </w:rPr>
        <w:t>28</w:t>
      </w:r>
      <w:r>
        <w:rPr>
          <w:rFonts w:hint="eastAsia" w:eastAsia="仿宋_GB2312"/>
          <w:bCs/>
          <w:color w:val="auto"/>
          <w:sz w:val="32"/>
          <w:szCs w:val="32"/>
          <w:highlight w:val="none"/>
        </w:rPr>
        <w:t>篇。</w:t>
      </w:r>
    </w:p>
    <w:p>
      <w:pPr>
        <w:spacing w:line="576" w:lineRule="exact"/>
        <w:ind w:firstLine="640" w:firstLineChars="200"/>
        <w:rPr>
          <w:rFonts w:ascii="楷体_GB2312" w:eastAsia="楷体_GB2312"/>
          <w:bCs/>
          <w:color w:val="auto"/>
          <w:sz w:val="32"/>
          <w:szCs w:val="32"/>
          <w:highlight w:val="none"/>
        </w:rPr>
      </w:pPr>
      <w:r>
        <w:rPr>
          <w:rFonts w:ascii="楷体_GB2312" w:eastAsia="楷体_GB2312"/>
          <w:bCs/>
          <w:color w:val="auto"/>
          <w:sz w:val="32"/>
          <w:szCs w:val="32"/>
          <w:highlight w:val="none"/>
        </w:rPr>
        <w:t>(</w:t>
      </w:r>
      <w:r>
        <w:rPr>
          <w:rFonts w:hint="eastAsia" w:ascii="楷体_GB2312" w:eastAsia="楷体_GB2312"/>
          <w:bCs/>
          <w:color w:val="auto"/>
          <w:sz w:val="32"/>
          <w:szCs w:val="32"/>
          <w:highlight w:val="none"/>
        </w:rPr>
        <w:t>四</w:t>
      </w:r>
      <w:r>
        <w:rPr>
          <w:rFonts w:ascii="楷体_GB2312" w:eastAsia="楷体_GB2312"/>
          <w:bCs/>
          <w:color w:val="auto"/>
          <w:sz w:val="32"/>
          <w:szCs w:val="32"/>
          <w:highlight w:val="none"/>
        </w:rPr>
        <w:t>)</w:t>
      </w:r>
      <w:r>
        <w:rPr>
          <w:rFonts w:hint="eastAsia" w:ascii="楷体_GB2312" w:eastAsia="楷体_GB2312"/>
          <w:bCs/>
          <w:color w:val="auto"/>
          <w:sz w:val="32"/>
          <w:szCs w:val="32"/>
          <w:highlight w:val="none"/>
        </w:rPr>
        <w:t>学校变化</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1.</w:t>
      </w:r>
      <w:r>
        <w:rPr>
          <w:rFonts w:hint="eastAsia" w:eastAsia="仿宋_GB2312"/>
          <w:bCs/>
          <w:color w:val="auto"/>
          <w:sz w:val="32"/>
          <w:szCs w:val="32"/>
          <w:highlight w:val="none"/>
        </w:rPr>
        <w:t>方向更明。学校</w:t>
      </w:r>
      <w:r>
        <w:rPr>
          <w:rFonts w:eastAsia="仿宋_GB2312"/>
          <w:bCs/>
          <w:color w:val="auto"/>
          <w:sz w:val="32"/>
          <w:szCs w:val="32"/>
          <w:highlight w:val="none"/>
        </w:rPr>
        <w:t>1999</w:t>
      </w:r>
      <w:r>
        <w:rPr>
          <w:rFonts w:hint="eastAsia" w:eastAsia="仿宋_GB2312"/>
          <w:bCs/>
          <w:color w:val="auto"/>
          <w:sz w:val="32"/>
          <w:szCs w:val="32"/>
          <w:highlight w:val="none"/>
        </w:rPr>
        <w:t>年创建广元市艺术教育特色学校，</w:t>
      </w:r>
      <w:r>
        <w:rPr>
          <w:rFonts w:eastAsia="仿宋_GB2312"/>
          <w:bCs/>
          <w:color w:val="auto"/>
          <w:sz w:val="32"/>
          <w:szCs w:val="32"/>
          <w:highlight w:val="none"/>
        </w:rPr>
        <w:t>2019</w:t>
      </w:r>
      <w:r>
        <w:rPr>
          <w:rFonts w:hint="eastAsia" w:eastAsia="仿宋_GB2312"/>
          <w:bCs/>
          <w:color w:val="auto"/>
          <w:sz w:val="32"/>
          <w:szCs w:val="32"/>
          <w:highlight w:val="none"/>
        </w:rPr>
        <w:t>年</w:t>
      </w:r>
      <w:r>
        <w:rPr>
          <w:rFonts w:eastAsia="仿宋_GB2312"/>
          <w:bCs/>
          <w:color w:val="auto"/>
          <w:sz w:val="32"/>
          <w:szCs w:val="32"/>
          <w:highlight w:val="none"/>
        </w:rPr>
        <w:t>3</w:t>
      </w:r>
      <w:r>
        <w:rPr>
          <w:rFonts w:hint="eastAsia" w:eastAsia="仿宋_GB2312"/>
          <w:bCs/>
          <w:color w:val="auto"/>
          <w:sz w:val="32"/>
          <w:szCs w:val="32"/>
          <w:highlight w:val="none"/>
        </w:rPr>
        <w:t>月，学校被评为四川省艺术教育特色学校。以艺术教育特色兴校为战略，并制定了中长期规划。本年软笔书法社团申报评为市级优秀艺术社团；四川省绿色校园成功创建。成绩提升是永恒主题，千方百计，多措并举，万涓归流，重塑虎跳小学教学辉煌。</w:t>
      </w:r>
    </w:p>
    <w:p>
      <w:pPr>
        <w:spacing w:line="576" w:lineRule="exact"/>
        <w:ind w:firstLine="640" w:firstLineChars="200"/>
        <w:rPr>
          <w:rFonts w:eastAsia="仿宋_GB2312"/>
          <w:bCs/>
          <w:color w:val="auto"/>
          <w:sz w:val="32"/>
          <w:szCs w:val="32"/>
          <w:highlight w:val="none"/>
        </w:rPr>
      </w:pPr>
      <w:r>
        <w:rPr>
          <w:rFonts w:eastAsia="仿宋_GB2312"/>
          <w:bCs/>
          <w:color w:val="auto"/>
          <w:sz w:val="32"/>
          <w:szCs w:val="32"/>
          <w:highlight w:val="none"/>
        </w:rPr>
        <w:t>2.</w:t>
      </w:r>
      <w:r>
        <w:rPr>
          <w:rFonts w:hint="eastAsia" w:eastAsia="仿宋_GB2312"/>
          <w:bCs/>
          <w:color w:val="auto"/>
          <w:sz w:val="32"/>
          <w:szCs w:val="32"/>
          <w:highlight w:val="none"/>
        </w:rPr>
        <w:t>校园更美。以昭化区教育局</w:t>
      </w:r>
      <w:r>
        <w:rPr>
          <w:rFonts w:eastAsia="仿宋_GB2312"/>
          <w:bCs/>
          <w:color w:val="auto"/>
          <w:sz w:val="32"/>
          <w:szCs w:val="32"/>
          <w:highlight w:val="none"/>
        </w:rPr>
        <w:t>“</w:t>
      </w:r>
      <w:r>
        <w:rPr>
          <w:rFonts w:hint="eastAsia" w:eastAsia="仿宋_GB2312"/>
          <w:bCs/>
          <w:color w:val="auto"/>
          <w:sz w:val="32"/>
          <w:szCs w:val="32"/>
          <w:highlight w:val="none"/>
        </w:rPr>
        <w:t>四大校园</w:t>
      </w:r>
      <w:r>
        <w:rPr>
          <w:rFonts w:eastAsia="仿宋_GB2312"/>
          <w:bCs/>
          <w:color w:val="auto"/>
          <w:sz w:val="32"/>
          <w:szCs w:val="32"/>
          <w:highlight w:val="none"/>
        </w:rPr>
        <w:t>”</w:t>
      </w:r>
      <w:r>
        <w:rPr>
          <w:rFonts w:hint="eastAsia" w:eastAsia="仿宋_GB2312"/>
          <w:bCs/>
          <w:color w:val="auto"/>
          <w:sz w:val="32"/>
          <w:szCs w:val="32"/>
          <w:highlight w:val="none"/>
        </w:rPr>
        <w:t>实施意见为指导，严格落实，长期坚持，适当创新，以义教均衡创建和标准中心校建设为契机，学校设施更完善、功能更齐备、环境更优雅。活动育人、立德树人，书香校园日趋形成。</w:t>
      </w:r>
    </w:p>
    <w:p>
      <w:pPr>
        <w:spacing w:line="576"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一年来，学校获得奖项及荣誉：省级1项，市级</w:t>
      </w:r>
      <w:r>
        <w:rPr>
          <w:rFonts w:eastAsia="仿宋_GB2312"/>
          <w:bCs/>
          <w:color w:val="auto"/>
          <w:sz w:val="32"/>
          <w:szCs w:val="32"/>
          <w:highlight w:val="none"/>
        </w:rPr>
        <w:t>2</w:t>
      </w:r>
      <w:r>
        <w:rPr>
          <w:rFonts w:hint="eastAsia" w:eastAsia="仿宋_GB2312"/>
          <w:bCs/>
          <w:color w:val="auto"/>
          <w:sz w:val="32"/>
          <w:szCs w:val="32"/>
          <w:highlight w:val="none"/>
        </w:rPr>
        <w:t>项、区级3项。</w:t>
      </w:r>
    </w:p>
    <w:p>
      <w:pPr>
        <w:widowControl/>
        <w:jc w:val="left"/>
        <w:rPr>
          <w:rFonts w:ascii="仿宋" w:hAnsi="仿宋" w:eastAsia="仿宋"/>
          <w:color w:val="auto"/>
          <w:kern w:val="0"/>
          <w:sz w:val="32"/>
          <w:szCs w:val="32"/>
          <w:highlight w:val="none"/>
        </w:rPr>
      </w:pPr>
    </w:p>
    <w:p>
      <w:pPr>
        <w:pStyle w:val="16"/>
        <w:rPr>
          <w:color w:val="auto"/>
          <w:highlight w:val="none"/>
        </w:rPr>
      </w:pPr>
    </w:p>
    <w:p>
      <w:pPr>
        <w:rPr>
          <w:rFonts w:hint="eastAsia" w:ascii="黑体" w:hAnsi="黑体" w:eastAsia="黑体"/>
          <w:b w:val="0"/>
          <w:color w:val="auto"/>
          <w:highlight w:val="none"/>
        </w:rPr>
      </w:pPr>
      <w:bookmarkStart w:id="16" w:name="_Toc15396602"/>
      <w:bookmarkStart w:id="17" w:name="_Toc15377204"/>
      <w:r>
        <w:rPr>
          <w:rFonts w:hint="eastAsia" w:ascii="黑体" w:hAnsi="黑体" w:eastAsia="黑体"/>
          <w:b w:val="0"/>
          <w:color w:val="auto"/>
          <w:highlight w:val="none"/>
        </w:rPr>
        <w:br w:type="page"/>
      </w:r>
    </w:p>
    <w:p>
      <w:pPr>
        <w:pStyle w:val="3"/>
        <w:ind w:right="440"/>
        <w:jc w:val="center"/>
        <w:rPr>
          <w:rStyle w:val="29"/>
          <w:rFonts w:ascii="黑体" w:hAnsi="黑体" w:eastAsia="黑体"/>
          <w:b w:val="0"/>
          <w:bCs/>
          <w:color w:val="auto"/>
          <w:highlight w:val="none"/>
        </w:rPr>
      </w:pPr>
      <w:r>
        <w:rPr>
          <w:rFonts w:hint="eastAsia" w:ascii="黑体" w:hAnsi="黑体" w:eastAsia="黑体"/>
          <w:b w:val="0"/>
          <w:color w:val="auto"/>
          <w:highlight w:val="none"/>
        </w:rPr>
        <w:t>第二部分 2021年度</w:t>
      </w:r>
      <w:r>
        <w:rPr>
          <w:rStyle w:val="29"/>
          <w:rFonts w:hint="eastAsia" w:ascii="黑体" w:hAnsi="黑体" w:eastAsia="黑体"/>
          <w:b w:val="0"/>
          <w:bCs/>
          <w:color w:val="auto"/>
          <w:highlight w:val="none"/>
        </w:rPr>
        <w:t>单位决算情况说明</w:t>
      </w:r>
      <w:bookmarkEnd w:id="16"/>
      <w:bookmarkEnd w:id="17"/>
    </w:p>
    <w:p>
      <w:pPr>
        <w:rPr>
          <w:color w:val="auto"/>
          <w:highlight w:val="none"/>
        </w:rPr>
      </w:pP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18" w:name="_Toc15396603"/>
      <w:bookmarkStart w:id="19" w:name="_Toc15377205"/>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入支出决算总体情况说明</w:t>
      </w:r>
      <w:bookmarkEnd w:id="18"/>
      <w:bookmarkEnd w:id="19"/>
    </w:p>
    <w:p>
      <w:pPr>
        <w:spacing w:line="600" w:lineRule="exact"/>
        <w:ind w:firstLine="640" w:firstLineChars="200"/>
        <w:outlineLvl w:val="1"/>
        <w:rPr>
          <w:rFonts w:hint="eastAsia" w:eastAsia="宋体"/>
          <w:color w:val="auto"/>
          <w:highlight w:val="none"/>
          <w:lang w:eastAsia="zh-CN"/>
        </w:rPr>
      </w:pPr>
      <w:r>
        <w:rPr>
          <w:rFonts w:hint="eastAsia" w:ascii="仿宋" w:hAnsi="仿宋" w:eastAsia="仿宋"/>
          <w:color w:val="auto"/>
          <w:sz w:val="32"/>
          <w:szCs w:val="32"/>
          <w:highlight w:val="none"/>
        </w:rPr>
        <w:t>2021年度收、支总计1178.89万元。与2020年相比，收、支总计各增加93.09万元，增长8.57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28"/>
        <w:numPr>
          <w:ilvl w:val="0"/>
          <w:numId w:val="2"/>
        </w:numPr>
        <w:spacing w:line="600" w:lineRule="exact"/>
        <w:ind w:firstLineChars="0"/>
        <w:outlineLvl w:val="1"/>
        <w:rPr>
          <w:rStyle w:val="30"/>
          <w:rFonts w:ascii="黑体" w:hAnsi="黑体" w:eastAsia="黑体"/>
          <w:b w:val="0"/>
          <w:color w:val="auto"/>
          <w:highlight w:val="none"/>
        </w:rPr>
      </w:pPr>
      <w:bookmarkStart w:id="20" w:name="_Toc15377206"/>
      <w:bookmarkStart w:id="21" w:name="_Toc15396604"/>
      <w:r>
        <w:rPr>
          <w:rFonts w:hint="eastAsia" w:eastAsia="宋体"/>
          <w:color w:val="auto"/>
          <w:highlight w:val="none"/>
          <w:lang w:eastAsia="zh-CN"/>
        </w:rPr>
        <w:drawing>
          <wp:anchor distT="0" distB="0" distL="114300" distR="114300" simplePos="0" relativeHeight="251660288" behindDoc="0" locked="0" layoutInCell="1" allowOverlap="1">
            <wp:simplePos x="0" y="0"/>
            <wp:positionH relativeFrom="column">
              <wp:posOffset>213995</wp:posOffset>
            </wp:positionH>
            <wp:positionV relativeFrom="paragraph">
              <wp:posOffset>22860</wp:posOffset>
            </wp:positionV>
            <wp:extent cx="5080000" cy="2125345"/>
            <wp:effectExtent l="4445" t="4445" r="20955" b="2286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ascii="黑体" w:hAnsi="黑体" w:eastAsia="黑体"/>
          <w:color w:val="auto"/>
          <w:sz w:val="32"/>
          <w:szCs w:val="32"/>
          <w:highlight w:val="none"/>
        </w:rPr>
        <w:t>收</w:t>
      </w:r>
      <w:r>
        <w:rPr>
          <w:rStyle w:val="30"/>
          <w:rFonts w:hint="eastAsia" w:ascii="黑体" w:hAnsi="黑体" w:eastAsia="黑体"/>
          <w:b w:val="0"/>
          <w:color w:val="auto"/>
          <w:highlight w:val="none"/>
        </w:rPr>
        <w:t>入决算情况说明</w:t>
      </w:r>
      <w:bookmarkEnd w:id="20"/>
      <w:bookmarkEnd w:id="21"/>
    </w:p>
    <w:p>
      <w:pPr>
        <w:spacing w:line="600" w:lineRule="exact"/>
        <w:ind w:firstLine="640" w:firstLineChars="200"/>
        <w:outlineLvl w:val="1"/>
        <w:rPr>
          <w:rFonts w:hint="eastAsia"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21年本年收入合计1178.89万元，其中：一般公共预算财政拨款收入1175.89万元，占99.75</w:t>
      </w:r>
      <w:r>
        <w:rPr>
          <w:rFonts w:ascii="仿宋" w:hAnsi="仿宋" w:eastAsia="仿宋"/>
          <w:color w:val="auto"/>
          <w:sz w:val="32"/>
          <w:szCs w:val="32"/>
          <w:highlight w:val="none"/>
        </w:rPr>
        <w:t>%</w:t>
      </w:r>
      <w:r>
        <w:rPr>
          <w:rFonts w:hint="eastAsia" w:ascii="仿宋" w:hAnsi="仿宋" w:eastAsia="仿宋"/>
          <w:color w:val="auto"/>
          <w:sz w:val="32"/>
          <w:szCs w:val="32"/>
          <w:highlight w:val="none"/>
        </w:rPr>
        <w:t>；政府性基金预算财政拨款收入3万元，占0.25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pStyle w:val="16"/>
        <w:rPr>
          <w:rFonts w:hint="eastAsia" w:eastAsia="宋体"/>
          <w:color w:val="auto"/>
          <w:highlight w:val="none"/>
          <w:lang w:eastAsia="zh-CN"/>
        </w:rPr>
      </w:pPr>
      <w:r>
        <w:rPr>
          <w:rFonts w:hint="eastAsia" w:eastAsia="宋体"/>
          <w:color w:val="auto"/>
          <w:highlight w:val="none"/>
          <w:lang w:eastAsia="zh-CN"/>
        </w:rPr>
        <w:drawing>
          <wp:anchor distT="0" distB="0" distL="114300" distR="114300" simplePos="0" relativeHeight="251661312" behindDoc="0" locked="0" layoutInCell="1" allowOverlap="1">
            <wp:simplePos x="0" y="0"/>
            <wp:positionH relativeFrom="column">
              <wp:posOffset>-38100</wp:posOffset>
            </wp:positionH>
            <wp:positionV relativeFrom="paragraph">
              <wp:posOffset>27305</wp:posOffset>
            </wp:positionV>
            <wp:extent cx="5584825" cy="2199640"/>
            <wp:effectExtent l="4445" t="4445" r="11430" b="5715"/>
            <wp:wrapTopAndBottom/>
            <wp:docPr id="13" name="图表 13" descr="7b0a202020202263686172745265734964223a20223230343734353235220a7d0a"/>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16"/>
        <w:ind w:left="0" w:leftChars="0" w:firstLine="640" w:firstLineChars="200"/>
        <w:rPr>
          <w:rStyle w:val="30"/>
          <w:rFonts w:ascii="黑体" w:hAnsi="黑体" w:eastAsia="黑体"/>
          <w:b w:val="0"/>
          <w:color w:val="auto"/>
          <w:highlight w:val="none"/>
        </w:rPr>
      </w:pPr>
      <w:bookmarkStart w:id="22" w:name="_Toc15377207"/>
      <w:bookmarkStart w:id="23"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30"/>
          <w:rFonts w:hint="eastAsia" w:ascii="黑体" w:hAnsi="黑体" w:eastAsia="黑体"/>
          <w:b w:val="0"/>
          <w:color w:val="auto"/>
          <w:highlight w:val="none"/>
        </w:rPr>
        <w:t>出决算情况说明</w:t>
      </w:r>
      <w:bookmarkEnd w:id="22"/>
      <w:bookmarkEnd w:id="23"/>
    </w:p>
    <w:p>
      <w:pPr>
        <w:spacing w:line="600" w:lineRule="exact"/>
        <w:ind w:firstLine="640" w:firstLineChars="200"/>
        <w:outlineLvl w:val="1"/>
        <w:rPr>
          <w:rFonts w:ascii="仿宋" w:hAnsi="仿宋" w:eastAsia="仿宋"/>
          <w:color w:val="auto"/>
          <w:sz w:val="32"/>
          <w:szCs w:val="32"/>
          <w:highlight w:val="none"/>
        </w:rPr>
      </w:pPr>
      <w:r>
        <w:rPr>
          <w:rFonts w:hint="eastAsia" w:ascii="仿宋" w:hAnsi="仿宋" w:eastAsia="仿宋"/>
          <w:color w:val="auto"/>
          <w:sz w:val="32"/>
          <w:szCs w:val="32"/>
          <w:highlight w:val="none"/>
          <w:shd w:val="pct10" w:color="auto" w:fill="FFFFFF"/>
        </w:rPr>
        <w:drawing>
          <wp:anchor distT="0" distB="0" distL="114300" distR="114300" simplePos="0" relativeHeight="251659264" behindDoc="0" locked="0" layoutInCell="1" allowOverlap="1">
            <wp:simplePos x="0" y="0"/>
            <wp:positionH relativeFrom="column">
              <wp:posOffset>43815</wp:posOffset>
            </wp:positionH>
            <wp:positionV relativeFrom="paragraph">
              <wp:posOffset>889635</wp:posOffset>
            </wp:positionV>
            <wp:extent cx="5080000" cy="2929255"/>
            <wp:effectExtent l="4445" t="4445" r="20955" b="19050"/>
            <wp:wrapTopAndBottom/>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21年本年支出合计1178.89万元，其中：基本支出792.80万元，占67.25</w:t>
      </w:r>
      <w:r>
        <w:rPr>
          <w:rFonts w:ascii="仿宋" w:hAnsi="仿宋" w:eastAsia="仿宋"/>
          <w:color w:val="auto"/>
          <w:sz w:val="32"/>
          <w:szCs w:val="32"/>
          <w:highlight w:val="none"/>
        </w:rPr>
        <w:t>%</w:t>
      </w:r>
      <w:r>
        <w:rPr>
          <w:rFonts w:hint="eastAsia" w:ascii="仿宋" w:hAnsi="仿宋" w:eastAsia="仿宋"/>
          <w:color w:val="auto"/>
          <w:sz w:val="32"/>
          <w:szCs w:val="32"/>
          <w:highlight w:val="none"/>
        </w:rPr>
        <w:t>；项目支出386.10万元，占32.75</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ind w:firstLine="640" w:firstLineChars="200"/>
        <w:outlineLvl w:val="1"/>
        <w:rPr>
          <w:rStyle w:val="30"/>
          <w:rFonts w:ascii="黑体" w:hAnsi="黑体" w:eastAsia="黑体"/>
          <w:b w:val="0"/>
          <w:color w:val="auto"/>
          <w:highlight w:val="none"/>
        </w:rPr>
      </w:pPr>
      <w:bookmarkStart w:id="24" w:name="_Toc15377208"/>
      <w:bookmarkStart w:id="25" w:name="_Toc15396606"/>
      <w:r>
        <w:rPr>
          <w:rFonts w:hint="eastAsia" w:ascii="黑体" w:hAnsi="黑体" w:eastAsia="黑体"/>
          <w:color w:val="auto"/>
          <w:sz w:val="32"/>
          <w:szCs w:val="32"/>
          <w:highlight w:val="none"/>
        </w:rPr>
        <w:t>四、财</w:t>
      </w:r>
      <w:r>
        <w:rPr>
          <w:rStyle w:val="30"/>
          <w:rFonts w:hint="eastAsia" w:ascii="黑体" w:hAnsi="黑体" w:eastAsia="黑体"/>
          <w:b w:val="0"/>
          <w:color w:val="auto"/>
          <w:highlight w:val="none"/>
        </w:rPr>
        <w:t>政拨款收入支出决算总体情况说明</w:t>
      </w:r>
      <w:bookmarkEnd w:id="24"/>
      <w:bookmarkEnd w:id="25"/>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21年财政拨款收、支总计1178.89万元。与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20年相比，财政拨款收、支总计各增加93.09万元，增长8.57</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pStyle w:val="16"/>
        <w:rPr>
          <w:color w:val="auto"/>
          <w:highlight w:val="none"/>
        </w:rPr>
      </w:pPr>
      <w:r>
        <w:rPr>
          <w:rFonts w:hint="eastAsia" w:eastAsia="宋体"/>
          <w:color w:val="auto"/>
          <w:highlight w:val="none"/>
          <w:lang w:eastAsia="zh-CN"/>
        </w:rPr>
        <w:drawing>
          <wp:anchor distT="0" distB="0" distL="114300" distR="114300" simplePos="0" relativeHeight="251662336" behindDoc="0" locked="0" layoutInCell="1" allowOverlap="1">
            <wp:simplePos x="0" y="0"/>
            <wp:positionH relativeFrom="column">
              <wp:posOffset>4445</wp:posOffset>
            </wp:positionH>
            <wp:positionV relativeFrom="paragraph">
              <wp:posOffset>208280</wp:posOffset>
            </wp:positionV>
            <wp:extent cx="5080000" cy="2734945"/>
            <wp:effectExtent l="4445" t="4445" r="20955" b="22860"/>
            <wp:wrapTopAndBottom/>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spacing w:line="600" w:lineRule="exact"/>
        <w:ind w:firstLine="640" w:firstLineChars="200"/>
        <w:outlineLvl w:val="1"/>
        <w:rPr>
          <w:rStyle w:val="30"/>
          <w:rFonts w:ascii="黑体" w:hAnsi="黑体" w:eastAsia="黑体"/>
          <w:b w:val="0"/>
          <w:color w:val="auto"/>
          <w:highlight w:val="none"/>
        </w:rPr>
      </w:pPr>
      <w:bookmarkStart w:id="26" w:name="_Toc15377209"/>
      <w:bookmarkStart w:id="27"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般公共预算财政拨款支出决算情况说明</w:t>
      </w:r>
      <w:bookmarkEnd w:id="26"/>
      <w:bookmarkEnd w:id="27"/>
    </w:p>
    <w:p>
      <w:pPr>
        <w:spacing w:line="600" w:lineRule="exact"/>
        <w:ind w:firstLine="643" w:firstLineChars="200"/>
        <w:outlineLvl w:val="2"/>
        <w:rPr>
          <w:rFonts w:ascii="仿宋" w:hAnsi="仿宋" w:eastAsia="仿宋"/>
          <w:b/>
          <w:color w:val="auto"/>
          <w:sz w:val="32"/>
          <w:szCs w:val="32"/>
          <w:highlight w:val="none"/>
        </w:rPr>
      </w:pPr>
      <w:bookmarkStart w:id="28" w:name="_Toc15377210"/>
      <w:r>
        <w:rPr>
          <w:rFonts w:hint="eastAsia" w:ascii="仿宋" w:hAnsi="仿宋" w:eastAsia="仿宋"/>
          <w:b/>
          <w:color w:val="auto"/>
          <w:sz w:val="32"/>
          <w:szCs w:val="32"/>
          <w:highlight w:val="none"/>
        </w:rPr>
        <w:t>（一）一般公共预算财政拨款支出决算总体情况</w:t>
      </w:r>
      <w:bookmarkEnd w:id="28"/>
    </w:p>
    <w:p>
      <w:pPr>
        <w:spacing w:line="600" w:lineRule="exact"/>
        <w:ind w:firstLine="640"/>
        <w:rPr>
          <w:rFonts w:hint="eastAsia" w:ascii="仿宋" w:hAnsi="仿宋" w:eastAsia="仿宋"/>
          <w:b/>
          <w:color w:val="auto"/>
          <w:sz w:val="32"/>
          <w:szCs w:val="32"/>
          <w:highlight w:val="none"/>
          <w:lang w:eastAsia="zh-CN"/>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21年一般公共预算财政拨款支出1175.89万元，占本年支出合计的99.75</w:t>
      </w:r>
      <w:r>
        <w:rPr>
          <w:rFonts w:ascii="仿宋" w:hAnsi="仿宋" w:eastAsia="仿宋"/>
          <w:color w:val="auto"/>
          <w:sz w:val="32"/>
          <w:szCs w:val="32"/>
          <w:highlight w:val="none"/>
        </w:rPr>
        <w:t>%</w:t>
      </w:r>
      <w:r>
        <w:rPr>
          <w:rFonts w:hint="eastAsia" w:ascii="仿宋" w:hAnsi="仿宋" w:eastAsia="仿宋"/>
          <w:color w:val="auto"/>
          <w:sz w:val="32"/>
          <w:szCs w:val="32"/>
          <w:highlight w:val="none"/>
        </w:rPr>
        <w:t>。与</w:t>
      </w:r>
      <w:r>
        <w:rPr>
          <w:rFonts w:ascii="仿宋" w:hAnsi="仿宋" w:eastAsia="仿宋"/>
          <w:color w:val="auto"/>
          <w:sz w:val="32"/>
          <w:szCs w:val="32"/>
          <w:highlight w:val="none"/>
        </w:rPr>
        <w:t>20</w:t>
      </w:r>
      <w:r>
        <w:rPr>
          <w:rFonts w:hint="eastAsia" w:ascii="仿宋" w:hAnsi="仿宋" w:eastAsia="仿宋"/>
          <w:color w:val="auto"/>
          <w:sz w:val="32"/>
          <w:szCs w:val="32"/>
          <w:highlight w:val="none"/>
        </w:rPr>
        <w:t>20年1082.8</w:t>
      </w:r>
      <w:r>
        <w:rPr>
          <w:rFonts w:hint="eastAsia" w:ascii="仿宋" w:hAnsi="仿宋" w:eastAsia="仿宋"/>
          <w:color w:val="auto"/>
          <w:sz w:val="32"/>
          <w:szCs w:val="32"/>
          <w:highlight w:val="none"/>
          <w:lang w:eastAsia="zh-CN"/>
        </w:rPr>
        <w:t>万元</w:t>
      </w:r>
      <w:r>
        <w:rPr>
          <w:rFonts w:hint="eastAsia" w:ascii="仿宋" w:hAnsi="仿宋" w:eastAsia="仿宋"/>
          <w:color w:val="auto"/>
          <w:sz w:val="32"/>
          <w:szCs w:val="32"/>
          <w:highlight w:val="none"/>
        </w:rPr>
        <w:t>相比，一般公共预算财政拨款支出增加93.09万元，增长8.60</w:t>
      </w:r>
      <w:r>
        <w:rPr>
          <w:rFonts w:ascii="仿宋" w:hAnsi="仿宋" w:eastAsia="仿宋"/>
          <w:color w:val="auto"/>
          <w:sz w:val="32"/>
          <w:szCs w:val="32"/>
          <w:highlight w:val="none"/>
        </w:rPr>
        <w:t>%</w:t>
      </w:r>
      <w:r>
        <w:rPr>
          <w:rFonts w:hint="eastAsia" w:ascii="仿宋" w:hAnsi="仿宋" w:eastAsia="仿宋"/>
          <w:color w:val="auto"/>
          <w:sz w:val="32"/>
          <w:szCs w:val="32"/>
          <w:highlight w:val="none"/>
        </w:rPr>
        <w:t>。主要变动原因是项目支出增加。</w:t>
      </w:r>
    </w:p>
    <w:p>
      <w:pPr>
        <w:spacing w:line="600" w:lineRule="exact"/>
        <w:ind w:firstLine="643" w:firstLineChars="200"/>
        <w:outlineLvl w:val="2"/>
        <w:rPr>
          <w:rFonts w:ascii="仿宋" w:hAnsi="仿宋" w:eastAsia="仿宋"/>
          <w:b/>
          <w:color w:val="auto"/>
          <w:sz w:val="32"/>
          <w:szCs w:val="32"/>
          <w:highlight w:val="none"/>
        </w:rPr>
      </w:pPr>
      <w:bookmarkStart w:id="29" w:name="_Toc15377211"/>
      <w:r>
        <w:rPr>
          <w:rFonts w:hint="eastAsia" w:ascii="仿宋" w:hAnsi="仿宋" w:eastAsia="仿宋"/>
          <w:b/>
          <w:color w:val="auto"/>
          <w:sz w:val="32"/>
          <w:szCs w:val="32"/>
          <w:highlight w:val="none"/>
          <w:lang w:eastAsia="zh-CN"/>
        </w:rPr>
        <w:drawing>
          <wp:anchor distT="0" distB="0" distL="114300" distR="114300" simplePos="0" relativeHeight="251663360" behindDoc="0" locked="0" layoutInCell="1" allowOverlap="1">
            <wp:simplePos x="0" y="0"/>
            <wp:positionH relativeFrom="column">
              <wp:posOffset>4445</wp:posOffset>
            </wp:positionH>
            <wp:positionV relativeFrom="paragraph">
              <wp:posOffset>118110</wp:posOffset>
            </wp:positionV>
            <wp:extent cx="5080000" cy="2391410"/>
            <wp:effectExtent l="4445" t="4445" r="20955" b="23495"/>
            <wp:wrapTopAndBottom/>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Pr>
          <w:rFonts w:hint="eastAsia" w:ascii="仿宋" w:hAnsi="仿宋" w:eastAsia="仿宋"/>
          <w:b/>
          <w:color w:val="auto"/>
          <w:sz w:val="32"/>
          <w:szCs w:val="32"/>
          <w:highlight w:val="none"/>
        </w:rPr>
        <w:t>（二）一般公共预算财政拨款支出决算结构情况</w:t>
      </w:r>
      <w:bookmarkEnd w:id="29"/>
    </w:p>
    <w:p>
      <w:pPr>
        <w:spacing w:line="600" w:lineRule="exact"/>
        <w:ind w:firstLine="640"/>
        <w:rPr>
          <w:rFonts w:ascii="仿宋" w:hAnsi="仿宋" w:eastAsia="仿宋"/>
          <w:color w:val="auto"/>
          <w:sz w:val="32"/>
          <w:szCs w:val="32"/>
          <w:highlight w:val="none"/>
        </w:rPr>
      </w:pPr>
      <w:r>
        <w:rPr>
          <w:rFonts w:hint="eastAsia" w:ascii="仿宋" w:hAnsi="仿宋" w:eastAsia="仿宋"/>
          <w:b/>
          <w:color w:val="auto"/>
          <w:sz w:val="32"/>
          <w:szCs w:val="32"/>
          <w:highlight w:val="none"/>
        </w:rPr>
        <w:drawing>
          <wp:anchor distT="0" distB="0" distL="114300" distR="114300" simplePos="0" relativeHeight="251664384" behindDoc="0" locked="0" layoutInCell="1" allowOverlap="1">
            <wp:simplePos x="0" y="0"/>
            <wp:positionH relativeFrom="column">
              <wp:posOffset>52070</wp:posOffset>
            </wp:positionH>
            <wp:positionV relativeFrom="paragraph">
              <wp:posOffset>956945</wp:posOffset>
            </wp:positionV>
            <wp:extent cx="5080000" cy="2524125"/>
            <wp:effectExtent l="4445" t="4445" r="20955" b="5080"/>
            <wp:wrapTopAndBottom/>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21年一般公共预算财政拨款支出1175.89万元，主要用于以下方面</w:t>
      </w:r>
      <w:r>
        <w:rPr>
          <w:rFonts w:ascii="仿宋" w:hAnsi="仿宋" w:eastAsia="仿宋"/>
          <w:color w:val="auto"/>
          <w:sz w:val="32"/>
          <w:szCs w:val="32"/>
          <w:highlight w:val="none"/>
        </w:rPr>
        <w:t>:</w:t>
      </w:r>
      <w:r>
        <w:rPr>
          <w:rFonts w:hint="eastAsia" w:ascii="仿宋" w:hAnsi="仿宋" w:eastAsia="仿宋"/>
          <w:b/>
          <w:color w:val="auto"/>
          <w:sz w:val="32"/>
          <w:szCs w:val="32"/>
          <w:highlight w:val="none"/>
        </w:rPr>
        <w:t>教育支出（类）</w:t>
      </w:r>
      <w:r>
        <w:rPr>
          <w:rFonts w:hint="eastAsia" w:ascii="仿宋" w:hAnsi="仿宋" w:eastAsia="仿宋"/>
          <w:color w:val="auto"/>
          <w:sz w:val="32"/>
          <w:szCs w:val="32"/>
          <w:highlight w:val="none"/>
        </w:rPr>
        <w:t>1175.89万元，占100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w:t>
      </w:r>
    </w:p>
    <w:p>
      <w:pPr>
        <w:spacing w:line="600" w:lineRule="exact"/>
        <w:rPr>
          <w:rFonts w:ascii="仿宋" w:hAnsi="仿宋" w:eastAsia="仿宋"/>
          <w:b/>
          <w:color w:val="auto"/>
          <w:sz w:val="32"/>
          <w:szCs w:val="32"/>
          <w:highlight w:val="none"/>
        </w:rPr>
      </w:pPr>
      <w:bookmarkStart w:id="30" w:name="_Toc15377212"/>
      <w:r>
        <w:rPr>
          <w:rFonts w:hint="eastAsia" w:ascii="仿宋" w:hAnsi="仿宋" w:eastAsia="仿宋"/>
          <w:b/>
          <w:color w:val="auto"/>
          <w:sz w:val="32"/>
          <w:szCs w:val="32"/>
          <w:highlight w:val="none"/>
        </w:rPr>
        <w:t>（三）一般公共预算财政拨款支出决算具体情况</w:t>
      </w:r>
      <w:bookmarkEnd w:id="30"/>
    </w:p>
    <w:p>
      <w:pPr>
        <w:spacing w:line="600" w:lineRule="exact"/>
        <w:ind w:firstLine="643" w:firstLineChars="200"/>
        <w:outlineLvl w:val="2"/>
        <w:rPr>
          <w:rFonts w:ascii="仿宋" w:hAnsi="仿宋" w:eastAsia="仿宋"/>
          <w:color w:val="auto"/>
          <w:sz w:val="32"/>
          <w:szCs w:val="32"/>
          <w:highlight w:val="none"/>
        </w:rPr>
      </w:pPr>
      <w:bookmarkStart w:id="31" w:name="_Toc15377213"/>
      <w:bookmarkStart w:id="32" w:name="_Toc15377444"/>
      <w:bookmarkStart w:id="33" w:name="_Toc15378460"/>
      <w:r>
        <w:rPr>
          <w:rFonts w:hint="eastAsia" w:ascii="仿宋" w:hAnsi="仿宋" w:eastAsia="仿宋"/>
          <w:b/>
          <w:color w:val="auto"/>
          <w:sz w:val="32"/>
          <w:szCs w:val="32"/>
          <w:highlight w:val="none"/>
        </w:rPr>
        <w:t>2021年一般公共预算支出决算数为1175.</w:t>
      </w:r>
      <w:r>
        <w:rPr>
          <w:rFonts w:hint="eastAsia" w:ascii="仿宋" w:hAnsi="仿宋" w:eastAsia="仿宋"/>
          <w:b/>
          <w:color w:val="auto"/>
          <w:sz w:val="32"/>
          <w:szCs w:val="32"/>
          <w:highlight w:val="none"/>
          <w:lang w:val="en-US" w:eastAsia="zh-CN"/>
        </w:rPr>
        <w:t>89万元</w:t>
      </w:r>
      <w:r>
        <w:rPr>
          <w:rFonts w:hint="eastAsia" w:ascii="仿宋" w:hAnsi="仿宋" w:eastAsia="仿宋"/>
          <w:color w:val="auto"/>
          <w:sz w:val="32"/>
          <w:szCs w:val="32"/>
          <w:highlight w:val="none"/>
        </w:rPr>
        <w:t>，</w:t>
      </w:r>
      <w:r>
        <w:rPr>
          <w:rStyle w:val="19"/>
          <w:rFonts w:hint="eastAsia" w:ascii="仿宋" w:hAnsi="仿宋" w:eastAsia="仿宋"/>
          <w:bCs/>
          <w:color w:val="auto"/>
          <w:sz w:val="32"/>
          <w:szCs w:val="32"/>
          <w:highlight w:val="none"/>
        </w:rPr>
        <w:t>完成预算100</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。其中：</w:t>
      </w:r>
      <w:bookmarkEnd w:id="31"/>
      <w:bookmarkEnd w:id="32"/>
      <w:bookmarkEnd w:id="33"/>
    </w:p>
    <w:p>
      <w:pPr>
        <w:spacing w:line="600" w:lineRule="exact"/>
        <w:ind w:firstLine="643" w:firstLineChars="200"/>
        <w:rPr>
          <w:rFonts w:ascii="仿宋" w:hAnsi="仿宋" w:eastAsia="仿宋"/>
          <w:b/>
          <w:color w:val="auto"/>
          <w:sz w:val="32"/>
          <w:szCs w:val="32"/>
          <w:highlight w:val="none"/>
        </w:rPr>
      </w:pPr>
      <w:r>
        <w:rPr>
          <w:rStyle w:val="19"/>
          <w:rFonts w:hint="eastAsia" w:ascii="仿宋" w:hAnsi="仿宋" w:eastAsia="仿宋"/>
          <w:bCs/>
          <w:color w:val="auto"/>
          <w:sz w:val="32"/>
          <w:szCs w:val="32"/>
          <w:highlight w:val="none"/>
        </w:rPr>
        <w:t>1.教育205（类）普通教育02（款）小学教育02（项）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支出决算为792.8</w:t>
      </w:r>
      <w:r>
        <w:rPr>
          <w:rStyle w:val="19"/>
          <w:rFonts w:hint="eastAsia" w:ascii="仿宋" w:hAnsi="仿宋" w:eastAsia="仿宋"/>
          <w:b w:val="0"/>
          <w:bCs/>
          <w:color w:val="auto"/>
          <w:sz w:val="32"/>
          <w:szCs w:val="32"/>
          <w:highlight w:val="none"/>
          <w:lang w:val="en-US" w:eastAsia="zh-CN"/>
        </w:rPr>
        <w:t>0</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spacing w:line="600" w:lineRule="exact"/>
        <w:ind w:firstLine="643" w:firstLineChars="200"/>
        <w:rPr>
          <w:rStyle w:val="19"/>
          <w:rFonts w:ascii="仿宋" w:hAnsi="仿宋" w:eastAsia="仿宋"/>
          <w:b w:val="0"/>
          <w:bCs/>
          <w:color w:val="auto"/>
          <w:sz w:val="32"/>
          <w:szCs w:val="32"/>
          <w:highlight w:val="none"/>
        </w:rPr>
      </w:pPr>
      <w:r>
        <w:rPr>
          <w:rStyle w:val="19"/>
          <w:rFonts w:hint="eastAsia" w:ascii="仿宋" w:hAnsi="仿宋" w:eastAsia="仿宋"/>
          <w:bCs/>
          <w:color w:val="auto"/>
          <w:sz w:val="32"/>
          <w:szCs w:val="32"/>
          <w:highlight w:val="none"/>
        </w:rPr>
        <w:t>2</w:t>
      </w:r>
      <w:r>
        <w:rPr>
          <w:rStyle w:val="19"/>
          <w:rFonts w:ascii="仿宋" w:hAnsi="仿宋" w:eastAsia="仿宋"/>
          <w:bCs/>
          <w:color w:val="auto"/>
          <w:sz w:val="32"/>
          <w:szCs w:val="32"/>
          <w:highlight w:val="none"/>
        </w:rPr>
        <w:t>.</w:t>
      </w:r>
      <w:r>
        <w:rPr>
          <w:rStyle w:val="19"/>
          <w:rFonts w:hint="eastAsia" w:ascii="仿宋" w:hAnsi="仿宋" w:eastAsia="仿宋"/>
          <w:bCs/>
          <w:color w:val="auto"/>
          <w:sz w:val="32"/>
          <w:szCs w:val="32"/>
          <w:highlight w:val="none"/>
        </w:rPr>
        <w:t>教育205（类）教育费附加安排09（款）</w:t>
      </w:r>
      <w:r>
        <w:rPr>
          <w:rStyle w:val="19"/>
          <w:rFonts w:hint="eastAsia" w:ascii="仿宋" w:hAnsi="仿宋" w:eastAsia="仿宋"/>
          <w:bCs/>
          <w:color w:val="auto"/>
          <w:sz w:val="32"/>
          <w:szCs w:val="32"/>
          <w:highlight w:val="none"/>
          <w:lang w:eastAsia="zh-CN"/>
        </w:rPr>
        <w:t>其他</w:t>
      </w:r>
      <w:r>
        <w:rPr>
          <w:rStyle w:val="19"/>
          <w:rFonts w:hint="eastAsia" w:ascii="仿宋" w:hAnsi="仿宋" w:eastAsia="仿宋"/>
          <w:bCs/>
          <w:color w:val="auto"/>
          <w:sz w:val="32"/>
          <w:szCs w:val="32"/>
          <w:highlight w:val="none"/>
        </w:rPr>
        <w:t>教育费附加安排02（项）</w:t>
      </w:r>
      <w:r>
        <w:rPr>
          <w:rStyle w:val="19"/>
          <w:rFonts w:ascii="仿宋" w:hAnsi="仿宋" w:eastAsia="仿宋"/>
          <w:bCs/>
          <w:color w:val="auto"/>
          <w:sz w:val="32"/>
          <w:szCs w:val="32"/>
          <w:highlight w:val="none"/>
        </w:rPr>
        <w:t>:</w:t>
      </w:r>
      <w:r>
        <w:rPr>
          <w:rStyle w:val="19"/>
          <w:rFonts w:ascii="仿宋" w:hAnsi="仿宋" w:eastAsia="仿宋"/>
          <w:b w:val="0"/>
          <w:bCs/>
          <w:color w:val="auto"/>
          <w:sz w:val="32"/>
          <w:szCs w:val="32"/>
          <w:highlight w:val="none"/>
        </w:rPr>
        <w:t xml:space="preserve"> </w:t>
      </w:r>
      <w:r>
        <w:rPr>
          <w:rStyle w:val="19"/>
          <w:rFonts w:hint="eastAsia" w:ascii="仿宋" w:hAnsi="仿宋" w:eastAsia="仿宋"/>
          <w:b w:val="0"/>
          <w:bCs/>
          <w:color w:val="auto"/>
          <w:sz w:val="32"/>
          <w:szCs w:val="32"/>
          <w:highlight w:val="none"/>
        </w:rPr>
        <w:t>支出决算为383.</w:t>
      </w:r>
      <w:r>
        <w:rPr>
          <w:rStyle w:val="19"/>
          <w:rFonts w:hint="eastAsia" w:ascii="仿宋" w:hAnsi="仿宋" w:eastAsia="仿宋"/>
          <w:b w:val="0"/>
          <w:bCs/>
          <w:color w:val="auto"/>
          <w:sz w:val="32"/>
          <w:szCs w:val="32"/>
          <w:highlight w:val="none"/>
          <w:lang w:val="en-US" w:eastAsia="zh-CN"/>
        </w:rPr>
        <w:t>09</w:t>
      </w:r>
      <w:r>
        <w:rPr>
          <w:rStyle w:val="19"/>
          <w:rFonts w:hint="eastAsia" w:ascii="仿宋" w:hAnsi="仿宋" w:eastAsia="仿宋"/>
          <w:b w:val="0"/>
          <w:bCs/>
          <w:color w:val="auto"/>
          <w:sz w:val="32"/>
          <w:szCs w:val="32"/>
          <w:highlight w:val="none"/>
        </w:rPr>
        <w:t>万元，完成预算100</w:t>
      </w:r>
      <w:r>
        <w:rPr>
          <w:rStyle w:val="19"/>
          <w:rFonts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rPr>
        <w:t>。</w:t>
      </w:r>
      <w:r>
        <w:rPr>
          <w:rStyle w:val="19"/>
          <w:rFonts w:hint="eastAsia" w:ascii="仿宋" w:hAnsi="仿宋" w:eastAsia="仿宋"/>
          <w:b w:val="0"/>
          <w:bCs/>
          <w:color w:val="auto"/>
          <w:sz w:val="32"/>
          <w:szCs w:val="32"/>
          <w:highlight w:val="none"/>
          <w:lang w:eastAsia="zh-CN"/>
        </w:rPr>
        <w:t>，</w:t>
      </w:r>
      <w:r>
        <w:rPr>
          <w:rStyle w:val="19"/>
          <w:rFonts w:hint="eastAsia" w:ascii="仿宋" w:hAnsi="仿宋" w:eastAsia="仿宋"/>
          <w:b w:val="0"/>
          <w:bCs/>
          <w:color w:val="auto"/>
          <w:sz w:val="32"/>
          <w:szCs w:val="32"/>
          <w:highlight w:val="none"/>
        </w:rPr>
        <w:t>决算数等于预算数。</w:t>
      </w:r>
    </w:p>
    <w:p>
      <w:pPr>
        <w:pStyle w:val="16"/>
        <w:rPr>
          <w:color w:val="auto"/>
          <w:highlight w:val="none"/>
        </w:rPr>
      </w:pPr>
    </w:p>
    <w:p>
      <w:pPr>
        <w:tabs>
          <w:tab w:val="right" w:pos="8306"/>
        </w:tabs>
        <w:spacing w:line="600" w:lineRule="exact"/>
        <w:ind w:firstLine="640"/>
        <w:outlineLvl w:val="1"/>
        <w:rPr>
          <w:rStyle w:val="30"/>
          <w:color w:val="auto"/>
          <w:highlight w:val="none"/>
        </w:rPr>
      </w:pPr>
      <w:bookmarkStart w:id="34" w:name="_Toc15377214"/>
      <w:bookmarkStart w:id="35" w:name="_Toc15396608"/>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30"/>
          <w:rFonts w:hint="eastAsia" w:ascii="黑体" w:hAnsi="黑体" w:eastAsia="黑体"/>
          <w:b w:val="0"/>
          <w:color w:val="auto"/>
          <w:highlight w:val="none"/>
        </w:rPr>
        <w:t>般公共预算财政拨款基本支出决算情况说明</w:t>
      </w:r>
      <w:bookmarkEnd w:id="34"/>
      <w:bookmarkEnd w:id="35"/>
      <w:r>
        <w:rPr>
          <w:rStyle w:val="30"/>
          <w:rFonts w:ascii="黑体" w:hAnsi="黑体" w:eastAsia="黑体"/>
          <w:b w:val="0"/>
          <w:color w:val="auto"/>
          <w:highlight w:val="none"/>
        </w:rPr>
        <w:tab/>
      </w:r>
    </w:p>
    <w:p>
      <w:pPr>
        <w:spacing w:line="600" w:lineRule="exact"/>
        <w:ind w:firstLine="645"/>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21年一般公共预算财政拨款基本支出792.80万元，其中：</w:t>
      </w:r>
    </w:p>
    <w:p>
      <w:pPr>
        <w:spacing w:line="600" w:lineRule="exact"/>
        <w:ind w:firstLine="645"/>
        <w:rPr>
          <w:rFonts w:ascii="仿宋" w:hAnsi="仿宋" w:eastAsia="仿宋"/>
          <w:color w:val="auto"/>
          <w:sz w:val="32"/>
          <w:szCs w:val="32"/>
          <w:highlight w:val="none"/>
        </w:rPr>
      </w:pPr>
      <w:r>
        <w:rPr>
          <w:rFonts w:hint="eastAsia" w:ascii="仿宋" w:hAnsi="仿宋" w:eastAsia="仿宋"/>
          <w:color w:val="auto"/>
          <w:sz w:val="32"/>
          <w:szCs w:val="32"/>
          <w:highlight w:val="none"/>
        </w:rPr>
        <w:t>人员经费698.11万元，主要包括：基本工资、津贴补贴、绩效工资、机关事业单位基本养老保险缴费、职业年金缴费、职工基本医疗保险缴费</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其他社会保障缴费、其他工资福利支出、生活补助、助学金</w:t>
      </w:r>
      <w:r>
        <w:rPr>
          <w:rFonts w:hint="eastAsia" w:ascii="仿宋" w:hAnsi="仿宋" w:eastAsia="仿宋"/>
          <w:color w:val="auto"/>
          <w:sz w:val="32"/>
          <w:szCs w:val="32"/>
          <w:highlight w:val="none"/>
          <w:lang w:eastAsia="zh-CN"/>
        </w:rPr>
        <w:t>、</w:t>
      </w:r>
      <w:r>
        <w:rPr>
          <w:rFonts w:hint="eastAsia" w:ascii="仿宋" w:hAnsi="仿宋" w:eastAsia="仿宋"/>
          <w:color w:val="auto"/>
          <w:sz w:val="32"/>
          <w:szCs w:val="32"/>
          <w:highlight w:val="none"/>
        </w:rPr>
        <w:t>奖励金、住房公积金、其他对个人和家庭的补助支出等。</w:t>
      </w:r>
    </w:p>
    <w:p>
      <w:pPr>
        <w:spacing w:line="600" w:lineRule="exact"/>
        <w:ind w:firstLine="645"/>
        <w:rPr>
          <w:rFonts w:ascii="仿宋" w:hAnsi="仿宋" w:eastAsia="仿宋"/>
          <w:b/>
          <w:color w:val="auto"/>
          <w:sz w:val="32"/>
          <w:szCs w:val="32"/>
          <w:highlight w:val="none"/>
        </w:rPr>
      </w:pPr>
      <w:r>
        <w:rPr>
          <w:rFonts w:hint="eastAsia" w:ascii="仿宋" w:hAnsi="仿宋" w:eastAsia="仿宋"/>
          <w:color w:val="auto"/>
          <w:sz w:val="32"/>
          <w:szCs w:val="32"/>
          <w:highlight w:val="none"/>
        </w:rPr>
        <w:t>公用经费94.69万元，主要包括：办公费、印刷费、手续费、水费、电费、邮电费、差旅费、维修（护）费、培训费、公务接待费、工会经费等。</w:t>
      </w:r>
    </w:p>
    <w:p>
      <w:pPr>
        <w:spacing w:line="600" w:lineRule="exact"/>
        <w:ind w:firstLine="640"/>
        <w:outlineLvl w:val="1"/>
        <w:rPr>
          <w:rStyle w:val="30"/>
          <w:rFonts w:ascii="黑体" w:hAnsi="黑体" w:eastAsia="黑体"/>
          <w:b w:val="0"/>
          <w:color w:val="auto"/>
          <w:highlight w:val="none"/>
        </w:rPr>
      </w:pPr>
      <w:bookmarkStart w:id="36" w:name="_Toc15396609"/>
      <w:bookmarkStart w:id="37" w:name="_Toc15377215"/>
      <w:r>
        <w:rPr>
          <w:rFonts w:hint="eastAsia" w:ascii="黑体" w:eastAsia="黑体"/>
          <w:color w:val="auto"/>
          <w:sz w:val="32"/>
          <w:szCs w:val="32"/>
          <w:highlight w:val="none"/>
        </w:rPr>
        <w:t>七、</w:t>
      </w:r>
      <w:r>
        <w:rPr>
          <w:rStyle w:val="30"/>
          <w:rFonts w:hint="eastAsia" w:ascii="黑体" w:hAnsi="黑体" w:eastAsia="黑体"/>
          <w:color w:val="auto"/>
          <w:highlight w:val="none"/>
        </w:rPr>
        <w:t>“</w:t>
      </w:r>
      <w:r>
        <w:rPr>
          <w:rStyle w:val="30"/>
          <w:rFonts w:hint="eastAsia" w:ascii="黑体" w:hAnsi="黑体" w:eastAsia="黑体"/>
          <w:b w:val="0"/>
          <w:color w:val="auto"/>
          <w:highlight w:val="none"/>
        </w:rPr>
        <w:t>三公”经费财政拨款支出决算情况说明</w:t>
      </w:r>
      <w:bookmarkEnd w:id="36"/>
      <w:bookmarkEnd w:id="37"/>
    </w:p>
    <w:p>
      <w:pPr>
        <w:spacing w:line="600" w:lineRule="exact"/>
        <w:ind w:firstLine="640"/>
        <w:outlineLvl w:val="2"/>
        <w:rPr>
          <w:rFonts w:ascii="仿宋" w:hAnsi="仿宋" w:eastAsia="仿宋"/>
          <w:b/>
          <w:color w:val="auto"/>
          <w:sz w:val="32"/>
          <w:szCs w:val="32"/>
          <w:highlight w:val="none"/>
        </w:rPr>
      </w:pPr>
      <w:bookmarkStart w:id="38" w:name="_Toc15377216"/>
      <w:r>
        <w:rPr>
          <w:rFonts w:hint="eastAsia" w:ascii="仿宋" w:hAnsi="仿宋" w:eastAsia="仿宋"/>
          <w:b/>
          <w:color w:val="auto"/>
          <w:sz w:val="32"/>
          <w:szCs w:val="32"/>
          <w:highlight w:val="none"/>
        </w:rPr>
        <w:t>（一）“三公”经费财政拨款支出决算总体情况说明</w:t>
      </w:r>
      <w:bookmarkEnd w:id="38"/>
    </w:p>
    <w:p>
      <w:pPr>
        <w:spacing w:line="600" w:lineRule="exact"/>
        <w:ind w:firstLine="640"/>
        <w:rPr>
          <w:rFonts w:ascii="仿宋" w:hAnsi="仿宋" w:eastAsia="仿宋"/>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21年“三公”经费财政拨款支出决算为1.11万元，完成预算92.5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eastAsia" w:ascii="仿宋" w:hAnsi="仿宋" w:eastAsia="仿宋"/>
          <w:color w:val="auto"/>
          <w:sz w:val="32"/>
          <w:szCs w:val="32"/>
          <w:highlight w:val="none"/>
        </w:rPr>
        <w:t>，决算数小于预算数的主要原因</w:t>
      </w:r>
      <w:r>
        <w:rPr>
          <w:rFonts w:hint="eastAsia" w:ascii="仿宋" w:hAnsi="仿宋" w:eastAsia="仿宋"/>
          <w:color w:val="auto"/>
          <w:sz w:val="32"/>
          <w:szCs w:val="32"/>
          <w:highlight w:val="none"/>
        </w:rPr>
        <w:t>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p>
    <w:p>
      <w:pPr>
        <w:spacing w:line="600" w:lineRule="exact"/>
        <w:ind w:firstLine="640"/>
        <w:outlineLvl w:val="2"/>
        <w:rPr>
          <w:rFonts w:ascii="仿宋" w:hAnsi="仿宋" w:eastAsia="仿宋"/>
          <w:b/>
          <w:color w:val="auto"/>
          <w:sz w:val="32"/>
          <w:szCs w:val="32"/>
          <w:highlight w:val="none"/>
        </w:rPr>
      </w:pPr>
      <w:bookmarkStart w:id="39" w:name="_Toc15377217"/>
      <w:r>
        <w:rPr>
          <w:rFonts w:hint="eastAsia" w:ascii="仿宋" w:hAnsi="仿宋" w:eastAsia="仿宋"/>
          <w:b/>
          <w:color w:val="auto"/>
          <w:sz w:val="32"/>
          <w:szCs w:val="32"/>
          <w:highlight w:val="none"/>
        </w:rPr>
        <w:t>（二）“三公”经费财政拨款支出决算具体情况说明</w:t>
      </w:r>
      <w:bookmarkEnd w:id="39"/>
    </w:p>
    <w:p>
      <w:pPr>
        <w:spacing w:line="600" w:lineRule="exact"/>
        <w:ind w:firstLine="640" w:firstLineChars="200"/>
        <w:rPr>
          <w:rFonts w:hint="eastAsia" w:ascii="仿宋" w:hAnsi="仿宋" w:eastAsia="仿宋"/>
          <w:b/>
          <w:color w:val="auto"/>
          <w:sz w:val="32"/>
          <w:szCs w:val="32"/>
          <w:highlight w:val="none"/>
        </w:rPr>
      </w:pPr>
      <w:r>
        <w:rPr>
          <w:rFonts w:ascii="仿宋" w:hAnsi="仿宋" w:eastAsia="仿宋"/>
          <w:color w:val="auto"/>
          <w:sz w:val="32"/>
          <w:szCs w:val="32"/>
          <w:highlight w:val="none"/>
        </w:rPr>
        <w:t>20</w:t>
      </w:r>
      <w:r>
        <w:rPr>
          <w:rFonts w:hint="eastAsia" w:ascii="仿宋" w:hAnsi="仿宋" w:eastAsia="仿宋"/>
          <w:color w:val="auto"/>
          <w:sz w:val="32"/>
          <w:szCs w:val="32"/>
          <w:highlight w:val="none"/>
        </w:rPr>
        <w:t>21年“三公”经费财政拨款支出决算中，因公出国（境）费支出决算0万元，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公务用车购置及运行维护费支出决算0万元，</w:t>
      </w:r>
      <w:r>
        <w:rPr>
          <w:rFonts w:hint="eastAsia" w:ascii="仿宋" w:hAnsi="仿宋" w:eastAsia="仿宋"/>
          <w:color w:val="auto"/>
          <w:sz w:val="32"/>
          <w:szCs w:val="32"/>
          <w:highlight w:val="none"/>
        </w:rPr>
        <w:t>当年未安排</w:t>
      </w:r>
      <w:r>
        <w:rPr>
          <w:rFonts w:hint="eastAsia" w:ascii="仿宋" w:hAnsi="仿宋" w:eastAsia="仿宋"/>
          <w:color w:val="auto"/>
          <w:sz w:val="32"/>
          <w:szCs w:val="32"/>
          <w:highlight w:val="none"/>
          <w:lang w:eastAsia="zh-CN"/>
        </w:rPr>
        <w:t>预算</w:t>
      </w:r>
      <w:r>
        <w:rPr>
          <w:rFonts w:hint="eastAsia" w:ascii="Times New Roman" w:hAnsi="Times New Roman" w:eastAsia="仿宋" w:cs="Times New Roman"/>
          <w:color w:val="auto"/>
          <w:sz w:val="32"/>
          <w:szCs w:val="32"/>
          <w:highlight w:val="none"/>
          <w:lang w:val="en-US" w:eastAsia="zh-CN"/>
        </w:rPr>
        <w:t>，与上年持平</w:t>
      </w:r>
      <w:r>
        <w:rPr>
          <w:rFonts w:hint="default" w:ascii="Times New Roman" w:hAnsi="Times New Roman" w:eastAsia="仿宋" w:cs="Times New Roman"/>
          <w:color w:val="auto"/>
          <w:sz w:val="32"/>
          <w:szCs w:val="32"/>
          <w:highlight w:val="none"/>
        </w:rPr>
        <w:t>；</w:t>
      </w:r>
      <w:r>
        <w:rPr>
          <w:rFonts w:hint="eastAsia" w:ascii="仿宋" w:hAnsi="仿宋" w:eastAsia="仿宋"/>
          <w:color w:val="auto"/>
          <w:sz w:val="32"/>
          <w:szCs w:val="32"/>
          <w:highlight w:val="none"/>
        </w:rPr>
        <w:t>公务接待费支出决算1.11万元，占100</w:t>
      </w:r>
      <w:r>
        <w:rPr>
          <w:rFonts w:ascii="仿宋" w:hAnsi="仿宋" w:eastAsia="仿宋"/>
          <w:color w:val="auto"/>
          <w:sz w:val="32"/>
          <w:szCs w:val="32"/>
          <w:highlight w:val="none"/>
        </w:rPr>
        <w:t>%</w:t>
      </w:r>
      <w:r>
        <w:rPr>
          <w:rFonts w:hint="eastAsia" w:ascii="仿宋" w:hAnsi="仿宋" w:eastAsia="仿宋"/>
          <w:color w:val="auto"/>
          <w:sz w:val="32"/>
          <w:szCs w:val="32"/>
          <w:highlight w:val="none"/>
        </w:rPr>
        <w:t>。具体情况如下：</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 w:hAnsi="仿宋" w:eastAsia="仿宋"/>
          <w:color w:val="auto"/>
          <w:sz w:val="32"/>
          <w:szCs w:val="32"/>
          <w:highlight w:val="none"/>
          <w:lang w:eastAsia="zh-CN"/>
        </w:rPr>
        <w:drawing>
          <wp:anchor distT="0" distB="0" distL="114300" distR="114300" simplePos="0" relativeHeight="251665408" behindDoc="0" locked="0" layoutInCell="1" allowOverlap="1">
            <wp:simplePos x="0" y="0"/>
            <wp:positionH relativeFrom="column">
              <wp:posOffset>1270</wp:posOffset>
            </wp:positionH>
            <wp:positionV relativeFrom="paragraph">
              <wp:posOffset>242570</wp:posOffset>
            </wp:positionV>
            <wp:extent cx="5080000" cy="2771775"/>
            <wp:effectExtent l="4445" t="4445" r="20955" b="508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Fonts w:hint="eastAsia" w:ascii="仿宋_GB2312" w:hAnsi="Times New Roman" w:eastAsia="仿宋_GB2312" w:cs="仿宋_GB2312"/>
          <w:b/>
          <w:bCs w:val="0"/>
          <w:color w:val="auto"/>
          <w:kern w:val="2"/>
          <w:sz w:val="32"/>
          <w:szCs w:val="32"/>
          <w:highlight w:val="none"/>
          <w:lang w:val="en-US" w:eastAsia="zh-CN" w:bidi="ar"/>
        </w:rPr>
        <w:t>1.因公出国（境）经费支出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spacing w:line="600" w:lineRule="exact"/>
        <w:ind w:firstLine="640"/>
        <w:rPr>
          <w:rFonts w:hint="eastAsia" w:ascii="仿宋_GB2312" w:eastAsia="仿宋_GB2312" w:cs="仿宋_GB2312"/>
          <w:b/>
          <w:bCs w:val="0"/>
          <w:color w:val="auto"/>
          <w:sz w:val="32"/>
          <w:szCs w:val="32"/>
          <w:highlight w:val="none"/>
          <w:lang w:val="en-US"/>
        </w:rPr>
      </w:pPr>
      <w:r>
        <w:rPr>
          <w:rFonts w:hint="eastAsia" w:ascii="仿宋_GB2312" w:hAnsi="Times New Roman" w:eastAsia="仿宋_GB2312" w:cs="仿宋_GB2312"/>
          <w:b/>
          <w:bCs w:val="0"/>
          <w:color w:val="auto"/>
          <w:kern w:val="2"/>
          <w:sz w:val="32"/>
          <w:szCs w:val="32"/>
          <w:highlight w:val="none"/>
          <w:lang w:val="en-US" w:eastAsia="zh-CN" w:bidi="ar"/>
        </w:rPr>
        <w:t>2.公务用车购置及运行维护费支出</w:t>
      </w:r>
      <w:r>
        <w:rPr>
          <w:rFonts w:hint="eastAsia" w:ascii="仿宋_GB2312" w:hAnsi="Times New Roman" w:eastAsia="仿宋_GB2312" w:cs="仿宋_GB2312"/>
          <w:color w:val="auto"/>
          <w:kern w:val="2"/>
          <w:sz w:val="32"/>
          <w:szCs w:val="32"/>
          <w:highlight w:val="none"/>
          <w:lang w:val="en-US" w:eastAsia="zh-CN" w:bidi="ar"/>
        </w:rPr>
        <w:t>0万元,</w:t>
      </w:r>
      <w:r>
        <w:rPr>
          <w:rStyle w:val="19"/>
          <w:rFonts w:hint="eastAsia" w:ascii="仿宋" w:hAnsi="仿宋" w:eastAsia="仿宋" w:cs="仿宋"/>
          <w:b w:val="0"/>
          <w:bCs/>
          <w:color w:val="auto"/>
          <w:kern w:val="2"/>
          <w:sz w:val="32"/>
          <w:szCs w:val="32"/>
          <w:highlight w:val="none"/>
          <w:lang w:val="en-US" w:eastAsia="zh-CN" w:bidi="ar"/>
        </w:rPr>
        <w:t>年初未安排预算，与上年数持平。</w:t>
      </w:r>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b/>
          <w:bCs w:val="0"/>
          <w:color w:val="auto"/>
          <w:sz w:val="32"/>
          <w:szCs w:val="32"/>
          <w:highlight w:val="none"/>
          <w:lang w:val="en-US"/>
        </w:rPr>
      </w:pPr>
    </w:p>
    <w:p>
      <w:pPr>
        <w:keepNext w:val="0"/>
        <w:keepLines w:val="0"/>
        <w:widowControl w:val="0"/>
        <w:suppressLineNumbers w:val="0"/>
        <w:spacing w:before="0" w:beforeAutospacing="0" w:after="0" w:afterAutospacing="0" w:line="600" w:lineRule="exact"/>
        <w:ind w:right="0" w:firstLine="643" w:firstLineChars="200"/>
        <w:jc w:val="both"/>
        <w:rPr>
          <w:rFonts w:hint="eastAsia" w:ascii="仿宋_GB2312" w:eastAsia="仿宋_GB2312" w:cs="仿宋_GB2312"/>
          <w:bCs/>
          <w:color w:val="auto"/>
          <w:sz w:val="32"/>
          <w:szCs w:val="32"/>
          <w:highlight w:val="none"/>
          <w:lang w:val="en-US"/>
        </w:rPr>
      </w:pPr>
      <w:r>
        <w:rPr>
          <w:rFonts w:hint="eastAsia" w:ascii="仿宋_GB2312" w:hAnsi="Times New Roman" w:eastAsia="仿宋_GB2312" w:cs="仿宋_GB2312"/>
          <w:b/>
          <w:bCs/>
          <w:color w:val="auto"/>
          <w:kern w:val="2"/>
          <w:sz w:val="32"/>
          <w:szCs w:val="32"/>
          <w:highlight w:val="none"/>
          <w:lang w:val="en-US" w:eastAsia="zh-CN" w:bidi="ar"/>
        </w:rPr>
        <w:t>其中：</w:t>
      </w:r>
      <w:r>
        <w:rPr>
          <w:rFonts w:hint="eastAsia" w:ascii="仿宋_GB2312" w:hAnsi="Times New Roman" w:eastAsia="仿宋_GB2312" w:cs="仿宋_GB2312"/>
          <w:b/>
          <w:bCs w:val="0"/>
          <w:color w:val="auto"/>
          <w:kern w:val="2"/>
          <w:sz w:val="32"/>
          <w:szCs w:val="32"/>
          <w:highlight w:val="none"/>
          <w:lang w:val="en-US" w:eastAsia="zh-CN" w:bidi="ar"/>
        </w:rPr>
        <w:t>公务用车购置支出</w:t>
      </w:r>
      <w:r>
        <w:rPr>
          <w:rFonts w:hint="eastAsia" w:ascii="仿宋_GB2312" w:hAnsi="Times New Roman" w:eastAsia="仿宋_GB2312" w:cs="仿宋_GB2312"/>
          <w:bCs/>
          <w:color w:val="auto"/>
          <w:kern w:val="2"/>
          <w:sz w:val="32"/>
          <w:szCs w:val="32"/>
          <w:highlight w:val="none"/>
          <w:lang w:val="en-US" w:eastAsia="zh-CN" w:bidi="ar"/>
        </w:rPr>
        <w:t>0万元。</w:t>
      </w:r>
      <w:r>
        <w:rPr>
          <w:rFonts w:hint="eastAsia" w:ascii="仿宋_GB2312" w:eastAsia="仿宋_GB2312" w:cs="仿宋_GB2312"/>
          <w:bCs/>
          <w:color w:val="auto"/>
          <w:kern w:val="2"/>
          <w:sz w:val="32"/>
          <w:szCs w:val="32"/>
          <w:highlight w:val="none"/>
          <w:lang w:val="en-US" w:eastAsia="zh-CN" w:bidi="ar"/>
        </w:rPr>
        <w:t>全年按规定更新购置公务用车0辆，</w:t>
      </w:r>
      <w:r>
        <w:rPr>
          <w:rFonts w:hint="eastAsia" w:ascii="仿宋_GB2312" w:eastAsia="仿宋_GB2312" w:cs="仿宋_GB2312"/>
          <w:color w:val="auto"/>
          <w:kern w:val="2"/>
          <w:sz w:val="32"/>
          <w:szCs w:val="32"/>
          <w:highlight w:val="none"/>
          <w:lang w:val="en-US" w:eastAsia="zh-CN" w:bidi="ar"/>
        </w:rPr>
        <w:t>主要原因是我单位未购置公务用车。</w:t>
      </w:r>
      <w:r>
        <w:rPr>
          <w:rFonts w:hint="eastAsia" w:ascii="仿宋_GB2312" w:eastAsia="仿宋_GB2312" w:cs="仿宋_GB2312"/>
          <w:bCs/>
          <w:color w:val="auto"/>
          <w:kern w:val="2"/>
          <w:sz w:val="32"/>
          <w:szCs w:val="32"/>
          <w:highlight w:val="none"/>
          <w:lang w:val="en-US" w:eastAsia="zh-CN" w:bidi="ar"/>
        </w:rPr>
        <w:t>截止2021年12月底，单位共有公务用车0辆。</w:t>
      </w:r>
    </w:p>
    <w:p>
      <w:pPr>
        <w:keepNext w:val="0"/>
        <w:keepLines w:val="0"/>
        <w:widowControl w:val="0"/>
        <w:suppressLineNumbers w:val="0"/>
        <w:spacing w:before="0" w:beforeAutospacing="0" w:after="0" w:afterAutospacing="0" w:line="600" w:lineRule="exact"/>
        <w:ind w:right="0" w:firstLine="643" w:firstLineChars="200"/>
        <w:jc w:val="both"/>
        <w:rPr>
          <w:color w:val="auto"/>
          <w:highlight w:val="none"/>
        </w:rPr>
      </w:pPr>
      <w:r>
        <w:rPr>
          <w:rFonts w:hint="eastAsia" w:ascii="仿宋_GB2312" w:hAnsi="Times New Roman" w:eastAsia="仿宋_GB2312" w:cs="仿宋_GB2312"/>
          <w:b/>
          <w:bCs w:val="0"/>
          <w:color w:val="auto"/>
          <w:kern w:val="2"/>
          <w:sz w:val="32"/>
          <w:szCs w:val="32"/>
          <w:highlight w:val="none"/>
          <w:lang w:val="en-US" w:eastAsia="zh-CN" w:bidi="ar"/>
        </w:rPr>
        <w:t>公务用车运行维护费支出</w:t>
      </w:r>
      <w:r>
        <w:rPr>
          <w:rFonts w:hint="eastAsia" w:ascii="仿宋_GB2312" w:hAnsi="Times New Roman" w:eastAsia="仿宋_GB2312" w:cs="仿宋_GB2312"/>
          <w:color w:val="auto"/>
          <w:kern w:val="2"/>
          <w:sz w:val="32"/>
          <w:szCs w:val="32"/>
          <w:highlight w:val="none"/>
          <w:lang w:val="en-US" w:eastAsia="zh-CN" w:bidi="ar"/>
        </w:rPr>
        <w:t>0万元。</w:t>
      </w:r>
      <w:r>
        <w:rPr>
          <w:rFonts w:hint="eastAsia" w:ascii="仿宋_GB2312" w:eastAsia="仿宋_GB2312" w:cs="仿宋_GB2312"/>
          <w:color w:val="auto"/>
          <w:kern w:val="2"/>
          <w:sz w:val="32"/>
          <w:szCs w:val="32"/>
          <w:highlight w:val="none"/>
          <w:lang w:val="en-US" w:eastAsia="zh-CN" w:bidi="ar"/>
        </w:rPr>
        <w:t>主要原因是我单位无公务用车。</w:t>
      </w:r>
    </w:p>
    <w:p>
      <w:pPr>
        <w:spacing w:line="600" w:lineRule="exact"/>
        <w:ind w:firstLine="640"/>
        <w:rPr>
          <w:rFonts w:hint="default" w:ascii="Times New Roman" w:hAnsi="Times New Roman" w:eastAsia="仿宋" w:cs="Times New Roman"/>
          <w:color w:val="auto"/>
          <w:sz w:val="32"/>
          <w:szCs w:val="32"/>
          <w:highlight w:val="none"/>
        </w:rPr>
      </w:pPr>
      <w:r>
        <w:rPr>
          <w:rFonts w:ascii="仿宋_GB2312" w:eastAsia="仿宋_GB2312"/>
          <w:b/>
          <w:bCs w:val="0"/>
          <w:color w:val="auto"/>
          <w:sz w:val="32"/>
          <w:szCs w:val="32"/>
          <w:highlight w:val="none"/>
        </w:rPr>
        <w:t>3.</w:t>
      </w:r>
      <w:r>
        <w:rPr>
          <w:rFonts w:hint="default" w:ascii="Times New Roman" w:hAnsi="Times New Roman" w:eastAsia="仿宋" w:cs="Times New Roman"/>
          <w:b/>
          <w:bCs w:val="0"/>
          <w:color w:val="auto"/>
          <w:sz w:val="32"/>
          <w:szCs w:val="32"/>
          <w:highlight w:val="none"/>
        </w:rPr>
        <w:t>公务接待费支出</w:t>
      </w:r>
      <w:r>
        <w:rPr>
          <w:rFonts w:hint="eastAsia" w:ascii="仿宋" w:hAnsi="仿宋" w:eastAsia="仿宋"/>
          <w:color w:val="auto"/>
          <w:sz w:val="32"/>
          <w:szCs w:val="32"/>
          <w:highlight w:val="none"/>
        </w:rPr>
        <w:t>1.11万元，完成预算92.5</w:t>
      </w:r>
      <w:r>
        <w:rPr>
          <w:rFonts w:hint="eastAsia" w:ascii="仿宋" w:hAnsi="仿宋" w:eastAsia="仿宋"/>
          <w:color w:val="auto"/>
          <w:sz w:val="32"/>
          <w:szCs w:val="32"/>
          <w:highlight w:val="none"/>
          <w:lang w:val="en-US" w:eastAsia="zh-CN"/>
        </w:rPr>
        <w:t>0</w:t>
      </w:r>
      <w:r>
        <w:rPr>
          <w:rFonts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w:t>
      </w:r>
      <w:r>
        <w:rPr>
          <w:rFonts w:hint="default" w:ascii="Times New Roman" w:hAnsi="Times New Roman" w:eastAsia="仿宋" w:cs="Times New Roman"/>
          <w:color w:val="auto"/>
          <w:sz w:val="32"/>
          <w:szCs w:val="32"/>
          <w:highlight w:val="none"/>
        </w:rPr>
        <w:t>公务接待费支出决算</w:t>
      </w:r>
      <w:r>
        <w:rPr>
          <w:rFonts w:hint="eastAsia" w:ascii="仿宋_GB2312" w:eastAsia="仿宋_GB2312"/>
          <w:color w:val="auto"/>
          <w:sz w:val="32"/>
          <w:szCs w:val="32"/>
          <w:highlight w:val="none"/>
          <w:lang w:val="en-US" w:eastAsia="zh-CN"/>
        </w:rPr>
        <w:t>与2020年持平</w:t>
      </w:r>
      <w:r>
        <w:rPr>
          <w:rFonts w:hint="default" w:ascii="Times New Roman" w:hAnsi="Times New Roman" w:eastAsia="仿宋" w:cs="Times New Roman"/>
          <w:color w:val="auto"/>
          <w:sz w:val="32"/>
          <w:szCs w:val="32"/>
          <w:highlight w:val="none"/>
        </w:rPr>
        <w:t>。</w:t>
      </w:r>
      <w:r>
        <w:rPr>
          <w:rFonts w:hint="eastAsia" w:ascii="Times New Roman" w:hAnsi="Times New Roman" w:eastAsia="仿宋" w:cs="Times New Roman"/>
          <w:color w:val="auto"/>
          <w:sz w:val="32"/>
          <w:szCs w:val="32"/>
          <w:highlight w:val="none"/>
          <w:lang w:eastAsia="zh-CN"/>
        </w:rPr>
        <w:t>主要原因是</w:t>
      </w:r>
      <w:r>
        <w:rPr>
          <w:rFonts w:hint="eastAsia" w:ascii="仿宋" w:hAnsi="仿宋" w:eastAsia="仿宋"/>
          <w:color w:val="auto"/>
          <w:sz w:val="32"/>
          <w:szCs w:val="32"/>
          <w:highlight w:val="none"/>
          <w:lang w:eastAsia="zh-CN"/>
        </w:rPr>
        <w:t>认真贯彻落实中央八项规定精神，采取有效措施严格控制接待范围和接待标准</w:t>
      </w:r>
      <w:r>
        <w:rPr>
          <w:rFonts w:hint="eastAsia" w:ascii="仿宋" w:hAnsi="仿宋" w:eastAsia="仿宋"/>
          <w:color w:val="auto"/>
          <w:sz w:val="32"/>
          <w:szCs w:val="32"/>
          <w:highlight w:val="none"/>
        </w:rPr>
        <w:t>。</w:t>
      </w:r>
      <w:r>
        <w:rPr>
          <w:rFonts w:hint="default" w:ascii="Times New Roman" w:hAnsi="Times New Roman" w:eastAsia="仿宋" w:cs="Times New Roman"/>
          <w:color w:val="auto"/>
          <w:sz w:val="32"/>
          <w:szCs w:val="32"/>
          <w:highlight w:val="none"/>
        </w:rPr>
        <w:t>其中：</w:t>
      </w:r>
    </w:p>
    <w:p>
      <w:pPr>
        <w:spacing w:line="600" w:lineRule="exact"/>
        <w:ind w:firstLine="64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b/>
          <w:bCs/>
          <w:color w:val="auto"/>
          <w:sz w:val="32"/>
          <w:szCs w:val="32"/>
          <w:highlight w:val="none"/>
        </w:rPr>
        <w:t>国内公务接待支出</w:t>
      </w:r>
      <w:r>
        <w:rPr>
          <w:rFonts w:hint="eastAsia" w:ascii="Times New Roman" w:hAnsi="Times New Roman" w:eastAsia="仿宋" w:cs="Times New Roman"/>
          <w:color w:val="auto"/>
          <w:sz w:val="32"/>
          <w:szCs w:val="32"/>
          <w:highlight w:val="none"/>
          <w:lang w:val="en-US" w:eastAsia="zh-CN"/>
        </w:rPr>
        <w:t>1.11</w:t>
      </w:r>
      <w:r>
        <w:rPr>
          <w:rFonts w:hint="default" w:ascii="Times New Roman" w:hAnsi="Times New Roman" w:eastAsia="仿宋" w:cs="Times New Roman"/>
          <w:color w:val="auto"/>
          <w:sz w:val="32"/>
          <w:szCs w:val="32"/>
          <w:highlight w:val="none"/>
        </w:rPr>
        <w:t>万元，主要用于</w:t>
      </w:r>
      <w:r>
        <w:rPr>
          <w:rFonts w:hint="eastAsia" w:ascii="Times New Roman" w:hAnsi="Times New Roman" w:eastAsia="仿宋" w:cs="Times New Roman"/>
          <w:color w:val="auto"/>
          <w:sz w:val="32"/>
          <w:szCs w:val="32"/>
          <w:highlight w:val="none"/>
          <w:lang w:eastAsia="zh-CN"/>
        </w:rPr>
        <w:t>接待上级来访、</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w:t>
      </w:r>
      <w:r>
        <w:rPr>
          <w:rFonts w:hint="eastAsia" w:ascii="仿宋_GB2312" w:eastAsia="仿宋_GB2312"/>
          <w:color w:val="auto"/>
          <w:sz w:val="32"/>
          <w:szCs w:val="32"/>
          <w:highlight w:val="none"/>
          <w:lang w:val="en-US" w:eastAsia="zh-CN"/>
        </w:rPr>
        <w:t>学生活动费及运动会学生用餐、交通费、体检费等</w:t>
      </w:r>
      <w:r>
        <w:rPr>
          <w:rFonts w:hint="default" w:ascii="Times New Roman" w:hAnsi="Times New Roman" w:eastAsia="仿宋" w:cs="Times New Roman"/>
          <w:color w:val="auto"/>
          <w:sz w:val="32"/>
          <w:szCs w:val="32"/>
          <w:highlight w:val="none"/>
        </w:rPr>
        <w:t>。国内公务接待</w:t>
      </w:r>
      <w:r>
        <w:rPr>
          <w:rFonts w:hint="eastAsia" w:ascii="Times New Roman" w:hAnsi="Times New Roman" w:eastAsia="仿宋" w:cs="Times New Roman"/>
          <w:color w:val="auto"/>
          <w:sz w:val="32"/>
          <w:szCs w:val="32"/>
          <w:highlight w:val="none"/>
          <w:lang w:val="en-US" w:eastAsia="zh-CN"/>
        </w:rPr>
        <w:t>44</w:t>
      </w:r>
      <w:r>
        <w:rPr>
          <w:rFonts w:hint="default" w:ascii="Times New Roman" w:hAnsi="Times New Roman" w:eastAsia="仿宋" w:cs="Times New Roman"/>
          <w:color w:val="auto"/>
          <w:sz w:val="32"/>
          <w:szCs w:val="32"/>
          <w:highlight w:val="none"/>
        </w:rPr>
        <w:t>批次，</w:t>
      </w:r>
      <w:r>
        <w:rPr>
          <w:rFonts w:hint="eastAsia" w:ascii="Times New Roman" w:hAnsi="Times New Roman" w:eastAsia="仿宋" w:cs="Times New Roman"/>
          <w:color w:val="auto"/>
          <w:sz w:val="32"/>
          <w:szCs w:val="32"/>
          <w:highlight w:val="none"/>
          <w:lang w:val="en-US" w:eastAsia="zh-CN"/>
        </w:rPr>
        <w:t>247</w:t>
      </w:r>
      <w:r>
        <w:rPr>
          <w:rFonts w:hint="default" w:ascii="Times New Roman" w:hAnsi="Times New Roman" w:eastAsia="仿宋" w:cs="Times New Roman"/>
          <w:color w:val="auto"/>
          <w:sz w:val="32"/>
          <w:szCs w:val="32"/>
          <w:highlight w:val="none"/>
        </w:rPr>
        <w:t>人次（不包括陪同人员），共计支出</w:t>
      </w:r>
      <w:r>
        <w:rPr>
          <w:rFonts w:hint="eastAsia" w:ascii="Times New Roman" w:hAnsi="Times New Roman" w:eastAsia="仿宋" w:cs="Times New Roman"/>
          <w:color w:val="auto"/>
          <w:sz w:val="32"/>
          <w:szCs w:val="32"/>
          <w:highlight w:val="none"/>
          <w:lang w:val="en-US" w:eastAsia="zh-CN"/>
        </w:rPr>
        <w:t>1.11</w:t>
      </w:r>
      <w:r>
        <w:rPr>
          <w:rFonts w:hint="default" w:ascii="Times New Roman" w:hAnsi="Times New Roman" w:eastAsia="仿宋" w:cs="Times New Roman"/>
          <w:color w:val="auto"/>
          <w:sz w:val="32"/>
          <w:szCs w:val="32"/>
          <w:highlight w:val="none"/>
        </w:rPr>
        <w:t>万元</w:t>
      </w:r>
      <w:r>
        <w:rPr>
          <w:rFonts w:hint="eastAsia" w:eastAsia="仿宋" w:cs="Times New Roman"/>
          <w:color w:val="auto"/>
          <w:sz w:val="32"/>
          <w:szCs w:val="32"/>
          <w:highlight w:val="none"/>
          <w:lang w:eastAsia="zh-CN"/>
        </w:rPr>
        <w:t>，具体内容包括</w:t>
      </w:r>
      <w:r>
        <w:rPr>
          <w:rFonts w:hint="eastAsia" w:ascii="Times New Roman" w:hAnsi="Times New Roman" w:eastAsia="仿宋" w:cs="Times New Roman"/>
          <w:color w:val="auto"/>
          <w:sz w:val="32"/>
          <w:szCs w:val="32"/>
          <w:highlight w:val="none"/>
          <w:lang w:eastAsia="zh-CN"/>
        </w:rPr>
        <w:t>接待上级来访</w:t>
      </w:r>
      <w:r>
        <w:rPr>
          <w:rFonts w:hint="eastAsia" w:eastAsia="仿宋" w:cs="Times New Roman"/>
          <w:color w:val="auto"/>
          <w:sz w:val="32"/>
          <w:szCs w:val="32"/>
          <w:highlight w:val="none"/>
          <w:lang w:val="en-US" w:eastAsia="zh-CN"/>
        </w:rPr>
        <w:t>0.2万元</w:t>
      </w:r>
      <w:r>
        <w:rPr>
          <w:rFonts w:hint="eastAsia" w:ascii="Times New Roman" w:hAnsi="Times New Roman" w:eastAsia="仿宋" w:cs="Times New Roman"/>
          <w:color w:val="auto"/>
          <w:sz w:val="32"/>
          <w:szCs w:val="32"/>
          <w:highlight w:val="none"/>
          <w:lang w:eastAsia="zh-CN"/>
        </w:rPr>
        <w:t>、</w:t>
      </w:r>
      <w:r>
        <w:rPr>
          <w:rFonts w:hint="eastAsia" w:ascii="仿宋_GB2312" w:hAnsi="Times New Roman" w:eastAsia="仿宋_GB2312" w:cs="Times New Roman"/>
          <w:color w:val="auto"/>
          <w:kern w:val="2"/>
          <w:sz w:val="32"/>
          <w:szCs w:val="32"/>
          <w:highlight w:val="none"/>
          <w:lang w:val="en-US" w:eastAsia="zh-CN" w:bidi="ar"/>
        </w:rPr>
        <w:t>教育教学活动</w:t>
      </w:r>
      <w:r>
        <w:rPr>
          <w:rFonts w:hint="eastAsia" w:ascii="仿宋_GB2312" w:eastAsia="仿宋_GB2312" w:cs="Times New Roman"/>
          <w:color w:val="auto"/>
          <w:kern w:val="2"/>
          <w:sz w:val="32"/>
          <w:szCs w:val="32"/>
          <w:highlight w:val="none"/>
          <w:lang w:val="en-US" w:eastAsia="zh-CN" w:bidi="ar"/>
        </w:rPr>
        <w:t>交流0.1万元、</w:t>
      </w:r>
      <w:r>
        <w:rPr>
          <w:rFonts w:hint="eastAsia" w:ascii="仿宋_GB2312" w:eastAsia="仿宋_GB2312"/>
          <w:color w:val="auto"/>
          <w:sz w:val="32"/>
          <w:szCs w:val="32"/>
          <w:highlight w:val="none"/>
          <w:lang w:val="en-US" w:eastAsia="zh-CN"/>
        </w:rPr>
        <w:t>学生活动费及运动会学生用餐、交通费、体检费等0.81万元。</w:t>
      </w:r>
    </w:p>
    <w:p>
      <w:pPr>
        <w:spacing w:line="600" w:lineRule="exact"/>
        <w:ind w:firstLine="640" w:firstLineChars="200"/>
        <w:rPr>
          <w:rFonts w:hint="default" w:ascii="Times New Roman" w:hAnsi="Times New Roman" w:eastAsia="仿宋" w:cs="Times New Roman"/>
          <w:color w:val="auto"/>
          <w:sz w:val="32"/>
          <w:szCs w:val="32"/>
          <w:highlight w:val="none"/>
        </w:rPr>
      </w:pPr>
      <w:r>
        <w:rPr>
          <w:rFonts w:hint="default" w:ascii="Times New Roman" w:hAnsi="Times New Roman" w:eastAsia="仿宋" w:cs="Times New Roman"/>
          <w:color w:val="auto"/>
          <w:sz w:val="32"/>
          <w:szCs w:val="32"/>
          <w:highlight w:val="none"/>
        </w:rPr>
        <w:t>外事接待支出</w:t>
      </w:r>
      <w:r>
        <w:rPr>
          <w:rFonts w:hint="eastAsia" w:ascii="仿宋" w:hAnsi="仿宋" w:eastAsia="仿宋"/>
          <w:color w:val="auto"/>
          <w:sz w:val="32"/>
          <w:szCs w:val="32"/>
          <w:highlight w:val="none"/>
          <w:lang w:val="en-US" w:eastAsia="zh-CN"/>
        </w:rPr>
        <w:t>0</w:t>
      </w:r>
      <w:r>
        <w:rPr>
          <w:rFonts w:hint="eastAsia" w:ascii="仿宋_GB2312" w:eastAsia="仿宋_GB2312"/>
          <w:color w:val="auto"/>
          <w:sz w:val="32"/>
          <w:szCs w:val="32"/>
          <w:highlight w:val="none"/>
        </w:rPr>
        <w:t>万元，外事接待</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批次，</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人，共计支出</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default" w:ascii="Times New Roman" w:hAnsi="Times New Roman" w:eastAsia="仿宋" w:cs="Times New Roman"/>
          <w:color w:val="auto"/>
          <w:sz w:val="32"/>
          <w:szCs w:val="32"/>
          <w:highlight w:val="none"/>
        </w:rPr>
        <w:t>外事接待支出</w:t>
      </w:r>
      <w:r>
        <w:rPr>
          <w:rFonts w:hint="eastAsia" w:ascii="仿宋_GB2312" w:hAnsi="Times New Roman" w:eastAsia="仿宋_GB2312" w:cs="仿宋_GB2312"/>
          <w:color w:val="auto"/>
          <w:kern w:val="2"/>
          <w:sz w:val="32"/>
          <w:szCs w:val="32"/>
          <w:highlight w:val="none"/>
          <w:lang w:val="en-US" w:eastAsia="zh-CN" w:bidi="ar"/>
        </w:rPr>
        <w:t>决算与2020年持平</w:t>
      </w:r>
      <w:r>
        <w:rPr>
          <w:rFonts w:hint="eastAsia" w:ascii="Times New Roman" w:hAnsi="Times New Roman" w:eastAsia="仿宋" w:cs="Times New Roman"/>
          <w:color w:val="auto"/>
          <w:sz w:val="32"/>
          <w:szCs w:val="32"/>
          <w:highlight w:val="none"/>
        </w:rPr>
        <w:t>。</w:t>
      </w:r>
    </w:p>
    <w:p>
      <w:pPr>
        <w:spacing w:line="600" w:lineRule="exact"/>
        <w:outlineLvl w:val="1"/>
        <w:rPr>
          <w:rFonts w:ascii="黑体" w:eastAsia="黑体"/>
          <w:color w:val="auto"/>
          <w:sz w:val="32"/>
          <w:szCs w:val="32"/>
          <w:highlight w:val="none"/>
        </w:rPr>
      </w:pPr>
      <w:bookmarkStart w:id="40" w:name="_Toc15377218"/>
      <w:bookmarkStart w:id="41" w:name="_Toc15396610"/>
    </w:p>
    <w:p>
      <w:pPr>
        <w:spacing w:line="600" w:lineRule="exact"/>
        <w:ind w:firstLine="640"/>
        <w:outlineLvl w:val="1"/>
        <w:rPr>
          <w:rStyle w:val="30"/>
          <w:rFonts w:ascii="黑体" w:hAnsi="黑体" w:eastAsia="黑体"/>
          <w:color w:val="auto"/>
          <w:highlight w:val="none"/>
        </w:rPr>
      </w:pPr>
      <w:r>
        <w:rPr>
          <w:rFonts w:hint="eastAsia" w:ascii="黑体" w:eastAsia="黑体"/>
          <w:color w:val="auto"/>
          <w:sz w:val="32"/>
          <w:szCs w:val="32"/>
          <w:highlight w:val="none"/>
        </w:rPr>
        <w:t>八、</w:t>
      </w:r>
      <w:r>
        <w:rPr>
          <w:rStyle w:val="30"/>
          <w:rFonts w:hint="eastAsia" w:ascii="黑体" w:hAnsi="黑体" w:eastAsia="黑体"/>
          <w:b w:val="0"/>
          <w:color w:val="auto"/>
          <w:highlight w:val="none"/>
        </w:rPr>
        <w:t>政府性基金预算支出决算情况说明</w:t>
      </w:r>
      <w:bookmarkEnd w:id="40"/>
      <w:bookmarkEnd w:id="41"/>
    </w:p>
    <w:p>
      <w:pPr>
        <w:spacing w:line="600" w:lineRule="exact"/>
        <w:ind w:firstLine="640"/>
        <w:rPr>
          <w:rFonts w:hint="eastAsia"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21年政府性基金预算财政拨款支出3万元。</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rPr>
        <w:t>年本单位未在政府性基金预算拨款安排“三公”经费支出</w:t>
      </w:r>
      <w:r>
        <w:rPr>
          <w:rFonts w:hint="eastAsia" w:ascii="仿宋_GB2312" w:eastAsia="仿宋_GB2312"/>
          <w:color w:val="auto"/>
          <w:sz w:val="32"/>
          <w:szCs w:val="32"/>
          <w:highlight w:val="none"/>
        </w:rPr>
        <w:t>。</w:t>
      </w:r>
    </w:p>
    <w:p>
      <w:pPr>
        <w:pStyle w:val="16"/>
        <w:rPr>
          <w:color w:val="auto"/>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2" w:name="_Toc15377219"/>
      <w:bookmarkStart w:id="43" w:name="_Toc15396611"/>
      <w:r>
        <w:rPr>
          <w:rStyle w:val="30"/>
          <w:rFonts w:hint="eastAsia" w:ascii="黑体" w:hAnsi="黑体" w:eastAsia="黑体"/>
          <w:b w:val="0"/>
          <w:color w:val="auto"/>
          <w:highlight w:val="none"/>
        </w:rPr>
        <w:t>国有资本经营预算支出决算情况说明</w:t>
      </w:r>
      <w:bookmarkEnd w:id="42"/>
      <w:bookmarkEnd w:id="43"/>
    </w:p>
    <w:p>
      <w:pPr>
        <w:spacing w:line="600" w:lineRule="exact"/>
        <w:ind w:firstLine="640"/>
        <w:rPr>
          <w:rFonts w:ascii="仿宋_GB2312" w:eastAsia="仿宋_GB2312"/>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21年国有资本经营预算财政拨款支出0万元，年初未安排预算。</w:t>
      </w:r>
    </w:p>
    <w:p>
      <w:pPr>
        <w:spacing w:line="580" w:lineRule="exact"/>
        <w:rPr>
          <w:rFonts w:ascii="方正小标宋简体" w:hAnsi="方正小标宋简体" w:eastAsia="方正小标宋简体" w:cs="方正小标宋简体"/>
          <w:color w:val="auto"/>
          <w:sz w:val="44"/>
          <w:szCs w:val="44"/>
          <w:highlight w:val="none"/>
        </w:rPr>
      </w:pPr>
    </w:p>
    <w:p>
      <w:pPr>
        <w:numPr>
          <w:ilvl w:val="0"/>
          <w:numId w:val="3"/>
        </w:numPr>
        <w:spacing w:line="600" w:lineRule="exact"/>
        <w:ind w:firstLine="640"/>
        <w:outlineLvl w:val="1"/>
        <w:rPr>
          <w:rStyle w:val="30"/>
          <w:rFonts w:ascii="黑体" w:hAnsi="黑体" w:eastAsia="黑体"/>
          <w:b w:val="0"/>
          <w:color w:val="auto"/>
          <w:highlight w:val="none"/>
        </w:rPr>
      </w:pPr>
      <w:bookmarkStart w:id="44" w:name="_Toc15396612"/>
      <w:bookmarkStart w:id="45" w:name="_Toc15377221"/>
      <w:r>
        <w:rPr>
          <w:rStyle w:val="30"/>
          <w:rFonts w:hint="eastAsia" w:ascii="黑体" w:hAnsi="黑体" w:eastAsia="黑体"/>
          <w:b w:val="0"/>
          <w:color w:val="auto"/>
          <w:highlight w:val="none"/>
        </w:rPr>
        <w:t>预算绩效管理情况</w:t>
      </w:r>
    </w:p>
    <w:p>
      <w:pPr>
        <w:spacing w:line="580" w:lineRule="exact"/>
        <w:ind w:firstLine="640" w:firstLineChars="200"/>
        <w:rPr>
          <w:color w:val="auto"/>
          <w:highlight w:val="none"/>
        </w:rPr>
      </w:pPr>
      <w:r>
        <w:rPr>
          <w:rFonts w:hint="eastAsia" w:ascii="仿宋_GB2312" w:hAnsi="仿宋_GB2312" w:eastAsia="仿宋_GB2312" w:cs="仿宋_GB2312"/>
          <w:color w:val="auto"/>
          <w:sz w:val="32"/>
          <w:szCs w:val="32"/>
          <w:highlight w:val="none"/>
        </w:rPr>
        <w:t>根据预算绩效管理要求，本单位在2021年度预算编制阶段，因无项目支出，故不涉及事前评估和项目绩效目标，预算执行过程中，</w:t>
      </w:r>
      <w:r>
        <w:rPr>
          <w:rFonts w:hint="eastAsia" w:ascii="仿宋_GB2312" w:hAnsi="仿宋_GB2312" w:eastAsia="仿宋_GB2312" w:cs="仿宋_GB2312"/>
          <w:color w:val="auto"/>
          <w:sz w:val="32"/>
          <w:szCs w:val="32"/>
          <w:highlight w:val="none"/>
          <w:lang w:eastAsia="zh-CN"/>
        </w:rPr>
        <w:t>对追加预算</w:t>
      </w:r>
      <w:r>
        <w:rPr>
          <w:rFonts w:hint="eastAsia" w:ascii="仿宋_GB2312" w:hAnsi="仿宋_GB2312" w:eastAsia="仿宋_GB2312" w:cs="仿宋_GB2312"/>
          <w:color w:val="auto"/>
          <w:sz w:val="32"/>
          <w:szCs w:val="32"/>
          <w:highlight w:val="none"/>
          <w:lang w:eastAsia="zh-CN"/>
        </w:rPr>
        <w:t>乡村少年宫运行经费</w:t>
      </w:r>
      <w:r>
        <w:rPr>
          <w:rFonts w:hint="eastAsia" w:ascii="仿宋_GB2312" w:hAnsi="仿宋_GB2312" w:eastAsia="仿宋_GB2312" w:cs="仿宋_GB2312"/>
          <w:color w:val="auto"/>
          <w:sz w:val="32"/>
          <w:szCs w:val="32"/>
          <w:highlight w:val="none"/>
          <w:lang w:eastAsia="zh-CN"/>
        </w:rPr>
        <w:t>项目和</w:t>
      </w:r>
      <w:r>
        <w:rPr>
          <w:rFonts w:hint="eastAsia" w:ascii="仿宋_GB2312" w:hAnsi="仿宋_GB2312" w:eastAsia="仿宋_GB2312" w:cs="仿宋_GB2312"/>
          <w:color w:val="auto"/>
          <w:sz w:val="32"/>
          <w:szCs w:val="32"/>
          <w:highlight w:val="none"/>
          <w:lang w:eastAsia="zh-CN"/>
        </w:rPr>
        <w:t>校舍维修</w:t>
      </w:r>
      <w:r>
        <w:rPr>
          <w:rFonts w:hint="eastAsia" w:ascii="仿宋_GB2312" w:hAnsi="仿宋_GB2312" w:eastAsia="仿宋_GB2312" w:cs="仿宋_GB2312"/>
          <w:color w:val="auto"/>
          <w:sz w:val="32"/>
          <w:szCs w:val="32"/>
          <w:highlight w:val="none"/>
          <w:lang w:eastAsia="zh-CN"/>
        </w:rPr>
        <w:t>项目</w:t>
      </w:r>
      <w:r>
        <w:rPr>
          <w:rFonts w:hint="eastAsia" w:ascii="仿宋_GB2312" w:hAnsi="仿宋_GB2312" w:eastAsia="仿宋_GB2312" w:cs="仿宋_GB2312"/>
          <w:color w:val="auto"/>
          <w:sz w:val="32"/>
          <w:szCs w:val="32"/>
          <w:highlight w:val="none"/>
        </w:rPr>
        <w:t>编制了绩效目标</w:t>
      </w:r>
      <w:r>
        <w:rPr>
          <w:rFonts w:hint="eastAsia" w:ascii="仿宋_GB2312" w:hAnsi="仿宋_GB2312" w:eastAsia="仿宋_GB2312" w:cs="仿宋_GB2312"/>
          <w:color w:val="auto"/>
          <w:sz w:val="32"/>
          <w:szCs w:val="32"/>
          <w:highlight w:val="none"/>
          <w:lang w:eastAsia="zh-CN"/>
        </w:rPr>
        <w:t>，并</w:t>
      </w:r>
      <w:r>
        <w:rPr>
          <w:rFonts w:hint="eastAsia" w:ascii="仿宋_GB2312" w:hAnsi="仿宋_GB2312" w:eastAsia="仿宋_GB2312" w:cs="仿宋_GB2312"/>
          <w:color w:val="auto"/>
          <w:sz w:val="32"/>
          <w:szCs w:val="32"/>
          <w:highlight w:val="none"/>
        </w:rPr>
        <w:t>开展</w:t>
      </w:r>
      <w:r>
        <w:rPr>
          <w:rFonts w:hint="eastAsia" w:ascii="仿宋_GB2312" w:hAnsi="仿宋_GB2312" w:eastAsia="仿宋_GB2312" w:cs="仿宋_GB2312"/>
          <w:color w:val="auto"/>
          <w:sz w:val="32"/>
          <w:szCs w:val="32"/>
          <w:highlight w:val="none"/>
          <w:lang w:eastAsia="zh-CN"/>
        </w:rPr>
        <w:t>了</w:t>
      </w:r>
      <w:r>
        <w:rPr>
          <w:rFonts w:hint="eastAsia" w:ascii="仿宋_GB2312" w:hAnsi="仿宋_GB2312" w:eastAsia="仿宋_GB2312" w:cs="仿宋_GB2312"/>
          <w:color w:val="auto"/>
          <w:sz w:val="32"/>
          <w:szCs w:val="32"/>
          <w:highlight w:val="none"/>
        </w:rPr>
        <w:t>绩效</w:t>
      </w:r>
      <w:r>
        <w:rPr>
          <w:rFonts w:hint="eastAsia" w:ascii="仿宋_GB2312" w:hAnsi="仿宋_GB2312" w:eastAsia="仿宋_GB2312" w:cs="仿宋_GB2312"/>
          <w:color w:val="auto"/>
          <w:sz w:val="32"/>
          <w:szCs w:val="32"/>
          <w:highlight w:val="none"/>
          <w:lang w:eastAsia="zh-CN"/>
        </w:rPr>
        <w:t>运行</w:t>
      </w:r>
      <w:r>
        <w:rPr>
          <w:rFonts w:hint="eastAsia" w:ascii="仿宋_GB2312" w:hAnsi="仿宋_GB2312" w:eastAsia="仿宋_GB2312" w:cs="仿宋_GB2312"/>
          <w:color w:val="auto"/>
          <w:sz w:val="32"/>
          <w:szCs w:val="32"/>
          <w:highlight w:val="none"/>
        </w:rPr>
        <w:t>监控，年终执行完毕</w:t>
      </w:r>
      <w:r>
        <w:rPr>
          <w:color w:val="auto"/>
          <w:highlight w:val="none"/>
        </w:rPr>
        <w:commentReference w:id="0"/>
      </w:r>
      <w:r>
        <w:rPr>
          <w:rFonts w:hint="eastAsia" w:ascii="仿宋_GB2312" w:hAnsi="仿宋_GB2312" w:eastAsia="仿宋_GB2312" w:cs="仿宋_GB2312"/>
          <w:color w:val="auto"/>
          <w:sz w:val="32"/>
          <w:szCs w:val="32"/>
          <w:highlight w:val="none"/>
        </w:rPr>
        <w:t>后，对</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个项目开展了绩效自评，2021年部门预算项目绩效目标自评表见附件（第四部分）。</w:t>
      </w:r>
    </w:p>
    <w:p>
      <w:pPr>
        <w:numPr>
          <w:ilvl w:val="0"/>
          <w:numId w:val="3"/>
        </w:numPr>
        <w:spacing w:line="600" w:lineRule="exact"/>
        <w:ind w:firstLine="640"/>
        <w:outlineLvl w:val="1"/>
        <w:rPr>
          <w:rStyle w:val="30"/>
          <w:rFonts w:ascii="黑体" w:hAnsi="黑体" w:eastAsia="黑体"/>
          <w:b w:val="0"/>
          <w:color w:val="auto"/>
          <w:highlight w:val="none"/>
        </w:rPr>
      </w:pPr>
      <w:r>
        <w:rPr>
          <w:rStyle w:val="30"/>
          <w:rFonts w:hint="eastAsia" w:ascii="黑体" w:hAnsi="黑体" w:eastAsia="黑体"/>
          <w:b w:val="0"/>
          <w:color w:val="auto"/>
          <w:highlight w:val="none"/>
        </w:rPr>
        <w:t>其他重要事项的情况说明</w:t>
      </w:r>
      <w:bookmarkEnd w:id="44"/>
      <w:bookmarkEnd w:id="45"/>
    </w:p>
    <w:p>
      <w:pPr>
        <w:spacing w:line="600" w:lineRule="exact"/>
        <w:ind w:firstLine="643" w:firstLineChars="200"/>
        <w:outlineLvl w:val="2"/>
        <w:rPr>
          <w:rFonts w:ascii="仿宋" w:hAnsi="仿宋" w:eastAsia="仿宋"/>
          <w:color w:val="auto"/>
          <w:sz w:val="32"/>
          <w:szCs w:val="32"/>
          <w:highlight w:val="none"/>
        </w:rPr>
      </w:pPr>
      <w:bookmarkStart w:id="46" w:name="_Toc15377222"/>
      <w:r>
        <w:rPr>
          <w:rFonts w:hint="eastAsia" w:ascii="仿宋" w:hAnsi="仿宋" w:eastAsia="仿宋"/>
          <w:b/>
          <w:color w:val="auto"/>
          <w:sz w:val="32"/>
          <w:szCs w:val="32"/>
          <w:highlight w:val="none"/>
        </w:rPr>
        <w:t>（一）机关运行经费支出情况</w:t>
      </w:r>
      <w:bookmarkEnd w:id="46"/>
    </w:p>
    <w:p>
      <w:pPr>
        <w:keepNext w:val="0"/>
        <w:keepLines w:val="0"/>
        <w:widowControl w:val="0"/>
        <w:suppressLineNumbers w:val="0"/>
        <w:spacing w:before="0" w:beforeAutospacing="0" w:after="0" w:afterAutospacing="0" w:line="600" w:lineRule="exact"/>
        <w:ind w:left="0" w:right="0" w:firstLine="640"/>
        <w:jc w:val="both"/>
        <w:rPr>
          <w:rFonts w:hint="eastAsia" w:ascii="仿宋_GB2312" w:eastAsia="仿宋_GB2312" w:cs="仿宋_GB2312"/>
          <w:color w:val="auto"/>
          <w:sz w:val="32"/>
          <w:szCs w:val="32"/>
          <w:highlight w:val="none"/>
          <w:lang w:val="en-US"/>
        </w:rPr>
      </w:pPr>
      <w:bookmarkStart w:id="47" w:name="_Toc15377223"/>
      <w:r>
        <w:rPr>
          <w:rFonts w:hint="eastAsia" w:ascii="仿宋_GB2312" w:hAnsi="Times New Roman" w:eastAsia="仿宋_GB2312" w:cs="仿宋_GB2312"/>
          <w:color w:val="auto"/>
          <w:kern w:val="2"/>
          <w:sz w:val="32"/>
          <w:szCs w:val="32"/>
          <w:highlight w:val="none"/>
          <w:lang w:val="en-US" w:eastAsia="zh-CN" w:bidi="ar"/>
        </w:rPr>
        <w:t>202</w:t>
      </w:r>
      <w:r>
        <w:rPr>
          <w:rFonts w:hint="eastAsia" w:ascii="仿宋_GB2312" w:eastAsia="仿宋_GB2312" w:cs="仿宋_GB2312"/>
          <w:color w:val="auto"/>
          <w:kern w:val="2"/>
          <w:sz w:val="32"/>
          <w:szCs w:val="32"/>
          <w:highlight w:val="none"/>
          <w:lang w:val="en-US" w:eastAsia="zh-CN" w:bidi="ar"/>
        </w:rPr>
        <w:t>1</w:t>
      </w:r>
      <w:r>
        <w:rPr>
          <w:rFonts w:hint="eastAsia" w:ascii="仿宋_GB2312" w:hAnsi="Times New Roman" w:eastAsia="仿宋_GB2312" w:cs="仿宋_GB2312"/>
          <w:color w:val="auto"/>
          <w:kern w:val="2"/>
          <w:sz w:val="32"/>
          <w:szCs w:val="32"/>
          <w:highlight w:val="none"/>
          <w:lang w:val="en-US" w:eastAsia="zh-CN" w:bidi="ar"/>
        </w:rPr>
        <w:t>年，</w:t>
      </w:r>
      <w:r>
        <w:rPr>
          <w:rFonts w:hint="eastAsia" w:ascii="仿宋_GB2312" w:hAnsi="Times New Roman" w:eastAsia="仿宋_GB2312" w:cs="仿宋_GB2312"/>
          <w:color w:val="auto"/>
          <w:kern w:val="2"/>
          <w:sz w:val="32"/>
          <w:szCs w:val="32"/>
          <w:highlight w:val="none"/>
          <w:lang w:val="en-US" w:eastAsia="zh-CN" w:bidi="ar"/>
        </w:rPr>
        <w:t>我部门</w:t>
      </w:r>
      <w:r>
        <w:rPr>
          <w:rFonts w:hint="eastAsia" w:ascii="仿宋_GB2312" w:eastAsia="仿宋_GB2312" w:cs="仿宋_GB2312"/>
          <w:color w:val="auto"/>
          <w:kern w:val="2"/>
          <w:sz w:val="32"/>
          <w:szCs w:val="32"/>
          <w:highlight w:val="none"/>
          <w:lang w:val="en-US" w:eastAsia="zh-CN" w:bidi="ar"/>
        </w:rPr>
        <w:t>机关</w:t>
      </w:r>
      <w:r>
        <w:rPr>
          <w:rFonts w:hint="eastAsia" w:ascii="仿宋_GB2312" w:hAnsi="Times New Roman" w:eastAsia="仿宋_GB2312" w:cs="仿宋_GB2312"/>
          <w:color w:val="auto"/>
          <w:kern w:val="2"/>
          <w:sz w:val="32"/>
          <w:szCs w:val="32"/>
          <w:highlight w:val="none"/>
          <w:lang w:val="en-US" w:eastAsia="zh-CN" w:bidi="ar"/>
        </w:rPr>
        <w:t>运行经费支出0元，</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。主要原因是本单位为事业单位，</w:t>
      </w:r>
      <w:r>
        <w:rPr>
          <w:rFonts w:hint="eastAsia" w:ascii="仿宋_GB2312" w:eastAsia="仿宋_GB2312" w:cs="仿宋_GB2312"/>
          <w:color w:val="auto"/>
          <w:kern w:val="2"/>
          <w:sz w:val="32"/>
          <w:szCs w:val="32"/>
          <w:highlight w:val="none"/>
          <w:lang w:val="en-US" w:eastAsia="zh-CN" w:bidi="ar"/>
        </w:rPr>
        <w:t>未发生</w:t>
      </w:r>
      <w:r>
        <w:rPr>
          <w:rFonts w:hint="eastAsia" w:ascii="仿宋_GB2312" w:hAnsi="Times New Roman" w:eastAsia="仿宋_GB2312" w:cs="仿宋_GB2312"/>
          <w:color w:val="auto"/>
          <w:kern w:val="2"/>
          <w:sz w:val="32"/>
          <w:szCs w:val="32"/>
          <w:highlight w:val="none"/>
          <w:lang w:val="en-US" w:eastAsia="zh-CN" w:bidi="ar"/>
        </w:rPr>
        <w:t>机关运行经费支出。</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r>
        <w:rPr>
          <w:rFonts w:hint="eastAsia" w:ascii="仿宋" w:hAnsi="仿宋" w:eastAsia="仿宋"/>
          <w:b/>
          <w:color w:val="auto"/>
          <w:sz w:val="32"/>
          <w:szCs w:val="32"/>
          <w:highlight w:val="none"/>
        </w:rPr>
        <w:t>（二）政府采购支出情况</w:t>
      </w:r>
      <w:bookmarkEnd w:id="47"/>
    </w:p>
    <w:p>
      <w:pPr>
        <w:spacing w:line="600" w:lineRule="exact"/>
        <w:ind w:firstLine="640" w:firstLineChars="200"/>
        <w:rPr>
          <w:rFonts w:hint="default" w:ascii="仿宋_GB2312" w:eastAsia="仿宋_GB2312"/>
          <w:color w:val="auto"/>
          <w:sz w:val="32"/>
          <w:szCs w:val="32"/>
          <w:highlight w:val="none"/>
          <w:lang w:val="en-US" w:eastAsia="zh-CN"/>
        </w:rPr>
      </w:pPr>
      <w:r>
        <w:rPr>
          <w:rFonts w:ascii="仿宋_GB2312" w:eastAsia="仿宋_GB2312"/>
          <w:color w:val="auto"/>
          <w:sz w:val="32"/>
          <w:szCs w:val="32"/>
          <w:highlight w:val="none"/>
        </w:rPr>
        <w:t>20</w:t>
      </w:r>
      <w:r>
        <w:rPr>
          <w:rFonts w:hint="eastAsia" w:ascii="仿宋_GB2312" w:eastAsia="仿宋_GB2312"/>
          <w:color w:val="auto"/>
          <w:sz w:val="32"/>
          <w:szCs w:val="32"/>
          <w:highlight w:val="none"/>
        </w:rPr>
        <w:t>21年，我单位政府采购支出</w:t>
      </w:r>
      <w:r>
        <w:rPr>
          <w:rFonts w:hint="eastAsia" w:ascii="仿宋_GB2312" w:eastAsia="仿宋_GB2312"/>
          <w:color w:val="auto"/>
          <w:sz w:val="32"/>
          <w:szCs w:val="32"/>
          <w:highlight w:val="none"/>
          <w:lang w:eastAsia="zh-CN"/>
        </w:rPr>
        <w:t>年初未预算采购经费，</w:t>
      </w:r>
      <w:r>
        <w:rPr>
          <w:rFonts w:hint="eastAsia" w:ascii="仿宋_GB2312" w:eastAsia="仿宋_GB2312"/>
          <w:color w:val="auto"/>
          <w:sz w:val="32"/>
          <w:szCs w:val="32"/>
          <w:highlight w:val="none"/>
        </w:rPr>
        <w:t>政府采购支出总额</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 xml:space="preserve"> </w:t>
      </w:r>
      <w:r>
        <w:rPr>
          <w:rFonts w:hint="eastAsia" w:ascii="仿宋_GB2312" w:eastAsia="仿宋_GB2312" w:cs="仿宋_GB2312"/>
          <w:color w:val="auto"/>
          <w:kern w:val="2"/>
          <w:sz w:val="32"/>
          <w:szCs w:val="32"/>
          <w:highlight w:val="none"/>
          <w:lang w:val="en-US" w:eastAsia="zh-CN" w:bidi="ar"/>
        </w:rPr>
        <w:t>与</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20</w:t>
      </w:r>
      <w:r>
        <w:rPr>
          <w:rFonts w:hint="eastAsia" w:ascii="仿宋_GB2312" w:eastAsia="仿宋_GB2312"/>
          <w:color w:val="auto"/>
          <w:sz w:val="32"/>
          <w:szCs w:val="32"/>
          <w:highlight w:val="none"/>
        </w:rPr>
        <w:t>年决算数持平</w:t>
      </w:r>
      <w:r>
        <w:rPr>
          <w:rFonts w:hint="eastAsia" w:ascii="仿宋_GB2312" w:hAnsi="Times New Roman" w:eastAsia="仿宋_GB2312" w:cs="仿宋_GB2312"/>
          <w:color w:val="auto"/>
          <w:kern w:val="2"/>
          <w:sz w:val="32"/>
          <w:szCs w:val="32"/>
          <w:highlight w:val="none"/>
          <w:lang w:val="en-US" w:eastAsia="zh-CN" w:bidi="ar"/>
        </w:rPr>
        <w:t>。</w:t>
      </w:r>
    </w:p>
    <w:p>
      <w:pPr>
        <w:autoSpaceDE w:val="0"/>
        <w:autoSpaceDN w:val="0"/>
        <w:adjustRightInd w:val="0"/>
        <w:spacing w:line="600" w:lineRule="exact"/>
        <w:ind w:firstLine="643" w:firstLineChars="200"/>
        <w:jc w:val="left"/>
        <w:outlineLvl w:val="2"/>
        <w:rPr>
          <w:rFonts w:ascii="仿宋" w:hAnsi="仿宋" w:eastAsia="仿宋"/>
          <w:b/>
          <w:color w:val="auto"/>
          <w:sz w:val="32"/>
          <w:szCs w:val="32"/>
          <w:highlight w:val="none"/>
        </w:rPr>
      </w:pPr>
      <w:bookmarkStart w:id="48" w:name="_Toc15377224"/>
      <w:r>
        <w:rPr>
          <w:rFonts w:hint="eastAsia" w:ascii="仿宋" w:hAnsi="仿宋" w:eastAsia="仿宋"/>
          <w:b/>
          <w:color w:val="auto"/>
          <w:sz w:val="32"/>
          <w:szCs w:val="32"/>
          <w:highlight w:val="none"/>
        </w:rPr>
        <w:t>（三）国有资产占有使用情况</w:t>
      </w:r>
      <w:bookmarkEnd w:id="48"/>
    </w:p>
    <w:p>
      <w:pPr>
        <w:autoSpaceDE w:val="0"/>
        <w:autoSpaceDN w:val="0"/>
        <w:adjustRightInd w:val="0"/>
        <w:spacing w:line="600" w:lineRule="exact"/>
        <w:ind w:firstLine="640" w:firstLineChars="200"/>
        <w:jc w:val="left"/>
        <w:rPr>
          <w:rFonts w:ascii="仿宋_GB2312" w:eastAsia="仿宋_GB2312"/>
          <w:b/>
          <w:color w:val="auto"/>
          <w:sz w:val="32"/>
          <w:szCs w:val="32"/>
          <w:highlight w:val="none"/>
        </w:rPr>
      </w:pPr>
      <w:r>
        <w:rPr>
          <w:rFonts w:hint="eastAsia" w:ascii="仿宋_GB2312" w:eastAsia="仿宋_GB2312"/>
          <w:color w:val="auto"/>
          <w:sz w:val="32"/>
          <w:szCs w:val="32"/>
          <w:highlight w:val="none"/>
        </w:rPr>
        <w:t>截至</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w:t>
      </w:r>
      <w:r>
        <w:rPr>
          <w:rFonts w:ascii="仿宋_GB2312" w:eastAsia="仿宋_GB2312"/>
          <w:color w:val="auto"/>
          <w:sz w:val="32"/>
          <w:szCs w:val="32"/>
          <w:highlight w:val="none"/>
        </w:rPr>
        <w:t>12</w:t>
      </w:r>
      <w:r>
        <w:rPr>
          <w:rFonts w:hint="eastAsia" w:ascii="仿宋_GB2312" w:eastAsia="仿宋_GB2312"/>
          <w:color w:val="auto"/>
          <w:sz w:val="32"/>
          <w:szCs w:val="32"/>
          <w:highlight w:val="none"/>
        </w:rPr>
        <w:t>月</w:t>
      </w:r>
      <w:r>
        <w:rPr>
          <w:rFonts w:ascii="仿宋_GB2312" w:eastAsia="仿宋_GB2312"/>
          <w:color w:val="auto"/>
          <w:sz w:val="32"/>
          <w:szCs w:val="32"/>
          <w:highlight w:val="none"/>
        </w:rPr>
        <w:t>31</w:t>
      </w:r>
      <w:r>
        <w:rPr>
          <w:rFonts w:hint="eastAsia" w:ascii="仿宋_GB2312" w:eastAsia="仿宋_GB2312"/>
          <w:color w:val="auto"/>
          <w:sz w:val="32"/>
          <w:szCs w:val="32"/>
          <w:highlight w:val="none"/>
        </w:rPr>
        <w:t>日，</w:t>
      </w:r>
      <w:r>
        <w:rPr>
          <w:rFonts w:hint="eastAsia" w:ascii="仿宋_GB2312" w:eastAsia="仿宋_GB2312"/>
          <w:color w:val="auto"/>
          <w:sz w:val="32"/>
          <w:szCs w:val="32"/>
          <w:highlight w:val="none"/>
          <w:lang w:eastAsia="zh-CN"/>
        </w:rPr>
        <w:t>我单位</w:t>
      </w:r>
      <w:r>
        <w:rPr>
          <w:rFonts w:hint="eastAsia" w:ascii="仿宋_GB2312" w:eastAsia="仿宋_GB2312"/>
          <w:color w:val="auto"/>
          <w:sz w:val="32"/>
          <w:szCs w:val="32"/>
          <w:highlight w:val="none"/>
        </w:rPr>
        <w:t>共有车辆</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辆，其中：主要领导干部用车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辆、机要通信用车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辆、应急保障用车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辆、其他用车</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辆</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单价</w:t>
      </w:r>
      <w:r>
        <w:rPr>
          <w:rFonts w:ascii="仿宋_GB2312" w:eastAsia="仿宋_GB2312"/>
          <w:color w:val="auto"/>
          <w:sz w:val="32"/>
          <w:szCs w:val="32"/>
          <w:highlight w:val="none"/>
        </w:rPr>
        <w:t>50</w:t>
      </w:r>
      <w:r>
        <w:rPr>
          <w:rFonts w:hint="eastAsia" w:ascii="仿宋_GB2312" w:eastAsia="仿宋_GB2312"/>
          <w:color w:val="auto"/>
          <w:sz w:val="32"/>
          <w:szCs w:val="32"/>
          <w:highlight w:val="none"/>
        </w:rPr>
        <w:t>万元以上通用设备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台（套），单价</w:t>
      </w:r>
      <w:r>
        <w:rPr>
          <w:rFonts w:ascii="仿宋_GB2312" w:eastAsia="仿宋_GB2312"/>
          <w:color w:val="auto"/>
          <w:sz w:val="32"/>
          <w:szCs w:val="32"/>
          <w:highlight w:val="none"/>
        </w:rPr>
        <w:t>100</w:t>
      </w:r>
      <w:r>
        <w:rPr>
          <w:rFonts w:hint="eastAsia" w:ascii="仿宋_GB2312" w:eastAsia="仿宋_GB2312"/>
          <w:color w:val="auto"/>
          <w:sz w:val="32"/>
          <w:szCs w:val="32"/>
          <w:highlight w:val="none"/>
        </w:rPr>
        <w:t>万元以上专用设备</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rPr>
        <w:t>台（套）。</w:t>
      </w:r>
    </w:p>
    <w:p>
      <w:pPr>
        <w:numPr>
          <w:ilvl w:val="0"/>
          <w:numId w:val="4"/>
        </w:numPr>
        <w:spacing w:line="600" w:lineRule="exact"/>
        <w:ind w:firstLine="660" w:firstLineChars="150"/>
        <w:jc w:val="center"/>
        <w:outlineLvl w:val="0"/>
        <w:rPr>
          <w:rStyle w:val="29"/>
          <w:rFonts w:ascii="黑体" w:hAnsi="黑体" w:eastAsia="黑体"/>
          <w:b w:val="0"/>
          <w:color w:val="auto"/>
          <w:highlight w:val="none"/>
        </w:rPr>
      </w:pPr>
      <w:bookmarkStart w:id="49" w:name="_Toc15396613"/>
      <w:bookmarkStart w:id="50" w:name="_Toc15377225"/>
      <w:r>
        <w:rPr>
          <w:rFonts w:hint="eastAsia" w:ascii="黑体" w:hAnsi="黑体" w:eastAsia="黑体"/>
          <w:color w:val="auto"/>
          <w:sz w:val="44"/>
          <w:szCs w:val="44"/>
          <w:highlight w:val="none"/>
        </w:rPr>
        <w:t>名</w:t>
      </w:r>
      <w:r>
        <w:rPr>
          <w:rStyle w:val="29"/>
          <w:rFonts w:hint="eastAsia" w:ascii="黑体" w:hAnsi="黑体" w:eastAsia="黑体"/>
          <w:b w:val="0"/>
          <w:color w:val="auto"/>
          <w:highlight w:val="none"/>
        </w:rPr>
        <w:t>词解释</w:t>
      </w:r>
      <w:bookmarkEnd w:id="49"/>
      <w:bookmarkEnd w:id="50"/>
    </w:p>
    <w:p>
      <w:pPr>
        <w:spacing w:line="600" w:lineRule="exact"/>
        <w:jc w:val="left"/>
        <w:rPr>
          <w:rFonts w:ascii="宋体"/>
          <w:b/>
          <w:color w:val="auto"/>
          <w:sz w:val="44"/>
          <w:szCs w:val="44"/>
          <w:highlight w:val="none"/>
        </w:rPr>
      </w:pPr>
    </w:p>
    <w:p>
      <w:pPr>
        <w:pStyle w:val="27"/>
        <w:spacing w:line="560" w:lineRule="exact"/>
        <w:ind w:firstLine="640" w:firstLineChars="200"/>
        <w:rPr>
          <w:rFonts w:ascii="仿宋_GB2312" w:eastAsia="仿宋_GB2312"/>
          <w:color w:val="auto"/>
          <w:sz w:val="32"/>
          <w:szCs w:val="32"/>
          <w:highlight w:val="none"/>
        </w:rPr>
      </w:pPr>
      <w:r>
        <w:rPr>
          <w:rFonts w:ascii="仿宋_GB2312" w:eastAsia="仿宋_GB2312"/>
          <w:color w:val="auto"/>
          <w:sz w:val="32"/>
          <w:szCs w:val="32"/>
          <w:highlight w:val="none"/>
        </w:rPr>
        <w:t>1.</w:t>
      </w:r>
      <w:r>
        <w:rPr>
          <w:rFonts w:hint="eastAsia" w:ascii="仿宋_GB2312" w:eastAsia="仿宋_GB2312"/>
          <w:color w:val="auto"/>
          <w:sz w:val="32"/>
          <w:szCs w:val="32"/>
          <w:highlight w:val="none"/>
        </w:rPr>
        <w:t>财政拨款收入：指单位从同级财政部门取得的财政预算资金。</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2</w:t>
      </w:r>
      <w:r>
        <w:rPr>
          <w:rFonts w:ascii="仿宋_GB2312" w:eastAsia="仿宋_GB2312"/>
          <w:color w:val="auto"/>
          <w:sz w:val="32"/>
          <w:szCs w:val="32"/>
          <w:highlight w:val="none"/>
        </w:rPr>
        <w:t>.</w:t>
      </w:r>
      <w:r>
        <w:rPr>
          <w:rFonts w:hint="eastAsia" w:ascii="仿宋_GB2312" w:eastAsia="仿宋_GB2312"/>
          <w:color w:val="auto"/>
          <w:sz w:val="32"/>
          <w:szCs w:val="32"/>
          <w:highlight w:val="none"/>
        </w:rPr>
        <w:t>使用非财政拨款结余：指事业单位使用以前年度积累的非财政拨款结余弥补当年收支差额的金额。</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年初结转和结余：指以前年度尚未完成、结转到本年按有关规定继续使用的资金。</w:t>
      </w:r>
      <w:r>
        <w:rPr>
          <w:rFonts w:ascii="仿宋_GB2312" w:eastAsia="仿宋_GB2312"/>
          <w:color w:val="auto"/>
          <w:sz w:val="32"/>
          <w:szCs w:val="32"/>
          <w:highlight w:val="none"/>
        </w:rPr>
        <w:t xml:space="preserve"> </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结余分配：指事业单位按照会计制度规定缴纳的所得税、提取的专用结余以及转入非财政拨款结余的金额等。</w:t>
      </w:r>
    </w:p>
    <w:p>
      <w:pPr>
        <w:pStyle w:val="27"/>
        <w:spacing w:line="56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5</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rPr>
        <w:t>年末结转和结余：指单位按有关规定结转到下年或以后年度继续使用的资金。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6</w:t>
      </w:r>
      <w:r>
        <w:rPr>
          <w:rFonts w:ascii="仿宋_GB2312" w:eastAsia="仿宋_GB2312"/>
          <w:color w:val="auto"/>
          <w:sz w:val="32"/>
          <w:szCs w:val="32"/>
          <w:highlight w:val="none"/>
        </w:rPr>
        <w:t>.</w:t>
      </w:r>
      <w:r>
        <w:rPr>
          <w:rFonts w:hint="eastAsia" w:ascii="仿宋_GB2312" w:eastAsia="仿宋_GB2312"/>
          <w:color w:val="auto"/>
          <w:sz w:val="32"/>
          <w:szCs w:val="32"/>
          <w:highlight w:val="none"/>
        </w:rPr>
        <w:t>教育（类）普通教育（款）小学教育（项）：指小学教育。</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7.教育（类）教育费附加安排（款）其他教育费附加安排（项）：其他教育费附加安排。</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8.</w:t>
      </w:r>
      <w:r>
        <w:rPr>
          <w:rFonts w:hint="eastAsia" w:ascii="仿宋_GB2312" w:hAnsi="Calibri" w:eastAsia="仿宋_GB2312" w:cs="仿宋"/>
          <w:color w:val="auto"/>
          <w:kern w:val="0"/>
          <w:sz w:val="32"/>
          <w:szCs w:val="32"/>
          <w:highlight w:val="none"/>
          <w:lang w:val="en-US" w:eastAsia="zh-CN" w:bidi="ar-SA"/>
        </w:rPr>
        <w:t>其他支出（类）彩票公益金安排的支出（款）用于体育事业的彩票公益金支出（项）：指</w:t>
      </w:r>
      <w:r>
        <w:rPr>
          <w:rFonts w:hint="eastAsia" w:ascii="仿宋_GB2312" w:hAnsi="Calibri" w:eastAsia="仿宋_GB2312" w:cs="仿宋"/>
          <w:color w:val="auto"/>
          <w:kern w:val="0"/>
          <w:sz w:val="32"/>
          <w:szCs w:val="32"/>
          <w:highlight w:val="none"/>
          <w:lang w:val="en-US" w:eastAsia="zh-CN"/>
        </w:rPr>
        <w:t>用于体育事业的彩票公益金支出。</w:t>
      </w:r>
    </w:p>
    <w:p>
      <w:pPr>
        <w:numPr>
          <w:ilvl w:val="0"/>
          <w:numId w:val="0"/>
        </w:numPr>
        <w:spacing w:line="600" w:lineRule="exact"/>
        <w:ind w:firstLine="640" w:firstLineChars="200"/>
        <w:rPr>
          <w:rFonts w:hint="eastAsia" w:ascii="仿宋_GB2312" w:hAnsi="Calibri" w:eastAsia="仿宋_GB2312" w:cs="仿宋"/>
          <w:color w:val="auto"/>
          <w:kern w:val="0"/>
          <w:sz w:val="32"/>
          <w:szCs w:val="32"/>
          <w:highlight w:val="none"/>
          <w:lang w:val="en-US" w:eastAsia="zh-CN" w:bidi="ar-SA"/>
        </w:rPr>
      </w:pPr>
      <w:r>
        <w:rPr>
          <w:rFonts w:hint="eastAsia" w:ascii="仿宋_GB2312" w:hAnsi="Calibri" w:eastAsia="仿宋_GB2312" w:cs="仿宋"/>
          <w:color w:val="auto"/>
          <w:kern w:val="0"/>
          <w:sz w:val="32"/>
          <w:szCs w:val="32"/>
          <w:highlight w:val="none"/>
          <w:lang w:val="en-US" w:eastAsia="zh-CN" w:bidi="ar-SA"/>
        </w:rPr>
        <w:t>9.社会保障和就业支出（类）行政事业单位养老支出（款）机关事业单位基本养老保险缴费支出（项）: 指机关事业单位实施养老保险制度由单位缴纳的基本养老保险费支出。</w:t>
      </w:r>
    </w:p>
    <w:p>
      <w:pPr>
        <w:pStyle w:val="16"/>
        <w:ind w:left="0" w:leftChars="0" w:firstLine="640" w:firstLineChars="200"/>
        <w:rPr>
          <w:rFonts w:hint="eastAsia"/>
          <w:color w:val="auto"/>
          <w:highlight w:val="none"/>
          <w:lang w:val="en-US" w:eastAsia="zh-CN"/>
        </w:rPr>
      </w:pPr>
      <w:r>
        <w:rPr>
          <w:rFonts w:hint="eastAsia" w:ascii="仿宋_GB2312" w:hAnsi="Calibri" w:eastAsia="仿宋_GB2312" w:cs="仿宋"/>
          <w:color w:val="auto"/>
          <w:kern w:val="0"/>
          <w:sz w:val="32"/>
          <w:szCs w:val="32"/>
          <w:highlight w:val="none"/>
          <w:lang w:val="en-US" w:eastAsia="zh-CN" w:bidi="ar-SA"/>
        </w:rPr>
        <w:t>10.社会保障和就业支出（类）其他社会保障和就业支出（款）其他社会保障和就业支出（项）: 指其他用于社会保障和就业方面的支出。</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11.</w:t>
      </w:r>
      <w:r>
        <w:rPr>
          <w:rFonts w:hint="eastAsia" w:ascii="仿宋_GB2312" w:hAnsi="Calibri" w:eastAsia="仿宋_GB2312" w:cs="仿宋"/>
          <w:color w:val="auto"/>
          <w:kern w:val="0"/>
          <w:sz w:val="32"/>
          <w:szCs w:val="32"/>
          <w:highlight w:val="none"/>
          <w:lang w:val="en-US" w:eastAsia="zh-CN"/>
        </w:rPr>
        <w:t>卫生健康（类）行政事业单位医疗（款）事业单位医疗（项）：指财政部门安排的事业单位基本医疗保险缴费经费，未参加医疗保险的事业单位的公费医疗经费，按国家规定享受离休人员待遇的医疗保险。</w:t>
      </w:r>
    </w:p>
    <w:p>
      <w:pPr>
        <w:pStyle w:val="2"/>
        <w:ind w:firstLine="640" w:firstLineChars="200"/>
        <w:rPr>
          <w:color w:val="auto"/>
          <w:highlight w:val="none"/>
        </w:rPr>
      </w:pPr>
      <w:r>
        <w:rPr>
          <w:rFonts w:hint="eastAsia" w:hAnsi="Calibri" w:cs="仿宋"/>
          <w:color w:val="auto"/>
          <w:kern w:val="0"/>
          <w:sz w:val="32"/>
          <w:szCs w:val="32"/>
          <w:highlight w:val="none"/>
          <w:lang w:val="en-US" w:eastAsia="zh-CN"/>
        </w:rPr>
        <w:t>12.</w:t>
      </w:r>
      <w:r>
        <w:rPr>
          <w:rFonts w:hint="eastAsia" w:ascii="仿宋_GB2312" w:hAnsi="Calibri" w:eastAsia="仿宋_GB2312" w:cs="仿宋"/>
          <w:color w:val="auto"/>
          <w:kern w:val="0"/>
          <w:sz w:val="32"/>
          <w:szCs w:val="32"/>
          <w:highlight w:val="none"/>
          <w:lang w:val="en-US" w:eastAsia="zh-CN"/>
        </w:rPr>
        <w:t>住房保障支出（类）住房改革支出（款）住房公积金（项）：指行政事业单位按人力资源和社会保障部、财政部规定的基本工资和津贴补贴以及规定比例为职工缴纳的住房公积金。</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lang w:val="en-US" w:eastAsia="zh-CN"/>
        </w:rPr>
        <w:t>13</w:t>
      </w:r>
      <w:r>
        <w:rPr>
          <w:rFonts w:ascii="仿宋_GB2312" w:eastAsia="仿宋_GB2312"/>
          <w:color w:val="auto"/>
          <w:sz w:val="32"/>
          <w:szCs w:val="32"/>
          <w:highlight w:val="none"/>
        </w:rPr>
        <w:t>.</w:t>
      </w:r>
      <w:r>
        <w:rPr>
          <w:rFonts w:hint="eastAsia" w:ascii="仿宋_GB2312" w:eastAsia="仿宋_GB2312"/>
          <w:color w:val="auto"/>
          <w:sz w:val="32"/>
          <w:szCs w:val="32"/>
          <w:highlight w:val="none"/>
        </w:rPr>
        <w:t>基本支出：指为保障机构正常运转、完成日常工作任务而发生的人员支出和公用支出。</w:t>
      </w:r>
    </w:p>
    <w:p>
      <w:pPr>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4</w:t>
      </w:r>
      <w:r>
        <w:rPr>
          <w:rFonts w:ascii="仿宋_GB2312" w:eastAsia="仿宋_GB2312"/>
          <w:color w:val="auto"/>
          <w:sz w:val="32"/>
          <w:szCs w:val="32"/>
          <w:highlight w:val="none"/>
        </w:rPr>
        <w:t>.</w:t>
      </w:r>
      <w:r>
        <w:rPr>
          <w:rFonts w:hint="eastAsia" w:ascii="仿宋_GB2312" w:eastAsia="仿宋_GB2312"/>
          <w:color w:val="auto"/>
          <w:sz w:val="32"/>
          <w:szCs w:val="32"/>
          <w:highlight w:val="none"/>
        </w:rPr>
        <w:t>项目支出：指在基本支出之外为完成特定行政任务和事业发展目标所发生的支出。</w:t>
      </w:r>
      <w:r>
        <w:rPr>
          <w:rFonts w:ascii="仿宋_GB2312" w:eastAsia="仿宋_GB2312"/>
          <w:color w:val="auto"/>
          <w:sz w:val="32"/>
          <w:szCs w:val="32"/>
          <w:highlight w:val="none"/>
        </w:rPr>
        <w:t xml:space="preserve"> </w:t>
      </w:r>
    </w:p>
    <w:p>
      <w:pPr>
        <w:pStyle w:val="27"/>
        <w:spacing w:line="560" w:lineRule="exact"/>
        <w:ind w:firstLine="640" w:firstLineChars="200"/>
        <w:jc w:val="left"/>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1</w:t>
      </w:r>
      <w:r>
        <w:rPr>
          <w:rFonts w:hint="eastAsia" w:ascii="仿宋_GB2312" w:eastAsia="仿宋_GB2312"/>
          <w:color w:val="auto"/>
          <w:sz w:val="32"/>
          <w:szCs w:val="32"/>
          <w:highlight w:val="none"/>
          <w:lang w:val="en-US" w:eastAsia="zh-CN"/>
        </w:rPr>
        <w:t>5</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51" w:name="_Toc15377226"/>
    </w:p>
    <w:p>
      <w:pPr>
        <w:pStyle w:val="27"/>
        <w:spacing w:line="560" w:lineRule="exact"/>
        <w:ind w:firstLine="883" w:firstLineChars="200"/>
        <w:jc w:val="center"/>
        <w:rPr>
          <w:rStyle w:val="29"/>
          <w:rFonts w:ascii="黑体" w:hAnsi="黑体" w:eastAsia="黑体"/>
          <w:b w:val="0"/>
          <w:color w:val="auto"/>
          <w:highlight w:val="none"/>
        </w:rPr>
      </w:pPr>
      <w:r>
        <w:rPr>
          <w:rFonts w:ascii="宋体"/>
          <w:b/>
          <w:color w:val="auto"/>
          <w:sz w:val="44"/>
          <w:szCs w:val="44"/>
          <w:highlight w:val="none"/>
        </w:rPr>
        <w:br w:type="page"/>
      </w:r>
      <w:bookmarkStart w:id="52" w:name="_Toc15396614"/>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四部分 附件</w:t>
      </w:r>
      <w:bookmarkEnd w:id="52"/>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1</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bookmarkStart w:id="53" w:name="_Toc15396618"/>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（乡村少年宫运行经费）</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eastAsia="zh-CN"/>
              </w:rPr>
              <w:t>广元市昭化区虎跳镇小学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default" w:ascii="宋体" w:hAnsi="宋体" w:cs="宋体"/>
                <w:color w:val="auto"/>
                <w:sz w:val="24"/>
                <w:highlight w:val="none"/>
              </w:rPr>
            </w:pPr>
            <w:r>
              <w:rPr>
                <w:rFonts w:hint="default" w:ascii="宋体" w:hAnsi="宋体" w:cs="宋体"/>
                <w:color w:val="auto"/>
                <w:sz w:val="22"/>
                <w:szCs w:val="22"/>
                <w:highlight w:val="none"/>
              </w:rPr>
              <w:t>保障乡村少年宫正常运转。将“乡村学校少年宫”建设成满足学生精神文化需求、促进学生全面发展、深化学生素质教育的有效载体，建设成家长认可、布局合理、功能完备的未成年人教育阵地。</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保障了乡村</w:t>
            </w:r>
            <w:r>
              <w:rPr>
                <w:rFonts w:hint="default" w:ascii="宋体" w:hAnsi="宋体" w:eastAsia="宋体" w:cs="宋体"/>
                <w:color w:val="auto"/>
                <w:sz w:val="22"/>
                <w:szCs w:val="22"/>
                <w:highlight w:val="none"/>
              </w:rPr>
              <w:t>少年宫</w:t>
            </w:r>
            <w:r>
              <w:rPr>
                <w:rFonts w:hint="eastAsia" w:ascii="宋体" w:hAnsi="宋体" w:eastAsia="宋体" w:cs="宋体"/>
                <w:color w:val="auto"/>
                <w:sz w:val="22"/>
                <w:szCs w:val="22"/>
                <w:highlight w:val="none"/>
                <w:lang w:eastAsia="zh-CN"/>
              </w:rPr>
              <w:t>的</w:t>
            </w:r>
            <w:r>
              <w:rPr>
                <w:rFonts w:hint="default" w:ascii="宋体" w:hAnsi="宋体" w:eastAsia="宋体" w:cs="宋体"/>
                <w:color w:val="auto"/>
                <w:sz w:val="22"/>
                <w:szCs w:val="22"/>
                <w:highlight w:val="none"/>
              </w:rPr>
              <w:t>正常运转。满足</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学生精神文化需求、促进</w:t>
            </w:r>
            <w:r>
              <w:rPr>
                <w:rFonts w:hint="eastAsia" w:ascii="宋体" w:hAnsi="宋体" w:eastAsia="宋体" w:cs="宋体"/>
                <w:color w:val="auto"/>
                <w:sz w:val="22"/>
                <w:szCs w:val="22"/>
                <w:highlight w:val="none"/>
                <w:lang w:eastAsia="zh-CN"/>
              </w:rPr>
              <w:t>了</w:t>
            </w:r>
            <w:r>
              <w:rPr>
                <w:rFonts w:hint="default" w:ascii="宋体" w:hAnsi="宋体" w:eastAsia="宋体" w:cs="宋体"/>
                <w:color w:val="auto"/>
                <w:sz w:val="22"/>
                <w:szCs w:val="22"/>
                <w:highlight w:val="none"/>
              </w:rPr>
              <w:t>学生全面发展</w:t>
            </w:r>
            <w:r>
              <w:rPr>
                <w:rFonts w:hint="eastAsia" w:ascii="宋体" w:hAnsi="宋体" w:eastAsia="宋体" w:cs="宋体"/>
                <w:color w:val="auto"/>
                <w:sz w:val="22"/>
                <w:szCs w:val="22"/>
                <w:highlight w:val="none"/>
                <w:lang w:eastAsia="zh-CN"/>
              </w:rPr>
              <w:t>，是</w:t>
            </w:r>
            <w:r>
              <w:rPr>
                <w:rFonts w:hint="default" w:ascii="宋体" w:hAnsi="宋体" w:eastAsia="宋体" w:cs="宋体"/>
                <w:color w:val="auto"/>
                <w:sz w:val="22"/>
                <w:szCs w:val="22"/>
                <w:highlight w:val="none"/>
              </w:rPr>
              <w:t>家长认可、布局合理、功能完备的未成年人教育阵地。</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乡村少年宫数量</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1所</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1所</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default" w:ascii="仿宋_GB2312" w:hAnsi="仿宋_GB2312" w:eastAsia="仿宋_GB2312" w:cs="仿宋_GB2312"/>
                <w:color w:val="auto"/>
                <w:sz w:val="20"/>
                <w:szCs w:val="20"/>
                <w:highlight w:val="none"/>
              </w:rPr>
              <w:t>科学设置项目</w:t>
            </w:r>
            <w:r>
              <w:rPr>
                <w:rFonts w:hint="eastAsia" w:ascii="仿宋_GB2312" w:hAnsi="仿宋_GB2312" w:eastAsia="仿宋_GB2312" w:cs="仿宋_GB2312"/>
                <w:color w:val="auto"/>
                <w:sz w:val="20"/>
                <w:szCs w:val="20"/>
                <w:highlight w:val="none"/>
                <w:lang w:eastAsia="zh-CN"/>
              </w:rPr>
              <w:t>，</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扎实开展活动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6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乡村少年宫正常运转</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正常运转</w:t>
            </w:r>
          </w:p>
        </w:tc>
      </w:tr>
      <w:tr>
        <w:tblPrEx>
          <w:tblCellMar>
            <w:top w:w="0" w:type="dxa"/>
            <w:left w:w="108" w:type="dxa"/>
            <w:bottom w:w="0" w:type="dxa"/>
            <w:right w:w="108" w:type="dxa"/>
          </w:tblCellMar>
        </w:tblPrEx>
        <w:trPr>
          <w:gridAfter w:val="1"/>
          <w:wAfter w:w="236" w:type="dxa"/>
          <w:trHeight w:val="78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按照财务管理制度规定，资金实行专项管理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专款专账</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运行</w:t>
            </w:r>
            <w:r>
              <w:rPr>
                <w:rFonts w:hint="default" w:ascii="仿宋_GB2312" w:hAnsi="仿宋_GB2312" w:eastAsia="仿宋_GB2312" w:cs="仿宋_GB2312"/>
                <w:color w:val="auto"/>
                <w:sz w:val="20"/>
                <w:szCs w:val="20"/>
                <w:highlight w:val="none"/>
              </w:rPr>
              <w:t>经费保障期限</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运行经费</w:t>
            </w:r>
            <w:r>
              <w:rPr>
                <w:rFonts w:hint="eastAsia" w:ascii="仿宋_GB2312" w:hAnsi="仿宋_GB2312" w:eastAsia="仿宋_GB2312" w:cs="仿宋_GB2312"/>
                <w:color w:val="auto"/>
                <w:sz w:val="20"/>
                <w:szCs w:val="20"/>
                <w:highlight w:val="none"/>
                <w:lang w:eastAsia="zh-CN"/>
              </w:rPr>
              <w:t>年</w:t>
            </w:r>
            <w:r>
              <w:rPr>
                <w:rFonts w:hint="default" w:ascii="仿宋_GB2312" w:hAnsi="仿宋_GB2312" w:eastAsia="仿宋_GB2312" w:cs="仿宋_GB2312"/>
                <w:color w:val="auto"/>
                <w:sz w:val="20"/>
                <w:szCs w:val="20"/>
                <w:highlight w:val="none"/>
              </w:rPr>
              <w:t>补助标准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3万元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3万元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提升学生综合素质</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丰富学生课余生活</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98%</w:t>
            </w:r>
          </w:p>
        </w:tc>
      </w:tr>
      <w:tr>
        <w:tblPrEx>
          <w:tblCellMar>
            <w:top w:w="0" w:type="dxa"/>
            <w:left w:w="108" w:type="dxa"/>
            <w:bottom w:w="0" w:type="dxa"/>
            <w:right w:w="108" w:type="dxa"/>
          </w:tblCellMar>
        </w:tblPrEx>
        <w:trPr>
          <w:gridAfter w:val="1"/>
          <w:wAfter w:w="236" w:type="dxa"/>
          <w:trHeight w:val="69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rPr>
          <w:rFonts w:hint="eastAsia" w:ascii="黑体" w:hAnsi="黑体" w:eastAsia="黑体"/>
          <w:color w:val="auto"/>
          <w:sz w:val="44"/>
          <w:szCs w:val="44"/>
          <w:highlight w:val="none"/>
        </w:rPr>
      </w:pPr>
      <w:r>
        <w:rPr>
          <w:rFonts w:hint="eastAsia" w:ascii="黑体" w:hAnsi="黑体" w:eastAsia="黑体"/>
          <w:color w:val="auto"/>
          <w:sz w:val="44"/>
          <w:szCs w:val="44"/>
          <w:highlight w:val="none"/>
        </w:rPr>
        <w:br w:type="page"/>
      </w:r>
    </w:p>
    <w:p>
      <w:pPr>
        <w:spacing w:line="572" w:lineRule="exact"/>
        <w:jc w:val="left"/>
        <w:outlineLvl w:val="0"/>
        <w:rPr>
          <w:rFonts w:hint="eastAsia" w:ascii="仿宋_GB2312" w:hAnsi="仿宋_GB2312" w:eastAsia="黑体" w:cs="仿宋_GB2312"/>
          <w:color w:val="auto"/>
          <w:sz w:val="32"/>
          <w:szCs w:val="32"/>
          <w:highlight w:val="none"/>
          <w:lang w:val="en-US" w:eastAsia="zh-CN"/>
        </w:rPr>
      </w:pPr>
      <w:r>
        <w:rPr>
          <w:rFonts w:hint="eastAsia" w:ascii="黑体" w:hAnsi="黑体" w:eastAsia="黑体" w:cs="黑体"/>
          <w:color w:val="auto"/>
          <w:sz w:val="32"/>
          <w:szCs w:val="32"/>
          <w:highlight w:val="none"/>
        </w:rPr>
        <w:t>附件</w:t>
      </w:r>
      <w:r>
        <w:rPr>
          <w:rFonts w:hint="eastAsia" w:ascii="黑体" w:hAnsi="黑体" w:eastAsia="黑体" w:cs="黑体"/>
          <w:color w:val="auto"/>
          <w:sz w:val="32"/>
          <w:szCs w:val="32"/>
          <w:highlight w:val="none"/>
          <w:lang w:val="en-US" w:eastAsia="zh-CN"/>
        </w:rPr>
        <w:t>2</w:t>
      </w:r>
    </w:p>
    <w:tbl>
      <w:tblPr>
        <w:tblStyle w:val="17"/>
        <w:tblpPr w:leftFromText="180" w:rightFromText="180" w:vertAnchor="text" w:horzAnchor="page" w:tblpX="1702" w:tblpY="109"/>
        <w:tblOverlap w:val="never"/>
        <w:tblW w:w="9454" w:type="dxa"/>
        <w:tblInd w:w="0" w:type="dxa"/>
        <w:tblLayout w:type="fixed"/>
        <w:tblCellMar>
          <w:top w:w="0" w:type="dxa"/>
          <w:left w:w="108" w:type="dxa"/>
          <w:bottom w:w="0" w:type="dxa"/>
          <w:right w:w="108" w:type="dxa"/>
        </w:tblCellMar>
      </w:tblPr>
      <w:tblGrid>
        <w:gridCol w:w="1113"/>
        <w:gridCol w:w="1005"/>
        <w:gridCol w:w="1215"/>
        <w:gridCol w:w="2385"/>
        <w:gridCol w:w="1178"/>
        <w:gridCol w:w="2322"/>
        <w:gridCol w:w="236"/>
      </w:tblGrid>
      <w:tr>
        <w:tblPrEx>
          <w:tblCellMar>
            <w:top w:w="0" w:type="dxa"/>
            <w:left w:w="108" w:type="dxa"/>
            <w:bottom w:w="0" w:type="dxa"/>
            <w:right w:w="108" w:type="dxa"/>
          </w:tblCellMar>
        </w:tblPrEx>
        <w:trPr>
          <w:trHeight w:val="739" w:hRule="atLeast"/>
        </w:trPr>
        <w:tc>
          <w:tcPr>
            <w:tcW w:w="9218" w:type="dxa"/>
            <w:gridSpan w:val="6"/>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宋体" w:hAnsi="宋体" w:eastAsia="宋体" w:cs="宋体"/>
                <w:b/>
                <w:color w:val="auto"/>
                <w:sz w:val="32"/>
                <w:szCs w:val="32"/>
                <w:highlight w:val="none"/>
                <w:lang w:eastAsia="zh-CN"/>
              </w:rPr>
            </w:pPr>
            <w:r>
              <w:rPr>
                <w:rFonts w:hint="eastAsia" w:ascii="宋体" w:hAnsi="宋体" w:cs="宋体"/>
                <w:b/>
                <w:color w:val="auto"/>
                <w:sz w:val="32"/>
                <w:szCs w:val="32"/>
                <w:highlight w:val="none"/>
              </w:rPr>
              <w:t>2021年部门预算项目绩效目标自评</w:t>
            </w:r>
            <w:r>
              <w:rPr>
                <w:rFonts w:hint="eastAsia" w:ascii="宋体" w:hAnsi="宋体" w:cs="宋体"/>
                <w:b/>
                <w:color w:val="auto"/>
                <w:sz w:val="32"/>
                <w:szCs w:val="32"/>
                <w:highlight w:val="none"/>
                <w:lang w:eastAsia="zh-CN"/>
              </w:rPr>
              <w:t>（校舍维修）</w:t>
            </w:r>
          </w:p>
        </w:tc>
        <w:tc>
          <w:tcPr>
            <w:tcW w:w="236" w:type="dxa"/>
            <w:tcBorders>
              <w:top w:val="nil"/>
              <w:left w:val="nil"/>
              <w:bottom w:val="nil"/>
              <w:right w:val="nil"/>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宋体" w:hAnsi="宋体" w:cs="宋体"/>
                <w:b/>
                <w:color w:val="auto"/>
                <w:kern w:val="0"/>
                <w:sz w:val="32"/>
                <w:szCs w:val="32"/>
                <w:highlight w:val="none"/>
              </w:rPr>
            </w:pPr>
          </w:p>
        </w:tc>
      </w:tr>
      <w:tr>
        <w:tblPrEx>
          <w:tblCellMar>
            <w:top w:w="0" w:type="dxa"/>
            <w:left w:w="108" w:type="dxa"/>
            <w:bottom w:w="0" w:type="dxa"/>
            <w:right w:w="108" w:type="dxa"/>
          </w:tblCellMar>
        </w:tblPrEx>
        <w:trPr>
          <w:gridAfter w:val="1"/>
          <w:wAfter w:w="236" w:type="dxa"/>
          <w:trHeight w:val="391" w:hRule="atLeast"/>
        </w:trPr>
        <w:tc>
          <w:tcPr>
            <w:tcW w:w="211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主管部门及代码</w:t>
            </w:r>
          </w:p>
        </w:tc>
        <w:tc>
          <w:tcPr>
            <w:tcW w:w="36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360301</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实施单位</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textAlignment w:val="center"/>
              <w:rPr>
                <w:rFonts w:hint="eastAsia" w:ascii="宋体" w:hAnsi="宋体" w:eastAsia="宋体" w:cs="宋体"/>
                <w:color w:val="auto"/>
                <w:sz w:val="24"/>
                <w:highlight w:val="none"/>
                <w:lang w:eastAsia="zh-CN"/>
              </w:rPr>
            </w:pPr>
            <w:r>
              <w:rPr>
                <w:rFonts w:hint="eastAsia" w:ascii="宋体" w:hAnsi="宋体" w:cs="宋体"/>
                <w:color w:val="auto"/>
                <w:sz w:val="21"/>
                <w:szCs w:val="21"/>
                <w:highlight w:val="none"/>
                <w:lang w:eastAsia="zh-CN"/>
              </w:rPr>
              <w:t>广元市昭化区虎跳镇小学</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项目预算</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执行情况</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（万元）</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预算数：</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383.097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 xml:space="preserve"> 执行数：</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383.097</w:t>
            </w:r>
          </w:p>
        </w:tc>
      </w:tr>
      <w:tr>
        <w:tblPrEx>
          <w:tblCellMar>
            <w:top w:w="0" w:type="dxa"/>
            <w:left w:w="108" w:type="dxa"/>
            <w:bottom w:w="0" w:type="dxa"/>
            <w:right w:w="108" w:type="dxa"/>
          </w:tblCellMar>
        </w:tblPrEx>
        <w:trPr>
          <w:gridAfter w:val="1"/>
          <w:wAfter w:w="236" w:type="dxa"/>
          <w:trHeight w:val="762"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383.097</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其中：</w:t>
            </w:r>
          </w:p>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财政拨款</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sz w:val="24"/>
                <w:highlight w:val="none"/>
                <w:lang w:val="en-US" w:eastAsia="zh-CN"/>
              </w:rPr>
              <w:t>383.097</w:t>
            </w:r>
          </w:p>
        </w:tc>
      </w:tr>
      <w:tr>
        <w:tblPrEx>
          <w:tblCellMar>
            <w:top w:w="0" w:type="dxa"/>
            <w:left w:w="108" w:type="dxa"/>
            <w:bottom w:w="0" w:type="dxa"/>
            <w:right w:w="108" w:type="dxa"/>
          </w:tblCellMar>
        </w:tblPrEx>
        <w:trPr>
          <w:gridAfter w:val="1"/>
          <w:wAfter w:w="236" w:type="dxa"/>
          <w:trHeight w:val="415" w:hRule="atLeast"/>
        </w:trPr>
        <w:tc>
          <w:tcPr>
            <w:tcW w:w="211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eastAsia" w:ascii="宋体" w:hAnsi="宋体" w:eastAsia="宋体" w:cs="宋体"/>
                <w:color w:val="auto"/>
                <w:sz w:val="24"/>
                <w:highlight w:val="none"/>
                <w:lang w:val="en-US" w:eastAsia="zh-CN"/>
              </w:rPr>
            </w:pP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center"/>
              <w:rPr>
                <w:rFonts w:hint="default" w:ascii="宋体" w:hAnsi="宋体" w:cs="宋体"/>
                <w:color w:val="auto"/>
                <w:sz w:val="24"/>
                <w:highlight w:val="none"/>
              </w:rPr>
            </w:pPr>
            <w:r>
              <w:rPr>
                <w:rFonts w:hint="eastAsia" w:ascii="宋体" w:hAnsi="宋体" w:cs="宋体"/>
                <w:color w:val="auto"/>
                <w:kern w:val="0"/>
                <w:sz w:val="24"/>
                <w:highlight w:val="none"/>
              </w:rPr>
              <w:t>其他资金</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eastAsia" w:ascii="宋体" w:hAnsi="宋体" w:eastAsia="宋体" w:cs="宋体"/>
                <w:color w:val="auto"/>
                <w:sz w:val="24"/>
                <w:highlight w:val="none"/>
                <w:lang w:val="en-US" w:eastAsia="zh-CN"/>
              </w:rPr>
            </w:pPr>
          </w:p>
        </w:tc>
      </w:tr>
      <w:tr>
        <w:tblPrEx>
          <w:tblCellMar>
            <w:top w:w="0" w:type="dxa"/>
            <w:left w:w="108" w:type="dxa"/>
            <w:bottom w:w="0" w:type="dxa"/>
            <w:right w:w="108" w:type="dxa"/>
          </w:tblCellMar>
        </w:tblPrEx>
        <w:trPr>
          <w:gridAfter w:val="1"/>
          <w:wAfter w:w="236" w:type="dxa"/>
          <w:trHeight w:val="391" w:hRule="atLeast"/>
        </w:trPr>
        <w:tc>
          <w:tcPr>
            <w:tcW w:w="11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kern w:val="0"/>
                <w:sz w:val="24"/>
                <w:highlight w:val="none"/>
              </w:rPr>
            </w:pPr>
            <w:r>
              <w:rPr>
                <w:rFonts w:hint="eastAsia" w:ascii="宋体" w:hAnsi="宋体" w:cs="宋体"/>
                <w:color w:val="auto"/>
                <w:kern w:val="0"/>
                <w:sz w:val="24"/>
                <w:highlight w:val="none"/>
              </w:rPr>
              <w:t>年度总体目标</w:t>
            </w:r>
          </w:p>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完成情况</w:t>
            </w: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预期目标</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宋体" w:hAnsi="宋体" w:cs="宋体"/>
                <w:color w:val="auto"/>
                <w:sz w:val="24"/>
                <w:highlight w:val="none"/>
              </w:rPr>
            </w:pPr>
            <w:r>
              <w:rPr>
                <w:rFonts w:hint="eastAsia" w:ascii="宋体" w:hAnsi="宋体" w:cs="宋体"/>
                <w:color w:val="auto"/>
                <w:kern w:val="0"/>
                <w:sz w:val="24"/>
                <w:highlight w:val="none"/>
              </w:rPr>
              <w:t>目标实际完成情况</w:t>
            </w:r>
          </w:p>
        </w:tc>
      </w:tr>
      <w:tr>
        <w:tblPrEx>
          <w:tblCellMar>
            <w:top w:w="0" w:type="dxa"/>
            <w:left w:w="108" w:type="dxa"/>
            <w:bottom w:w="0" w:type="dxa"/>
            <w:right w:w="108" w:type="dxa"/>
          </w:tblCellMar>
        </w:tblPrEx>
        <w:trPr>
          <w:gridAfter w:val="1"/>
          <w:wAfter w:w="236" w:type="dxa"/>
          <w:trHeight w:val="943" w:hRule="atLeast"/>
        </w:trPr>
        <w:tc>
          <w:tcPr>
            <w:tcW w:w="11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宋体" w:hAnsi="宋体" w:cs="宋体"/>
                <w:color w:val="auto"/>
                <w:sz w:val="24"/>
                <w:highlight w:val="none"/>
              </w:rPr>
            </w:pPr>
          </w:p>
        </w:tc>
        <w:tc>
          <w:tcPr>
            <w:tcW w:w="4605" w:type="dxa"/>
            <w:gridSpan w:val="3"/>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default" w:ascii="宋体" w:hAnsi="宋体" w:cs="宋体"/>
                <w:color w:val="auto"/>
                <w:sz w:val="22"/>
                <w:szCs w:val="22"/>
                <w:highlight w:val="none"/>
              </w:rPr>
              <w:t>校舍</w:t>
            </w:r>
            <w:r>
              <w:rPr>
                <w:rFonts w:hint="eastAsia" w:ascii="宋体" w:hAnsi="宋体" w:cs="宋体"/>
                <w:color w:val="auto"/>
                <w:sz w:val="22"/>
                <w:szCs w:val="22"/>
                <w:highlight w:val="none"/>
                <w:lang w:eastAsia="zh-CN"/>
              </w:rPr>
              <w:t>维修面积</w:t>
            </w:r>
            <w:r>
              <w:rPr>
                <w:rFonts w:hint="eastAsia" w:ascii="宋体" w:hAnsi="宋体" w:cs="宋体"/>
                <w:color w:val="auto"/>
                <w:sz w:val="22"/>
                <w:szCs w:val="22"/>
                <w:highlight w:val="none"/>
                <w:lang w:val="en-US" w:eastAsia="zh-CN"/>
              </w:rPr>
              <w:t>4800</w:t>
            </w:r>
            <w:r>
              <w:rPr>
                <w:rFonts w:hint="default" w:ascii="宋体" w:hAnsi="宋体" w:cs="宋体"/>
                <w:color w:val="auto"/>
                <w:sz w:val="22"/>
                <w:szCs w:val="22"/>
                <w:highlight w:val="none"/>
              </w:rPr>
              <w:t>平方米，改善学校办学条件和基础设施配套，提供高质量硬件设施设备，营造良好的学习氛围</w:t>
            </w:r>
            <w:r>
              <w:rPr>
                <w:rFonts w:hint="eastAsia" w:ascii="宋体" w:hAnsi="宋体" w:cs="宋体"/>
                <w:color w:val="auto"/>
                <w:sz w:val="22"/>
                <w:szCs w:val="22"/>
                <w:highlight w:val="none"/>
                <w:lang w:eastAsia="zh-CN"/>
              </w:rPr>
              <w:t>。</w:t>
            </w:r>
          </w:p>
        </w:tc>
        <w:tc>
          <w:tcPr>
            <w:tcW w:w="3500" w:type="dxa"/>
            <w:gridSpan w:val="2"/>
            <w:tcBorders>
              <w:top w:val="single" w:color="000000" w:sz="4" w:space="0"/>
              <w:left w:val="single" w:color="000000" w:sz="4" w:space="0"/>
              <w:bottom w:val="single" w:color="000000" w:sz="4" w:space="0"/>
              <w:right w:val="single" w:color="000000" w:sz="4" w:space="0"/>
            </w:tcBorders>
            <w:shd w:val="clear" w:color="auto" w:fill="auto"/>
          </w:tcPr>
          <w:p>
            <w:pPr>
              <w:keepNext w:val="0"/>
              <w:keepLines w:val="0"/>
              <w:widowControl/>
              <w:suppressLineNumbers w:val="0"/>
              <w:spacing w:before="0" w:beforeAutospacing="0" w:after="0" w:afterAutospacing="0" w:line="320" w:lineRule="exact"/>
              <w:ind w:left="0" w:right="0"/>
              <w:jc w:val="left"/>
              <w:textAlignment w:val="top"/>
              <w:rPr>
                <w:rFonts w:hint="eastAsia" w:ascii="宋体" w:hAnsi="宋体" w:eastAsia="宋体" w:cs="宋体"/>
                <w:color w:val="auto"/>
                <w:sz w:val="24"/>
                <w:highlight w:val="none"/>
                <w:lang w:eastAsia="zh-CN"/>
              </w:rPr>
            </w:pPr>
            <w:r>
              <w:rPr>
                <w:rFonts w:hint="eastAsia" w:ascii="宋体" w:hAnsi="宋体" w:eastAsia="宋体" w:cs="宋体"/>
                <w:color w:val="auto"/>
                <w:sz w:val="22"/>
                <w:szCs w:val="22"/>
                <w:highlight w:val="none"/>
                <w:lang w:eastAsia="zh-CN"/>
              </w:rPr>
              <w:t>完成</w:t>
            </w:r>
            <w:r>
              <w:rPr>
                <w:rFonts w:hint="eastAsia" w:ascii="宋体" w:hAnsi="宋体" w:cs="宋体"/>
                <w:color w:val="auto"/>
                <w:sz w:val="22"/>
                <w:szCs w:val="22"/>
                <w:highlight w:val="none"/>
                <w:lang w:val="en-US" w:eastAsia="zh-CN"/>
              </w:rPr>
              <w:t>4800</w:t>
            </w:r>
            <w:r>
              <w:rPr>
                <w:rFonts w:hint="default" w:ascii="宋体" w:hAnsi="宋体" w:cs="宋体"/>
                <w:color w:val="auto"/>
                <w:sz w:val="22"/>
                <w:szCs w:val="22"/>
                <w:highlight w:val="none"/>
              </w:rPr>
              <w:t>平方米</w:t>
            </w:r>
            <w:r>
              <w:rPr>
                <w:rFonts w:hint="eastAsia" w:ascii="宋体" w:hAnsi="宋体" w:cs="宋体"/>
                <w:color w:val="auto"/>
                <w:sz w:val="22"/>
                <w:szCs w:val="22"/>
                <w:highlight w:val="none"/>
                <w:lang w:eastAsia="zh-CN"/>
              </w:rPr>
              <w:t>的校舍维修，</w:t>
            </w:r>
            <w:r>
              <w:rPr>
                <w:rFonts w:hint="default" w:ascii="宋体" w:hAnsi="宋体" w:cs="宋体"/>
                <w:color w:val="auto"/>
                <w:sz w:val="22"/>
                <w:szCs w:val="22"/>
                <w:highlight w:val="none"/>
              </w:rPr>
              <w:t>改善</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学校办学条件和基础设施配套，提供</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高质量硬件设施设备，营造</w:t>
            </w:r>
            <w:r>
              <w:rPr>
                <w:rFonts w:hint="eastAsia" w:ascii="宋体" w:hAnsi="宋体" w:cs="宋体"/>
                <w:color w:val="auto"/>
                <w:sz w:val="22"/>
                <w:szCs w:val="22"/>
                <w:highlight w:val="none"/>
                <w:lang w:eastAsia="zh-CN"/>
              </w:rPr>
              <w:t>了</w:t>
            </w:r>
            <w:r>
              <w:rPr>
                <w:rFonts w:hint="default" w:ascii="宋体" w:hAnsi="宋体" w:cs="宋体"/>
                <w:color w:val="auto"/>
                <w:sz w:val="22"/>
                <w:szCs w:val="22"/>
                <w:highlight w:val="none"/>
              </w:rPr>
              <w:t>良好的学习氛围</w:t>
            </w:r>
            <w:r>
              <w:rPr>
                <w:rFonts w:hint="eastAsia" w:ascii="宋体" w:hAnsi="宋体" w:cs="宋体"/>
                <w:color w:val="auto"/>
                <w:sz w:val="22"/>
                <w:szCs w:val="22"/>
                <w:highlight w:val="none"/>
                <w:lang w:eastAsia="zh-CN"/>
              </w:rPr>
              <w:t>。</w:t>
            </w:r>
          </w:p>
        </w:tc>
      </w:tr>
      <w:tr>
        <w:tblPrEx>
          <w:tblCellMar>
            <w:top w:w="0" w:type="dxa"/>
            <w:left w:w="108" w:type="dxa"/>
            <w:bottom w:w="0" w:type="dxa"/>
            <w:right w:w="108" w:type="dxa"/>
          </w:tblCellMar>
        </w:tblPrEx>
        <w:trPr>
          <w:gridAfter w:val="1"/>
          <w:wAfter w:w="236" w:type="dxa"/>
          <w:trHeight w:val="823" w:hRule="atLeast"/>
        </w:trPr>
        <w:tc>
          <w:tcPr>
            <w:tcW w:w="1113"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年度绩效指标完成情况</w:t>
            </w:r>
          </w:p>
        </w:tc>
        <w:tc>
          <w:tcPr>
            <w:tcW w:w="10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一级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二级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三级</w:t>
            </w:r>
          </w:p>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预期指标值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center"/>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实际完成指标值</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完成</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数量指标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改扩建面积</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4800m²</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4800m²</w:t>
            </w:r>
          </w:p>
        </w:tc>
      </w:tr>
      <w:tr>
        <w:tblPrEx>
          <w:tblCellMar>
            <w:top w:w="0" w:type="dxa"/>
            <w:left w:w="108" w:type="dxa"/>
            <w:bottom w:w="0" w:type="dxa"/>
            <w:right w:w="108" w:type="dxa"/>
          </w:tblCellMar>
        </w:tblPrEx>
        <w:trPr>
          <w:gridAfter w:val="1"/>
          <w:wAfter w:w="236" w:type="dxa"/>
          <w:trHeight w:val="61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惠及学生人数</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359人</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359人</w:t>
            </w:r>
          </w:p>
        </w:tc>
      </w:tr>
      <w:tr>
        <w:tblPrEx>
          <w:tblCellMar>
            <w:top w:w="0" w:type="dxa"/>
            <w:left w:w="108" w:type="dxa"/>
            <w:bottom w:w="0" w:type="dxa"/>
            <w:right w:w="108" w:type="dxa"/>
          </w:tblCellMar>
        </w:tblPrEx>
        <w:trPr>
          <w:gridAfter w:val="1"/>
          <w:wAfter w:w="236" w:type="dxa"/>
          <w:trHeight w:val="64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质量指标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w:t>
            </w:r>
            <w:r>
              <w:rPr>
                <w:rFonts w:hint="default" w:ascii="仿宋_GB2312" w:hAnsi="仿宋_GB2312" w:eastAsia="仿宋_GB2312" w:cs="仿宋_GB2312"/>
                <w:color w:val="auto"/>
                <w:sz w:val="20"/>
                <w:szCs w:val="20"/>
                <w:highlight w:val="none"/>
              </w:rPr>
              <w:t>竣工验收合格率</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100%</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eastAsia" w:ascii="仿宋_GB2312" w:hAnsi="仿宋_GB2312" w:eastAsia="仿宋_GB2312" w:cs="仿宋_GB2312"/>
                <w:color w:val="auto"/>
                <w:sz w:val="20"/>
                <w:szCs w:val="20"/>
                <w:highlight w:val="none"/>
                <w:lang w:val="en-US" w:eastAsia="zh-CN"/>
              </w:rPr>
              <w:t>100%</w:t>
            </w:r>
          </w:p>
        </w:tc>
      </w:tr>
      <w:tr>
        <w:tblPrEx>
          <w:tblCellMar>
            <w:top w:w="0" w:type="dxa"/>
            <w:left w:w="108" w:type="dxa"/>
            <w:bottom w:w="0" w:type="dxa"/>
            <w:right w:w="108" w:type="dxa"/>
          </w:tblCellMar>
        </w:tblPrEx>
        <w:trPr>
          <w:gridAfter w:val="1"/>
          <w:wAfter w:w="236" w:type="dxa"/>
          <w:trHeight w:val="46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6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设备购置质量标准</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kern w:val="2"/>
                <w:sz w:val="20"/>
                <w:szCs w:val="20"/>
                <w:highlight w:val="none"/>
                <w:lang w:val="en-US" w:eastAsia="zh-CN" w:bidi="ar-SA"/>
              </w:rPr>
            </w:pPr>
            <w:r>
              <w:rPr>
                <w:rFonts w:hint="default" w:ascii="仿宋_GB2312" w:hAnsi="仿宋_GB2312" w:eastAsia="仿宋_GB2312" w:cs="仿宋_GB2312"/>
                <w:color w:val="auto"/>
                <w:sz w:val="20"/>
                <w:szCs w:val="20"/>
                <w:highlight w:val="none"/>
              </w:rPr>
              <w:t>合格</w:t>
            </w:r>
          </w:p>
        </w:tc>
      </w:tr>
      <w:tr>
        <w:tblPrEx>
          <w:tblCellMar>
            <w:top w:w="0" w:type="dxa"/>
            <w:left w:w="108" w:type="dxa"/>
            <w:bottom w:w="0" w:type="dxa"/>
            <w:right w:w="108" w:type="dxa"/>
          </w:tblCellMar>
        </w:tblPrEx>
        <w:trPr>
          <w:gridAfter w:val="1"/>
          <w:wAfter w:w="236" w:type="dxa"/>
          <w:trHeight w:val="43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时效指标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校舍维修建设周期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1年</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val="en-US" w:eastAsia="zh-CN"/>
              </w:rPr>
              <w:t>1年</w:t>
            </w:r>
          </w:p>
        </w:tc>
      </w:tr>
      <w:tr>
        <w:tblPrEx>
          <w:tblCellMar>
            <w:top w:w="0" w:type="dxa"/>
            <w:left w:w="108" w:type="dxa"/>
            <w:bottom w:w="0" w:type="dxa"/>
            <w:right w:w="108" w:type="dxa"/>
          </w:tblCellMar>
        </w:tblPrEx>
        <w:trPr>
          <w:gridAfter w:val="1"/>
          <w:wAfter w:w="236" w:type="dxa"/>
          <w:trHeight w:val="40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设备购置周期</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10个月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10个月</w:t>
            </w:r>
          </w:p>
        </w:tc>
      </w:tr>
      <w:tr>
        <w:tblPrEx>
          <w:tblCellMar>
            <w:top w:w="0" w:type="dxa"/>
            <w:left w:w="108" w:type="dxa"/>
            <w:bottom w:w="0" w:type="dxa"/>
            <w:right w:w="108" w:type="dxa"/>
          </w:tblCellMar>
        </w:tblPrEx>
        <w:trPr>
          <w:gridAfter w:val="1"/>
          <w:wAfter w:w="236" w:type="dxa"/>
          <w:trHeight w:val="751"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成本指标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校舍</w:t>
            </w:r>
            <w:r>
              <w:rPr>
                <w:rFonts w:hint="eastAsia" w:ascii="仿宋_GB2312" w:hAnsi="仿宋_GB2312" w:eastAsia="仿宋_GB2312" w:cs="仿宋_GB2312"/>
                <w:color w:val="auto"/>
                <w:sz w:val="20"/>
                <w:szCs w:val="20"/>
                <w:highlight w:val="none"/>
                <w:lang w:eastAsia="zh-CN"/>
              </w:rPr>
              <w:t>维修</w:t>
            </w:r>
            <w:r>
              <w:rPr>
                <w:rFonts w:hint="default" w:ascii="仿宋_GB2312" w:hAnsi="仿宋_GB2312" w:eastAsia="仿宋_GB2312" w:cs="仿宋_GB2312"/>
                <w:color w:val="auto"/>
                <w:sz w:val="20"/>
                <w:szCs w:val="20"/>
                <w:highlight w:val="none"/>
              </w:rPr>
              <w:t>类项目每平方米造价</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≤800元</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leftChars="0" w:right="0" w:rightChars="0"/>
              <w:jc w:val="center"/>
              <w:textAlignment w:val="bottom"/>
              <w:rPr>
                <w:rFonts w:hint="default" w:ascii="仿宋_GB2312" w:hAnsi="仿宋_GB2312" w:eastAsia="仿宋_GB2312" w:cs="仿宋_GB2312"/>
                <w:color w:val="auto"/>
                <w:sz w:val="20"/>
                <w:szCs w:val="20"/>
                <w:highlight w:val="none"/>
                <w:lang w:val="en-US"/>
              </w:rPr>
            </w:pPr>
            <w:r>
              <w:rPr>
                <w:rFonts w:hint="eastAsia" w:ascii="仿宋_GB2312" w:hAnsi="仿宋_GB2312" w:eastAsia="仿宋_GB2312" w:cs="仿宋_GB2312"/>
                <w:color w:val="auto"/>
                <w:sz w:val="20"/>
                <w:szCs w:val="20"/>
                <w:highlight w:val="none"/>
                <w:lang w:val="en-US" w:eastAsia="zh-CN"/>
              </w:rPr>
              <w:t>798元</w:t>
            </w:r>
          </w:p>
        </w:tc>
      </w:tr>
      <w:tr>
        <w:tblPrEx>
          <w:tblCellMar>
            <w:top w:w="0" w:type="dxa"/>
            <w:left w:w="108" w:type="dxa"/>
            <w:bottom w:w="0" w:type="dxa"/>
            <w:right w:w="108" w:type="dxa"/>
          </w:tblCellMar>
        </w:tblPrEx>
        <w:trPr>
          <w:gridAfter w:val="1"/>
          <w:wAfter w:w="236" w:type="dxa"/>
          <w:trHeight w:val="526"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指标</w:t>
            </w: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社会效益  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rPr>
              <w:t>改善办学条件</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生态效益</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建筑能源消耗水平降低</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有效</w:t>
            </w:r>
          </w:p>
        </w:tc>
      </w:tr>
      <w:tr>
        <w:tblPrEx>
          <w:tblCellMar>
            <w:top w:w="0" w:type="dxa"/>
            <w:left w:w="108" w:type="dxa"/>
            <w:bottom w:w="0" w:type="dxa"/>
            <w:right w:w="108" w:type="dxa"/>
          </w:tblCellMar>
        </w:tblPrEx>
        <w:trPr>
          <w:gridAfter w:val="1"/>
          <w:wAfter w:w="236" w:type="dxa"/>
          <w:trHeight w:val="492"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auto"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21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可持续影响指标</w:t>
            </w:r>
          </w:p>
        </w:tc>
        <w:tc>
          <w:tcPr>
            <w:tcW w:w="238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吸引外流学生持续回流</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eastAsia="zh-CN"/>
              </w:rPr>
            </w:pPr>
            <w:r>
              <w:rPr>
                <w:rFonts w:hint="eastAsia" w:ascii="仿宋_GB2312" w:hAnsi="仿宋_GB2312" w:eastAsia="仿宋_GB2312" w:cs="仿宋_GB2312"/>
                <w:color w:val="auto"/>
                <w:sz w:val="20"/>
                <w:szCs w:val="20"/>
                <w:highlight w:val="none"/>
                <w:lang w:eastAsia="zh-CN"/>
              </w:rPr>
              <w:t>有效</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sz w:val="20"/>
                <w:szCs w:val="20"/>
                <w:highlight w:val="none"/>
                <w:lang w:eastAsia="zh-CN"/>
              </w:rPr>
              <w:t>有效</w:t>
            </w:r>
          </w:p>
        </w:tc>
      </w:tr>
      <w:tr>
        <w:tblPrEx>
          <w:tblCellMar>
            <w:top w:w="0" w:type="dxa"/>
            <w:left w:w="108" w:type="dxa"/>
            <w:bottom w:w="0" w:type="dxa"/>
            <w:right w:w="108" w:type="dxa"/>
          </w:tblCellMar>
        </w:tblPrEx>
        <w:trPr>
          <w:gridAfter w:val="1"/>
          <w:wAfter w:w="236" w:type="dxa"/>
          <w:trHeight w:val="705" w:hRule="atLeast"/>
        </w:trPr>
        <w:tc>
          <w:tcPr>
            <w:tcW w:w="1113" w:type="dxa"/>
            <w:vMerge w:val="continue"/>
            <w:tcBorders>
              <w:left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8"/>
                <w:szCs w:val="28"/>
                <w:highlight w:val="none"/>
              </w:rPr>
            </w:pPr>
            <w:r>
              <w:rPr>
                <w:rFonts w:hint="eastAsia" w:ascii="仿宋_GB2312" w:hAnsi="仿宋_GB2312" w:eastAsia="仿宋_GB2312" w:cs="仿宋_GB2312"/>
                <w:color w:val="auto"/>
                <w:kern w:val="0"/>
                <w:sz w:val="28"/>
                <w:szCs w:val="28"/>
                <w:highlight w:val="none"/>
              </w:rPr>
              <w:t>满意</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8"/>
                <w:szCs w:val="28"/>
                <w:highlight w:val="none"/>
              </w:rPr>
            </w:pPr>
            <w:r>
              <w:rPr>
                <w:rFonts w:hint="eastAsia" w:ascii="仿宋_GB2312" w:hAnsi="仿宋_GB2312" w:eastAsia="仿宋_GB2312" w:cs="仿宋_GB2312"/>
                <w:color w:val="auto"/>
                <w:kern w:val="0"/>
                <w:sz w:val="28"/>
                <w:szCs w:val="28"/>
                <w:highlight w:val="none"/>
              </w:rPr>
              <w:t>度指标</w:t>
            </w:r>
          </w:p>
        </w:tc>
        <w:tc>
          <w:tcPr>
            <w:tcW w:w="1215" w:type="dxa"/>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满意度</w:t>
            </w:r>
          </w:p>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eastAsia" w:ascii="仿宋_GB2312" w:hAnsi="仿宋_GB2312" w:eastAsia="仿宋_GB2312" w:cs="仿宋_GB2312"/>
                <w:color w:val="auto"/>
                <w:kern w:val="0"/>
                <w:sz w:val="20"/>
                <w:szCs w:val="20"/>
                <w:highlight w:val="none"/>
              </w:rPr>
              <w:t>指标</w:t>
            </w: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学生满意度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97%</w:t>
            </w:r>
          </w:p>
        </w:tc>
      </w:tr>
      <w:tr>
        <w:tblPrEx>
          <w:tblCellMar>
            <w:top w:w="0" w:type="dxa"/>
            <w:left w:w="108" w:type="dxa"/>
            <w:bottom w:w="0" w:type="dxa"/>
            <w:right w:w="108" w:type="dxa"/>
          </w:tblCellMar>
        </w:tblPrEx>
        <w:trPr>
          <w:gridAfter w:val="1"/>
          <w:wAfter w:w="236" w:type="dxa"/>
          <w:trHeight w:val="430" w:hRule="atLeast"/>
        </w:trPr>
        <w:tc>
          <w:tcPr>
            <w:tcW w:w="1113"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line="320" w:lineRule="exact"/>
              <w:ind w:left="0" w:right="0"/>
              <w:jc w:val="center"/>
              <w:rPr>
                <w:rFonts w:hint="default" w:ascii="仿宋_GB2312" w:hAnsi="仿宋_GB2312" w:eastAsia="仿宋_GB2312" w:cs="仿宋_GB2312"/>
                <w:color w:val="auto"/>
                <w:sz w:val="28"/>
                <w:szCs w:val="28"/>
                <w:highlight w:val="none"/>
              </w:rPr>
            </w:pPr>
          </w:p>
        </w:tc>
        <w:tc>
          <w:tcPr>
            <w:tcW w:w="1005"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8"/>
                <w:szCs w:val="28"/>
                <w:highlight w:val="none"/>
              </w:rPr>
            </w:pPr>
          </w:p>
        </w:tc>
        <w:tc>
          <w:tcPr>
            <w:tcW w:w="1215"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kern w:val="0"/>
                <w:sz w:val="20"/>
                <w:szCs w:val="20"/>
                <w:highlight w:val="none"/>
              </w:rPr>
            </w:pPr>
          </w:p>
        </w:tc>
        <w:tc>
          <w:tcPr>
            <w:tcW w:w="23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left"/>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社会满意度</w:t>
            </w:r>
          </w:p>
        </w:tc>
        <w:tc>
          <w:tcPr>
            <w:tcW w:w="117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default" w:ascii="仿宋_GB2312" w:hAnsi="仿宋_GB2312" w:eastAsia="仿宋_GB2312" w:cs="仿宋_GB2312"/>
                <w:color w:val="auto"/>
                <w:sz w:val="20"/>
                <w:szCs w:val="20"/>
                <w:highlight w:val="none"/>
              </w:rPr>
            </w:pPr>
            <w:r>
              <w:rPr>
                <w:rFonts w:hint="default" w:ascii="仿宋_GB2312" w:hAnsi="仿宋_GB2312" w:eastAsia="仿宋_GB2312" w:cs="仿宋_GB2312"/>
                <w:color w:val="auto"/>
                <w:sz w:val="20"/>
                <w:szCs w:val="20"/>
                <w:highlight w:val="none"/>
              </w:rPr>
              <w:t>≥95%</w:t>
            </w:r>
          </w:p>
        </w:tc>
        <w:tc>
          <w:tcPr>
            <w:tcW w:w="2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line="320" w:lineRule="exact"/>
              <w:ind w:left="0" w:right="0"/>
              <w:jc w:val="center"/>
              <w:textAlignment w:val="bottom"/>
              <w:rPr>
                <w:rFonts w:hint="eastAsia" w:ascii="仿宋_GB2312" w:hAnsi="仿宋_GB2312" w:eastAsia="仿宋_GB2312" w:cs="仿宋_GB2312"/>
                <w:color w:val="auto"/>
                <w:sz w:val="20"/>
                <w:szCs w:val="20"/>
                <w:highlight w:val="none"/>
                <w:lang w:val="en-US" w:eastAsia="zh-CN"/>
              </w:rPr>
            </w:pPr>
            <w:r>
              <w:rPr>
                <w:rFonts w:hint="eastAsia" w:ascii="仿宋_GB2312" w:hAnsi="仿宋_GB2312" w:eastAsia="仿宋_GB2312" w:cs="仿宋_GB2312"/>
                <w:color w:val="auto"/>
                <w:sz w:val="20"/>
                <w:szCs w:val="20"/>
                <w:highlight w:val="none"/>
                <w:lang w:val="en-US" w:eastAsia="zh-CN"/>
              </w:rPr>
              <w:t>96%</w:t>
            </w:r>
          </w:p>
        </w:tc>
      </w:tr>
    </w:tbl>
    <w:p>
      <w:pPr>
        <w:spacing w:line="600" w:lineRule="exact"/>
        <w:jc w:val="center"/>
        <w:outlineLvl w:val="0"/>
        <w:rPr>
          <w:rFonts w:ascii="仿宋" w:hAnsi="仿宋" w:eastAsia="仿宋"/>
          <w:color w:val="auto"/>
          <w:highlight w:val="none"/>
        </w:rPr>
      </w:pPr>
      <w:r>
        <w:rPr>
          <w:rFonts w:hint="eastAsia" w:ascii="黑体" w:hAnsi="黑体" w:eastAsia="黑体"/>
          <w:color w:val="auto"/>
          <w:sz w:val="44"/>
          <w:szCs w:val="44"/>
          <w:highlight w:val="none"/>
        </w:rPr>
        <w:t>第</w:t>
      </w:r>
      <w:r>
        <w:rPr>
          <w:rStyle w:val="29"/>
          <w:rFonts w:hint="eastAsia" w:ascii="黑体" w:hAnsi="黑体" w:eastAsia="黑体"/>
          <w:b w:val="0"/>
          <w:color w:val="auto"/>
          <w:highlight w:val="none"/>
        </w:rPr>
        <w:t>五部分 附表</w:t>
      </w:r>
      <w:bookmarkEnd w:id="51"/>
      <w:bookmarkEnd w:id="53"/>
      <w:bookmarkStart w:id="54" w:name="_Toc15396619"/>
    </w:p>
    <w:p>
      <w:pPr>
        <w:pStyle w:val="4"/>
        <w:rPr>
          <w:rFonts w:ascii="仿宋" w:hAnsi="仿宋" w:eastAsia="仿宋"/>
          <w:color w:val="auto"/>
          <w:highlight w:val="none"/>
        </w:rPr>
      </w:pPr>
      <w:r>
        <w:rPr>
          <w:rFonts w:hint="eastAsia" w:ascii="仿宋" w:hAnsi="仿宋" w:eastAsia="仿宋"/>
          <w:b w:val="0"/>
          <w:color w:val="auto"/>
          <w:highlight w:val="none"/>
        </w:rPr>
        <w:t>一、收</w:t>
      </w:r>
      <w:r>
        <w:rPr>
          <w:rStyle w:val="30"/>
          <w:rFonts w:hint="eastAsia" w:ascii="仿宋" w:hAnsi="仿宋" w:eastAsia="仿宋"/>
          <w:b w:val="0"/>
          <w:bCs w:val="0"/>
          <w:color w:val="auto"/>
          <w:highlight w:val="none"/>
        </w:rPr>
        <w:t>入支出决算总表</w:t>
      </w:r>
      <w:bookmarkEnd w:id="54"/>
    </w:p>
    <w:p>
      <w:pPr>
        <w:pStyle w:val="4"/>
        <w:rPr>
          <w:rFonts w:ascii="仿宋" w:hAnsi="仿宋" w:eastAsia="仿宋"/>
          <w:color w:val="auto"/>
          <w:highlight w:val="none"/>
        </w:rPr>
      </w:pPr>
      <w:bookmarkStart w:id="55" w:name="_Toc15396620"/>
      <w:r>
        <w:rPr>
          <w:rFonts w:hint="eastAsia" w:ascii="仿宋" w:hAnsi="仿宋" w:eastAsia="仿宋"/>
          <w:b w:val="0"/>
          <w:color w:val="auto"/>
          <w:highlight w:val="none"/>
        </w:rPr>
        <w:t>二、收</w:t>
      </w:r>
      <w:r>
        <w:rPr>
          <w:rStyle w:val="30"/>
          <w:rFonts w:hint="eastAsia" w:ascii="仿宋" w:hAnsi="仿宋" w:eastAsia="仿宋"/>
          <w:b w:val="0"/>
          <w:bCs w:val="0"/>
          <w:color w:val="auto"/>
          <w:highlight w:val="none"/>
        </w:rPr>
        <w:t>入决算表</w:t>
      </w:r>
      <w:bookmarkEnd w:id="55"/>
    </w:p>
    <w:p>
      <w:pPr>
        <w:pStyle w:val="4"/>
        <w:rPr>
          <w:rFonts w:ascii="仿宋" w:hAnsi="仿宋" w:eastAsia="仿宋"/>
          <w:color w:val="auto"/>
          <w:highlight w:val="none"/>
        </w:rPr>
      </w:pPr>
      <w:bookmarkStart w:id="56" w:name="_Toc15396621"/>
      <w:r>
        <w:rPr>
          <w:rStyle w:val="30"/>
          <w:rFonts w:hint="eastAsia" w:ascii="仿宋" w:hAnsi="仿宋" w:eastAsia="仿宋"/>
          <w:b w:val="0"/>
          <w:bCs w:val="0"/>
          <w:color w:val="auto"/>
          <w:highlight w:val="none"/>
        </w:rPr>
        <w:t>三、</w:t>
      </w:r>
      <w:r>
        <w:rPr>
          <w:rFonts w:hint="eastAsia" w:ascii="仿宋" w:hAnsi="仿宋" w:eastAsia="仿宋"/>
          <w:b w:val="0"/>
          <w:color w:val="auto"/>
          <w:highlight w:val="none"/>
        </w:rPr>
        <w:t>支</w:t>
      </w:r>
      <w:r>
        <w:rPr>
          <w:rStyle w:val="30"/>
          <w:rFonts w:hint="eastAsia" w:ascii="仿宋" w:hAnsi="仿宋" w:eastAsia="仿宋"/>
          <w:b w:val="0"/>
          <w:bCs w:val="0"/>
          <w:color w:val="auto"/>
          <w:highlight w:val="none"/>
        </w:rPr>
        <w:t>出决算表</w:t>
      </w:r>
      <w:bookmarkEnd w:id="56"/>
    </w:p>
    <w:p>
      <w:pPr>
        <w:pStyle w:val="4"/>
        <w:rPr>
          <w:rFonts w:ascii="仿宋" w:hAnsi="仿宋" w:eastAsia="仿宋"/>
          <w:b w:val="0"/>
          <w:color w:val="auto"/>
          <w:highlight w:val="none"/>
        </w:rPr>
      </w:pPr>
      <w:bookmarkStart w:id="57" w:name="_Toc15396622"/>
      <w:r>
        <w:rPr>
          <w:rStyle w:val="30"/>
          <w:rFonts w:hint="eastAsia" w:ascii="仿宋" w:hAnsi="仿宋" w:eastAsia="仿宋"/>
          <w:b w:val="0"/>
          <w:bCs w:val="0"/>
          <w:color w:val="auto"/>
          <w:highlight w:val="none"/>
        </w:rPr>
        <w:t>四、</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政拨款收入支出决算总表</w:t>
      </w:r>
      <w:bookmarkEnd w:id="57"/>
    </w:p>
    <w:p>
      <w:pPr>
        <w:pStyle w:val="4"/>
        <w:rPr>
          <w:rStyle w:val="30"/>
          <w:rFonts w:ascii="仿宋" w:hAnsi="仿宋" w:eastAsia="仿宋"/>
          <w:b w:val="0"/>
          <w:bCs w:val="0"/>
          <w:color w:val="auto"/>
          <w:highlight w:val="none"/>
        </w:rPr>
      </w:pPr>
      <w:bookmarkStart w:id="58" w:name="_Toc15396623"/>
      <w:r>
        <w:rPr>
          <w:rStyle w:val="30"/>
          <w:rFonts w:hint="eastAsia" w:ascii="仿宋" w:hAnsi="仿宋" w:eastAsia="仿宋"/>
          <w:b w:val="0"/>
          <w:bCs w:val="0"/>
          <w:color w:val="auto"/>
          <w:highlight w:val="none"/>
        </w:rPr>
        <w:t>五、</w:t>
      </w:r>
      <w:r>
        <w:rPr>
          <w:rFonts w:hint="eastAsia" w:ascii="仿宋" w:hAnsi="仿宋" w:eastAsia="仿宋"/>
          <w:b w:val="0"/>
          <w:color w:val="auto"/>
          <w:highlight w:val="none"/>
        </w:rPr>
        <w:t>财</w:t>
      </w:r>
      <w:r>
        <w:rPr>
          <w:rStyle w:val="30"/>
          <w:rFonts w:hint="eastAsia" w:ascii="仿宋" w:hAnsi="仿宋" w:eastAsia="仿宋"/>
          <w:b w:val="0"/>
          <w:bCs w:val="0"/>
          <w:color w:val="auto"/>
          <w:highlight w:val="none"/>
        </w:rPr>
        <w:t>政拨款支出决算明细表</w:t>
      </w:r>
      <w:bookmarkEnd w:id="58"/>
      <w:bookmarkStart w:id="59" w:name="_Toc15396624"/>
    </w:p>
    <w:p>
      <w:pPr>
        <w:pStyle w:val="4"/>
        <w:rPr>
          <w:rFonts w:ascii="仿宋" w:hAnsi="仿宋" w:eastAsia="仿宋"/>
          <w:color w:val="auto"/>
          <w:highlight w:val="none"/>
        </w:rPr>
      </w:pPr>
      <w:r>
        <w:rPr>
          <w:rStyle w:val="30"/>
          <w:rFonts w:hint="eastAsia" w:ascii="仿宋" w:hAnsi="仿宋" w:eastAsia="仿宋"/>
          <w:b w:val="0"/>
          <w:bCs w:val="0"/>
          <w:color w:val="auto"/>
          <w:highlight w:val="none"/>
        </w:rPr>
        <w:t>六、</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般公共预算财政拨款支出决算表</w:t>
      </w:r>
      <w:bookmarkEnd w:id="59"/>
    </w:p>
    <w:p>
      <w:pPr>
        <w:pStyle w:val="4"/>
        <w:rPr>
          <w:rFonts w:ascii="仿宋" w:hAnsi="仿宋" w:eastAsia="仿宋"/>
          <w:color w:val="auto"/>
          <w:highlight w:val="none"/>
        </w:rPr>
      </w:pPr>
      <w:bookmarkStart w:id="60" w:name="_Toc15396625"/>
      <w:r>
        <w:rPr>
          <w:rStyle w:val="30"/>
          <w:rFonts w:hint="eastAsia" w:ascii="仿宋" w:hAnsi="仿宋" w:eastAsia="仿宋"/>
          <w:b w:val="0"/>
          <w:bCs w:val="0"/>
          <w:color w:val="auto"/>
          <w:highlight w:val="none"/>
        </w:rPr>
        <w:t>七、</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般公共预算财政拨款支出决算明细表</w:t>
      </w:r>
      <w:bookmarkEnd w:id="60"/>
    </w:p>
    <w:p>
      <w:pPr>
        <w:pStyle w:val="4"/>
        <w:rPr>
          <w:rFonts w:ascii="仿宋" w:hAnsi="仿宋" w:eastAsia="仿宋"/>
          <w:color w:val="auto"/>
          <w:highlight w:val="none"/>
        </w:rPr>
      </w:pPr>
      <w:bookmarkStart w:id="61" w:name="_Toc15396626"/>
      <w:r>
        <w:rPr>
          <w:rStyle w:val="30"/>
          <w:rFonts w:hint="eastAsia" w:ascii="仿宋" w:hAnsi="仿宋" w:eastAsia="仿宋"/>
          <w:b w:val="0"/>
          <w:bCs w:val="0"/>
          <w:color w:val="auto"/>
          <w:highlight w:val="none"/>
        </w:rPr>
        <w:t>八、</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般公共预算财政拨款基本支出决算表</w:t>
      </w:r>
      <w:bookmarkEnd w:id="61"/>
    </w:p>
    <w:p>
      <w:pPr>
        <w:pStyle w:val="4"/>
        <w:rPr>
          <w:rFonts w:ascii="仿宋" w:hAnsi="仿宋" w:eastAsia="仿宋"/>
          <w:color w:val="auto"/>
          <w:highlight w:val="none"/>
        </w:rPr>
      </w:pPr>
      <w:bookmarkStart w:id="62" w:name="_Toc15396627"/>
      <w:r>
        <w:rPr>
          <w:rStyle w:val="30"/>
          <w:rFonts w:hint="eastAsia" w:ascii="仿宋" w:hAnsi="仿宋" w:eastAsia="仿宋"/>
          <w:b w:val="0"/>
          <w:bCs w:val="0"/>
          <w:color w:val="auto"/>
          <w:highlight w:val="none"/>
        </w:rPr>
        <w:t>九、</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般公共预算财政拨款项目支出决算表</w:t>
      </w:r>
      <w:bookmarkEnd w:id="62"/>
    </w:p>
    <w:p>
      <w:pPr>
        <w:pStyle w:val="4"/>
        <w:rPr>
          <w:rFonts w:ascii="仿宋" w:hAnsi="仿宋" w:eastAsia="仿宋"/>
          <w:color w:val="auto"/>
          <w:highlight w:val="none"/>
        </w:rPr>
      </w:pPr>
      <w:bookmarkStart w:id="63" w:name="_Toc15396628"/>
      <w:r>
        <w:rPr>
          <w:rStyle w:val="30"/>
          <w:rFonts w:hint="eastAsia" w:ascii="仿宋" w:hAnsi="仿宋" w:eastAsia="仿宋"/>
          <w:b w:val="0"/>
          <w:bCs w:val="0"/>
          <w:color w:val="auto"/>
          <w:highlight w:val="none"/>
        </w:rPr>
        <w:t>十、</w:t>
      </w:r>
      <w:r>
        <w:rPr>
          <w:rFonts w:hint="eastAsia" w:ascii="仿宋" w:hAnsi="仿宋" w:eastAsia="仿宋"/>
          <w:b w:val="0"/>
          <w:color w:val="auto"/>
          <w:highlight w:val="none"/>
        </w:rPr>
        <w:t>一</w:t>
      </w:r>
      <w:r>
        <w:rPr>
          <w:rStyle w:val="30"/>
          <w:rFonts w:hint="eastAsia" w:ascii="仿宋" w:hAnsi="仿宋" w:eastAsia="仿宋"/>
          <w:b w:val="0"/>
          <w:bCs w:val="0"/>
          <w:color w:val="auto"/>
          <w:highlight w:val="none"/>
        </w:rPr>
        <w:t>般公共预算财政拨款“三公”经费支出决算表</w:t>
      </w:r>
      <w:bookmarkEnd w:id="63"/>
    </w:p>
    <w:p>
      <w:pPr>
        <w:pStyle w:val="4"/>
        <w:rPr>
          <w:rFonts w:ascii="仿宋" w:hAnsi="仿宋" w:eastAsia="仿宋"/>
          <w:color w:val="auto"/>
          <w:highlight w:val="none"/>
        </w:rPr>
      </w:pPr>
      <w:bookmarkStart w:id="64" w:name="_Toc15396629"/>
      <w:r>
        <w:rPr>
          <w:rStyle w:val="30"/>
          <w:rFonts w:hint="eastAsia" w:ascii="仿宋" w:hAnsi="仿宋" w:eastAsia="仿宋"/>
          <w:b w:val="0"/>
          <w:bCs w:val="0"/>
          <w:color w:val="auto"/>
          <w:highlight w:val="none"/>
        </w:rPr>
        <w:t>十一、</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府性基金预算财政拨款收入支出决算表</w:t>
      </w:r>
      <w:bookmarkEnd w:id="64"/>
    </w:p>
    <w:p>
      <w:pPr>
        <w:pStyle w:val="4"/>
        <w:rPr>
          <w:rFonts w:ascii="仿宋" w:hAnsi="仿宋" w:eastAsia="仿宋"/>
          <w:color w:val="auto"/>
          <w:highlight w:val="none"/>
        </w:rPr>
      </w:pPr>
      <w:bookmarkStart w:id="65" w:name="_Toc15396630"/>
      <w:r>
        <w:rPr>
          <w:rStyle w:val="30"/>
          <w:rFonts w:hint="eastAsia" w:ascii="仿宋" w:hAnsi="仿宋" w:eastAsia="仿宋"/>
          <w:b w:val="0"/>
          <w:bCs w:val="0"/>
          <w:color w:val="auto"/>
          <w:highlight w:val="none"/>
        </w:rPr>
        <w:t>十二、</w:t>
      </w:r>
      <w:r>
        <w:rPr>
          <w:rFonts w:hint="eastAsia" w:ascii="仿宋" w:hAnsi="仿宋" w:eastAsia="仿宋"/>
          <w:b w:val="0"/>
          <w:color w:val="auto"/>
          <w:highlight w:val="none"/>
        </w:rPr>
        <w:t>政</w:t>
      </w:r>
      <w:r>
        <w:rPr>
          <w:rStyle w:val="30"/>
          <w:rFonts w:hint="eastAsia" w:ascii="仿宋" w:hAnsi="仿宋" w:eastAsia="仿宋"/>
          <w:b w:val="0"/>
          <w:bCs w:val="0"/>
          <w:color w:val="auto"/>
          <w:highlight w:val="none"/>
        </w:rPr>
        <w:t>府性基金预算财政拨款“三公”经费支出决算表</w:t>
      </w:r>
      <w:bookmarkEnd w:id="65"/>
    </w:p>
    <w:p>
      <w:pPr>
        <w:pStyle w:val="4"/>
        <w:rPr>
          <w:rStyle w:val="30"/>
          <w:rFonts w:ascii="仿宋" w:hAnsi="仿宋" w:eastAsia="仿宋"/>
          <w:b w:val="0"/>
          <w:bCs w:val="0"/>
          <w:color w:val="auto"/>
          <w:highlight w:val="none"/>
        </w:rPr>
      </w:pPr>
      <w:bookmarkStart w:id="66" w:name="_Toc15396631"/>
      <w:r>
        <w:rPr>
          <w:rStyle w:val="30"/>
          <w:rFonts w:hint="eastAsia" w:ascii="仿宋" w:hAnsi="仿宋" w:eastAsia="仿宋"/>
          <w:b w:val="0"/>
          <w:bCs w:val="0"/>
          <w:color w:val="auto"/>
          <w:highlight w:val="none"/>
        </w:rPr>
        <w:t>十三、</w:t>
      </w:r>
      <w:r>
        <w:rPr>
          <w:rFonts w:hint="eastAsia" w:ascii="仿宋" w:hAnsi="仿宋" w:eastAsia="仿宋"/>
          <w:b w:val="0"/>
          <w:color w:val="auto"/>
          <w:highlight w:val="none"/>
        </w:rPr>
        <w:t>国</w:t>
      </w:r>
      <w:r>
        <w:rPr>
          <w:rStyle w:val="30"/>
          <w:rFonts w:hint="eastAsia" w:ascii="仿宋" w:hAnsi="仿宋" w:eastAsia="仿宋"/>
          <w:b w:val="0"/>
          <w:bCs w:val="0"/>
          <w:color w:val="auto"/>
          <w:highlight w:val="none"/>
        </w:rPr>
        <w:t>有资本经营预算财政拨款收入支出决算表</w:t>
      </w:r>
      <w:bookmarkEnd w:id="66"/>
    </w:p>
    <w:p>
      <w:pPr>
        <w:rPr>
          <w:rFonts w:eastAsia="仿宋"/>
          <w:color w:val="auto"/>
          <w:highlight w:val="none"/>
        </w:rPr>
      </w:pPr>
      <w:r>
        <w:rPr>
          <w:rStyle w:val="30"/>
          <w:rFonts w:hint="eastAsia" w:ascii="仿宋" w:hAnsi="仿宋" w:eastAsia="仿宋"/>
          <w:b w:val="0"/>
          <w:bCs w:val="0"/>
          <w:color w:val="auto"/>
          <w:highlight w:val="none"/>
        </w:rPr>
        <w:t>十四、国有资本经营预算财政拨款支出决算表</w:t>
      </w:r>
    </w:p>
    <w:sectPr>
      <w:headerReference r:id="rId5" w:type="default"/>
      <w:footerReference r:id="rId6" w:type="default"/>
      <w:pgSz w:w="11906" w:h="16838"/>
      <w:pgMar w:top="1440" w:right="1800" w:bottom="1440" w:left="1800" w:header="851" w:footer="992" w:gutter="0"/>
      <w:pgNumType w:start="1"/>
      <w:cols w:space="425" w:num="1"/>
      <w:titlePg/>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佳" w:date="2022-09-27T14:40:55Z" w:initials="佳">
    <w:p w14:paraId="748E6815">
      <w:pPr>
        <w:pStyle w:val="6"/>
        <w:rPr>
          <w:rFonts w:hint="default" w:eastAsia="仿宋_GB2312"/>
          <w:lang w:val="en-US" w:eastAsia="zh-CN"/>
        </w:rPr>
      </w:pPr>
      <w:r>
        <w:rPr>
          <w:rFonts w:hint="eastAsia" w:ascii="仿宋_GB2312" w:hAnsi="仿宋_GB2312" w:eastAsia="仿宋_GB2312" w:cs="仿宋_GB2312"/>
          <w:sz w:val="32"/>
          <w:szCs w:val="32"/>
          <w:highlight w:val="yellow"/>
        </w:rPr>
        <w:t>根据预算绩效管理要求，本单位在2021年度预算编制阶段，</w:t>
      </w:r>
      <w:r>
        <w:rPr>
          <w:rFonts w:hint="eastAsia" w:ascii="仿宋_GB2312" w:hAnsi="仿宋_GB2312" w:eastAsia="仿宋_GB2312" w:cs="仿宋_GB2312"/>
          <w:sz w:val="32"/>
          <w:szCs w:val="32"/>
          <w:highlight w:val="yellow"/>
          <w:lang w:val="en-US" w:eastAsia="zh-CN"/>
        </w:rPr>
        <w:t>不涉及事前评估项目，对   几个（）重点基本支出）编制了绩效目标，在</w:t>
      </w:r>
      <w:r>
        <w:rPr>
          <w:rFonts w:hint="eastAsia" w:ascii="仿宋_GB2312" w:hAnsi="仿宋_GB2312" w:eastAsia="仿宋_GB2312" w:cs="仿宋_GB2312"/>
          <w:sz w:val="32"/>
          <w:szCs w:val="32"/>
          <w:highlight w:val="yellow"/>
        </w:rPr>
        <w:t>预算执行过程中，</w:t>
      </w:r>
      <w:r>
        <w:rPr>
          <w:rFonts w:hint="eastAsia" w:ascii="仿宋_GB2312" w:hAnsi="仿宋_GB2312" w:eastAsia="仿宋_GB2312" w:cs="仿宋_GB2312"/>
          <w:sz w:val="32"/>
          <w:szCs w:val="32"/>
          <w:highlight w:val="yellow"/>
          <w:lang w:val="en-US" w:eastAsia="zh-CN"/>
        </w:rPr>
        <w:t>对  开展了绩效自评，</w:t>
      </w:r>
      <w:r>
        <w:rPr>
          <w:rFonts w:hint="eastAsia" w:ascii="仿宋_GB2312" w:hAnsi="仿宋_GB2312" w:eastAsia="仿宋_GB2312" w:cs="仿宋_GB2312"/>
          <w:sz w:val="32"/>
          <w:szCs w:val="32"/>
          <w:highlight w:val="yellow"/>
        </w:rPr>
        <w:t>2021年部门预算项目绩效目标自评表见主管单位附件</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48E681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script"/>
    <w:pitch w:val="default"/>
    <w:sig w:usb0="00000001" w:usb1="080E0000" w:usb2="00000000" w:usb3="00000000" w:csb0="00040000" w:csb1="00000000"/>
  </w:font>
  <w:font w:name="方正小标宋_GBK">
    <w:panose1 w:val="02000000000000000000"/>
    <w:charset w:val="86"/>
    <w:family w:val="auto"/>
    <w:pitch w:val="default"/>
    <w:sig w:usb0="A00002BF" w:usb1="38CF7CFA" w:usb2="00082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pPr>
          <w:pStyle w:val="11"/>
          <w:jc w:val="center"/>
        </w:pPr>
        <w:r>
          <w:fldChar w:fldCharType="begin"/>
        </w:r>
        <w:r>
          <w:instrText xml:space="preserve">PAGE   \* MERGEFORMAT</w:instrText>
        </w:r>
        <w:r>
          <w:fldChar w:fldCharType="separate"/>
        </w:r>
        <w:r>
          <w:rPr>
            <w:lang w:val="zh-CN"/>
          </w:rPr>
          <w:t>12</w:t>
        </w:r>
        <w: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abstractNum w:abstractNumId="1">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2">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3">
    <w:nsid w:val="6492B4FE"/>
    <w:multiLevelType w:val="singleLevel"/>
    <w:tmpl w:val="6492B4F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佳">
    <w15:presenceInfo w15:providerId="None" w15:userId="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3E14"/>
    <w:rsid w:val="00142216"/>
    <w:rsid w:val="00144D6A"/>
    <w:rsid w:val="0014729F"/>
    <w:rsid w:val="00157BAB"/>
    <w:rsid w:val="001654D1"/>
    <w:rsid w:val="00174518"/>
    <w:rsid w:val="0018106D"/>
    <w:rsid w:val="00184031"/>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1B33"/>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469FB"/>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2EF"/>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65C9E"/>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0437"/>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A2032A3"/>
    <w:rsid w:val="0B8A37D8"/>
    <w:rsid w:val="0EC71F0D"/>
    <w:rsid w:val="10C055FF"/>
    <w:rsid w:val="112C7A85"/>
    <w:rsid w:val="118107EC"/>
    <w:rsid w:val="11DD6519"/>
    <w:rsid w:val="12910332"/>
    <w:rsid w:val="157E27B0"/>
    <w:rsid w:val="16BB723D"/>
    <w:rsid w:val="177D300F"/>
    <w:rsid w:val="18015F3F"/>
    <w:rsid w:val="1BE8440E"/>
    <w:rsid w:val="1D155CEE"/>
    <w:rsid w:val="20F57F95"/>
    <w:rsid w:val="23066A21"/>
    <w:rsid w:val="240371BF"/>
    <w:rsid w:val="24D54B4E"/>
    <w:rsid w:val="25C741E6"/>
    <w:rsid w:val="27842671"/>
    <w:rsid w:val="29FD04D3"/>
    <w:rsid w:val="2ABE7A3E"/>
    <w:rsid w:val="2BAE4DE0"/>
    <w:rsid w:val="2C0D4D5A"/>
    <w:rsid w:val="2EFA178C"/>
    <w:rsid w:val="30B46D73"/>
    <w:rsid w:val="319F7F4E"/>
    <w:rsid w:val="32E05DEF"/>
    <w:rsid w:val="353C0D20"/>
    <w:rsid w:val="39AE70AB"/>
    <w:rsid w:val="3C0C0783"/>
    <w:rsid w:val="3E8E2E82"/>
    <w:rsid w:val="3F795B0E"/>
    <w:rsid w:val="3F9F3A96"/>
    <w:rsid w:val="493C27E9"/>
    <w:rsid w:val="496F39ED"/>
    <w:rsid w:val="49FF41D3"/>
    <w:rsid w:val="4A185DC8"/>
    <w:rsid w:val="4BE068DB"/>
    <w:rsid w:val="4BF6002B"/>
    <w:rsid w:val="4ECE2238"/>
    <w:rsid w:val="4FD61684"/>
    <w:rsid w:val="503645ED"/>
    <w:rsid w:val="508F3649"/>
    <w:rsid w:val="51DB4B86"/>
    <w:rsid w:val="52FB5859"/>
    <w:rsid w:val="55333C3E"/>
    <w:rsid w:val="58737E60"/>
    <w:rsid w:val="5EEF25B2"/>
    <w:rsid w:val="64A80084"/>
    <w:rsid w:val="64CA39A1"/>
    <w:rsid w:val="65B126BB"/>
    <w:rsid w:val="6C4A05C8"/>
    <w:rsid w:val="6C6E6699"/>
    <w:rsid w:val="6EDA0CDC"/>
    <w:rsid w:val="707A1252"/>
    <w:rsid w:val="72734D90"/>
    <w:rsid w:val="727D7081"/>
    <w:rsid w:val="72E456B5"/>
    <w:rsid w:val="74E366CA"/>
    <w:rsid w:val="79E7B28D"/>
    <w:rsid w:val="7AC82E51"/>
    <w:rsid w:val="7BFA24EA"/>
    <w:rsid w:val="7CAB154F"/>
    <w:rsid w:val="7F9F20EE"/>
    <w:rsid w:val="9E3A10E2"/>
    <w:rsid w:val="F2E1F9D4"/>
    <w:rsid w:val="F788081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4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Body Text"/>
    <w:basedOn w:val="1"/>
    <w:link w:val="37"/>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99"/>
  </w:style>
  <w:style w:type="paragraph" w:styleId="8">
    <w:name w:val="Body Text Indent"/>
    <w:basedOn w:val="1"/>
    <w:link w:val="38"/>
    <w:qFormat/>
    <w:uiPriority w:val="99"/>
    <w:pPr>
      <w:ind w:left="420" w:leftChars="200"/>
    </w:p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semiHidden/>
    <w:unhideWhenUsed/>
    <w:qFormat/>
    <w:uiPriority w:val="99"/>
    <w:rPr>
      <w:sz w:val="24"/>
    </w:rPr>
  </w:style>
  <w:style w:type="paragraph" w:styleId="16">
    <w:name w:val="Body Text First Indent 2"/>
    <w:basedOn w:val="8"/>
    <w:link w:val="39"/>
    <w:qFormat/>
    <w:uiPriority w:val="99"/>
    <w:pPr>
      <w:ind w:firstLine="420" w:firstLineChars="200"/>
    </w:pPr>
  </w:style>
  <w:style w:type="character" w:styleId="19">
    <w:name w:val="Strong"/>
    <w:basedOn w:val="18"/>
    <w:qFormat/>
    <w:uiPriority w:val="99"/>
    <w:rPr>
      <w:rFonts w:hint="default" w:ascii="Times New Roman" w:hAnsi="Times New Roman" w:cs="Times New Roman"/>
      <w:b/>
    </w:rPr>
  </w:style>
  <w:style w:type="character" w:styleId="20">
    <w:name w:val="Hyperlink"/>
    <w:basedOn w:val="18"/>
    <w:unhideWhenUsed/>
    <w:qFormat/>
    <w:uiPriority w:val="99"/>
    <w:rPr>
      <w:color w:val="0000FF" w:themeColor="hyperlink"/>
      <w:u w:val="single"/>
      <w14:textFill>
        <w14:solidFill>
          <w14:schemeClr w14:val="hlink"/>
        </w14:solidFill>
      </w14:textFill>
    </w:rPr>
  </w:style>
  <w:style w:type="character" w:customStyle="1" w:styleId="21">
    <w:name w:val="Header Char"/>
    <w:basedOn w:val="18"/>
    <w:semiHidden/>
    <w:qFormat/>
    <w:uiPriority w:val="99"/>
    <w:rPr>
      <w:rFonts w:ascii="Times New Roman" w:hAnsi="Times New Roman"/>
      <w:sz w:val="18"/>
      <w:szCs w:val="18"/>
    </w:rPr>
  </w:style>
  <w:style w:type="character" w:customStyle="1" w:styleId="22">
    <w:name w:val="页眉 Char"/>
    <w:link w:val="12"/>
    <w:semiHidden/>
    <w:qFormat/>
    <w:locked/>
    <w:uiPriority w:val="99"/>
    <w:rPr>
      <w:sz w:val="18"/>
    </w:rPr>
  </w:style>
  <w:style w:type="character" w:customStyle="1" w:styleId="23">
    <w:name w:val="Footer Char"/>
    <w:basedOn w:val="18"/>
    <w:semiHidden/>
    <w:qFormat/>
    <w:uiPriority w:val="99"/>
    <w:rPr>
      <w:rFonts w:ascii="Times New Roman" w:hAnsi="Times New Roman"/>
      <w:sz w:val="18"/>
      <w:szCs w:val="18"/>
    </w:rPr>
  </w:style>
  <w:style w:type="character" w:customStyle="1" w:styleId="24">
    <w:name w:val="页脚 Char"/>
    <w:link w:val="11"/>
    <w:qFormat/>
    <w:locked/>
    <w:uiPriority w:val="99"/>
    <w:rPr>
      <w:sz w:val="18"/>
    </w:rPr>
  </w:style>
  <w:style w:type="character" w:customStyle="1" w:styleId="25">
    <w:name w:val="Body Text Char"/>
    <w:basedOn w:val="18"/>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Char"/>
    <w:basedOn w:val="18"/>
    <w:link w:val="3"/>
    <w:qFormat/>
    <w:uiPriority w:val="9"/>
    <w:rPr>
      <w:rFonts w:ascii="Times New Roman" w:hAnsi="Times New Roman"/>
      <w:b/>
      <w:bCs/>
      <w:kern w:val="44"/>
      <w:sz w:val="44"/>
      <w:szCs w:val="44"/>
    </w:rPr>
  </w:style>
  <w:style w:type="character" w:customStyle="1" w:styleId="30">
    <w:name w:val="标题 2 Char"/>
    <w:basedOn w:val="18"/>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Char"/>
    <w:basedOn w:val="18"/>
    <w:link w:val="10"/>
    <w:semiHidden/>
    <w:qFormat/>
    <w:uiPriority w:val="99"/>
    <w:rPr>
      <w:rFonts w:ascii="Times New Roman" w:hAnsi="Times New Roman"/>
      <w:kern w:val="2"/>
      <w:sz w:val="18"/>
      <w:szCs w:val="18"/>
    </w:rPr>
  </w:style>
  <w:style w:type="character" w:customStyle="1" w:styleId="33">
    <w:name w:val="标题 3 Char"/>
    <w:basedOn w:val="18"/>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5">
    <w:name w:val="正文文本 字符"/>
    <w:basedOn w:val="18"/>
    <w:qFormat/>
    <w:uiPriority w:val="0"/>
    <w:rPr>
      <w:kern w:val="2"/>
      <w:sz w:val="21"/>
      <w:szCs w:val="24"/>
    </w:rPr>
  </w:style>
  <w:style w:type="character" w:customStyle="1" w:styleId="36">
    <w:name w:val="标题 2 Char1"/>
    <w:basedOn w:val="18"/>
    <w:link w:val="4"/>
    <w:qFormat/>
    <w:uiPriority w:val="0"/>
    <w:rPr>
      <w:rFonts w:ascii="等线 Light" w:hAnsi="等线 Light" w:eastAsia="等线 Light" w:cs="Times New Roman"/>
      <w:b/>
      <w:bCs/>
      <w:kern w:val="2"/>
      <w:sz w:val="32"/>
      <w:szCs w:val="32"/>
    </w:rPr>
  </w:style>
  <w:style w:type="character" w:customStyle="1" w:styleId="37">
    <w:name w:val="正文文本 Char1"/>
    <w:basedOn w:val="18"/>
    <w:link w:val="2"/>
    <w:qFormat/>
    <w:uiPriority w:val="0"/>
    <w:rPr>
      <w:rFonts w:hint="eastAsia" w:ascii="仿宋_GB2312" w:eastAsia="仿宋_GB2312" w:cs="仿宋_GB2312"/>
      <w:sz w:val="24"/>
    </w:rPr>
  </w:style>
  <w:style w:type="character" w:customStyle="1" w:styleId="38">
    <w:name w:val="正文文本缩进 字符"/>
    <w:basedOn w:val="18"/>
    <w:link w:val="8"/>
    <w:qFormat/>
    <w:uiPriority w:val="0"/>
    <w:rPr>
      <w:rFonts w:hint="default" w:ascii="Times New Roman" w:hAnsi="Times New Roman" w:cs="Times New Roman"/>
      <w:kern w:val="2"/>
      <w:sz w:val="21"/>
      <w:szCs w:val="24"/>
    </w:rPr>
  </w:style>
  <w:style w:type="character" w:customStyle="1" w:styleId="39">
    <w:name w:val="正文首行缩进 2 字符"/>
    <w:basedOn w:val="38"/>
    <w:link w:val="16"/>
    <w:qFormat/>
    <w:uiPriority w:val="0"/>
    <w:rPr>
      <w:rFonts w:hint="default" w:ascii="Times New Roman" w:hAnsi="Times New Roman" w:cs="Times New Roman"/>
      <w:kern w:val="2"/>
      <w:sz w:val="21"/>
      <w:szCs w:val="24"/>
    </w:rPr>
  </w:style>
  <w:style w:type="character" w:customStyle="1" w:styleId="40">
    <w:name w:val="标题 2 字符"/>
    <w:basedOn w:val="18"/>
    <w:link w:val="4"/>
    <w:qFormat/>
    <w:uiPriority w:val="0"/>
    <w:rPr>
      <w:rFonts w:ascii="等线 Light" w:hAnsi="等线 Light" w:eastAsia="等线 Light" w:cs="Times New Roman"/>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收、支决算总计变动情况图</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1085.8</c:v>
                </c:pt>
                <c:pt idx="1">
                  <c:v>1178.89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1085.8</c:v>
                </c:pt>
                <c:pt idx="1">
                  <c:v>1178.89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收入决算结构图</a:t>
            </a:r>
          </a:p>
        </c:rich>
      </c:tx>
      <c:layout/>
      <c:overlay val="0"/>
      <c:spPr>
        <a:noFill/>
        <a:ln>
          <a:noFill/>
        </a:ln>
        <a:effectLst/>
      </c:spPr>
    </c:title>
    <c:autoTitleDeleted val="0"/>
    <c:plotArea>
      <c:layout>
        <c:manualLayout>
          <c:layoutTarget val="inner"/>
          <c:xMode val="edge"/>
          <c:yMode val="edge"/>
          <c:x val="0.300694444444444"/>
          <c:y val="0.185185185185185"/>
          <c:w val="0.381944444444444"/>
          <c:h val="0.636574074074074"/>
        </c:manualLayout>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Lbls>
            <c:dLbl>
              <c:idx val="0"/>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dLbl>
              <c:idx val="1"/>
              <c:layout/>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extLst>
                <c:ext xmlns:c15="http://schemas.microsoft.com/office/drawing/2012/chart" uri="{CE6537A1-D6FC-4f65-9D91-7224C49458BB}"/>
              </c:extLst>
            </c:dLbl>
            <c:numFmt formatCode="General" sourceLinked="1"/>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ctr"/>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一般公共预算财政拨款收入</c:v>
                </c:pt>
                <c:pt idx="1">
                  <c:v>政府性基金预算财政拨款收入</c:v>
                </c:pt>
              </c:strCache>
            </c:strRef>
          </c:cat>
          <c:val>
            <c:numRef>
              <c:f>Sheet1!$B$2:$B$3</c:f>
              <c:numCache>
                <c:formatCode>0.00%</c:formatCode>
                <c:ptCount val="2"/>
                <c:pt idx="0">
                  <c:v>0.9975</c:v>
                </c:pt>
                <c:pt idx="1">
                  <c:v>0.0025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cap="all" spc="50" baseline="0">
                <a:solidFill>
                  <a:schemeClr val="tx1">
                    <a:lumMod val="65000"/>
                    <a:lumOff val="35000"/>
                  </a:schemeClr>
                </a:solidFill>
                <a:latin typeface="+mn-lt"/>
                <a:ea typeface="+mn-ea"/>
                <a:cs typeface="+mn-cs"/>
              </a:defRPr>
            </a:pPr>
            <a:r>
              <a:t>支出决算结构图</a:t>
            </a:r>
          </a:p>
        </c:rich>
      </c:tx>
      <c:layout>
        <c:manualLayout>
          <c:xMode val="edge"/>
          <c:yMode val="edge"/>
          <c:x val="0.358"/>
          <c:y val="0.0362156291681996"/>
        </c:manualLayout>
      </c:layout>
      <c:overlay val="0"/>
      <c:spPr>
        <a:noFill/>
        <a:ln>
          <a:noFill/>
        </a:ln>
        <a:effectLst/>
      </c:spPr>
    </c:title>
    <c:autoTitleDeleted val="0"/>
    <c:plotArea>
      <c:layout/>
      <c:pieChart>
        <c:varyColors val="1"/>
        <c:ser>
          <c:idx val="0"/>
          <c:order val="0"/>
          <c:tx>
            <c:strRef>
              <c:f>Sheet1!$B$1</c:f>
              <c:strCache>
                <c:ptCount val="1"/>
                <c:pt idx="0">
                  <c:v>2021年本年支出合计</c:v>
                </c:pt>
              </c:strCache>
            </c:strRef>
          </c:tx>
          <c:spPr/>
          <c:explosion val="0"/>
          <c:dPt>
            <c:idx val="0"/>
            <c:bubble3D val="0"/>
            <c:spPr>
              <a:solidFill>
                <a:schemeClr val="accent1"/>
              </a:solidFill>
              <a:ln>
                <a:noFill/>
              </a:ln>
              <a:effectLst/>
            </c:spPr>
          </c:dPt>
          <c:dPt>
            <c:idx val="1"/>
            <c:bubble3D val="0"/>
            <c:spPr>
              <a:solidFill>
                <a:schemeClr val="accent2"/>
              </a:solidFill>
              <a:ln>
                <a:noFill/>
              </a:ln>
              <a:effectLst/>
            </c:spPr>
          </c:dPt>
          <c:dLbls>
            <c:dLbl>
              <c:idx val="0"/>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67.25</a:t>
                    </a:r>
                    <a:r>
                      <a:t>%</a:t>
                    </a:r>
                  </a:p>
                </c:rich>
              </c:tx>
              <c:dLblPos val="inEnd"/>
              <c:showLegendKey val="0"/>
              <c:showVal val="0"/>
              <c:showCatName val="0"/>
              <c:showSerName val="0"/>
              <c:showPercent val="1"/>
              <c:showBubbleSize val="0"/>
              <c:extLst>
                <c:ext xmlns:c15="http://schemas.microsoft.com/office/drawing/2012/chart" uri="{CE6537A1-D6FC-4f65-9D91-7224C49458BB}"/>
              </c:extLst>
            </c:dLbl>
            <c:dLbl>
              <c:idx val="1"/>
              <c:layout/>
              <c:tx>
                <c:rich>
                  <a:bodyPr rot="0" spcFirstLastPara="0" vertOverflow="ellipsis" vert="horz" wrap="square" lIns="38100" tIns="19050" rIns="38100" bIns="19050" anchor="ctr" anchorCtr="1"/>
                  <a:lstStyle/>
                  <a:p>
                    <a:pPr defTabSz="914400">
                      <a:defRPr lang="zh-CN" sz="900" b="1" i="0" u="none" strike="noStrike" kern="1200" baseline="0">
                        <a:solidFill>
                          <a:schemeClr val="lt1"/>
                        </a:solidFill>
                        <a:latin typeface="+mn-lt"/>
                        <a:ea typeface="+mn-ea"/>
                        <a:cs typeface="+mn-cs"/>
                      </a:defRPr>
                    </a:pPr>
                    <a:r>
                      <a:rPr lang="en-US" altLang="zh-CN"/>
                      <a:t>32.75</a:t>
                    </a:r>
                    <a:r>
                      <a:t>%</a:t>
                    </a:r>
                  </a:p>
                </c:rich>
              </c:tx>
              <c:dLblPos val="inEnd"/>
              <c:showLegendKey val="0"/>
              <c:showVal val="0"/>
              <c:showCatName val="0"/>
              <c:showSerName val="0"/>
              <c:showPercent val="1"/>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792.8</c:v>
                </c:pt>
                <c:pt idx="1">
                  <c:v>386.1</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75000"/>
                    <a:lumOff val="25000"/>
                  </a:schemeClr>
                </a:solidFill>
                <a:latin typeface="+mn-lt"/>
                <a:ea typeface="+mn-ea"/>
                <a:cs typeface="+mn-cs"/>
              </a:defRPr>
            </a:pPr>
            <a:r>
              <a:t>财政拨款收、支决算总体变动情况</a:t>
            </a:r>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收入</c:v>
                </c:pt>
              </c:strCache>
            </c:strRef>
          </c:tx>
          <c:spPr>
            <a:solidFill>
              <a:schemeClr val="accent1">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1085.8</c:v>
                </c:pt>
                <c:pt idx="1">
                  <c:v>1178.89</c:v>
                </c:pt>
              </c:numCache>
            </c:numRef>
          </c:val>
        </c:ser>
        <c:ser>
          <c:idx val="1"/>
          <c:order val="1"/>
          <c:tx>
            <c:strRef>
              <c:f>Sheet1!$C$1</c:f>
              <c:strCache>
                <c:ptCount val="1"/>
                <c:pt idx="0">
                  <c:v>支出</c:v>
                </c:pt>
              </c:strCache>
            </c:strRef>
          </c:tx>
          <c:spPr>
            <a:solidFill>
              <a:schemeClr val="accent2">
                <a:alpha val="85000"/>
              </a:schemeClr>
            </a:solidFill>
            <a:ln w="9525" cap="flat" cmpd="sng" algn="ctr">
              <a:solidFill>
                <a:schemeClr val="lt1">
                  <a:alpha val="50000"/>
                </a:schemeClr>
              </a:solidFill>
              <a:round/>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Sheet1!$C$2:$C$3</c:f>
              <c:numCache>
                <c:formatCode>General</c:formatCode>
                <c:ptCount val="2"/>
                <c:pt idx="0">
                  <c:v>1085.8</c:v>
                </c:pt>
                <c:pt idx="1">
                  <c:v>1178.89</c:v>
                </c:pt>
              </c:numCache>
            </c:numRef>
          </c:val>
        </c:ser>
        <c:dLbls>
          <c:showLegendKey val="0"/>
          <c:showVal val="1"/>
          <c:showCatName val="0"/>
          <c:showSerName val="0"/>
          <c:showPercent val="0"/>
          <c:showBubbleSize val="0"/>
        </c:dLbls>
        <c:gapWidth val="65"/>
        <c:overlap val="0"/>
        <c:axId val="876838378"/>
        <c:axId val="616419667"/>
      </c:barChart>
      <c:catAx>
        <c:axId val="876838378"/>
        <c:scaling>
          <c:orientation val="minMax"/>
        </c:scaling>
        <c:delete val="0"/>
        <c:axPos val="b"/>
        <c:majorTickMark val="none"/>
        <c:minorTickMark val="none"/>
        <c:tickLblPos val="nextTo"/>
        <c:spPr>
          <a:noFill/>
          <a:ln w="19050" cap="flat" cmpd="sng" algn="ctr">
            <a:solidFill>
              <a:schemeClr val="dk1">
                <a:lumMod val="75000"/>
                <a:lumOff val="25000"/>
              </a:schemeClr>
            </a:solidFill>
            <a:round/>
          </a:ln>
          <a:effectLst/>
        </c:spPr>
        <c:txPr>
          <a:bodyPr rot="-60000000" spcFirstLastPara="0" vertOverflow="ellipsis" vert="horz" wrap="square" anchor="ctr" anchorCtr="1"/>
          <a:lstStyle/>
          <a:p>
            <a:pPr>
              <a:defRPr lang="zh-CN" sz="900" b="0" i="0" u="none" strike="noStrike" kern="1200" cap="all" baseline="0">
                <a:solidFill>
                  <a:schemeClr val="dk1">
                    <a:lumMod val="75000"/>
                    <a:lumOff val="25000"/>
                  </a:schemeClr>
                </a:solidFill>
                <a:latin typeface="+mn-lt"/>
                <a:ea typeface="+mn-ea"/>
                <a:cs typeface="+mn-cs"/>
              </a:defRPr>
            </a:pPr>
          </a:p>
        </c:txPr>
        <c:crossAx val="616419667"/>
        <c:crosses val="autoZero"/>
        <c:auto val="1"/>
        <c:lblAlgn val="ctr"/>
        <c:lblOffset val="100"/>
        <c:noMultiLvlLbl val="0"/>
      </c:catAx>
      <c:valAx>
        <c:axId val="616419667"/>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crossAx val="876838378"/>
        <c:crosses val="autoZero"/>
        <c:crossBetween val="between"/>
      </c:valAx>
      <c:spPr>
        <a:noFill/>
        <a:ln>
          <a:noFill/>
        </a:ln>
        <a:effectLst/>
      </c:spPr>
    </c:plotArea>
    <c:legend>
      <c:legendPos val="b"/>
      <c:layout/>
      <c:overlay val="0"/>
      <c:spPr>
        <a:solidFill>
          <a:schemeClr val="lt1">
            <a:lumMod val="95000"/>
            <a:alpha val="39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75000"/>
                  <a:lumOff val="25000"/>
                </a:schemeClr>
              </a:solidFill>
              <a:latin typeface="+mn-lt"/>
              <a:ea typeface="+mn-ea"/>
              <a:cs typeface="+mn-cs"/>
            </a:defRPr>
          </a:pPr>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dk1">
                    <a:lumMod val="65000"/>
                    <a:lumOff val="35000"/>
                  </a:schemeClr>
                </a:solidFill>
                <a:effectLst/>
                <a:latin typeface="+mn-lt"/>
                <a:ea typeface="+mn-ea"/>
                <a:cs typeface="+mn-cs"/>
              </a:defRPr>
            </a:pPr>
            <a:r>
              <a:rPr sz="1400" b="1"/>
              <a:t>一般公共预算财政拨款支出决算变动情况</a:t>
            </a:r>
            <a:endParaRPr sz="1400" b="1"/>
          </a:p>
        </c:rich>
      </c:tx>
      <c:layout>
        <c:manualLayout>
          <c:xMode val="edge"/>
          <c:yMode val="edge"/>
          <c:x val="0.193"/>
          <c:y val="0.0358470525756771"/>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一般公共预算财政拨款支出</c:v>
                </c:pt>
              </c:strCache>
            </c:strRef>
          </c:tx>
          <c:spPr>
            <a:gradFill>
              <a:gsLst>
                <a:gs pos="0">
                  <a:schemeClr val="accent1"/>
                </a:gs>
                <a:gs pos="100000">
                  <a:schemeClr val="accent1">
                    <a:lumMod val="84000"/>
                  </a:schemeClr>
                </a:gs>
              </a:gsLst>
              <a:lin ang="5400000" scaled="1"/>
            </a:gradFill>
            <a:ln>
              <a:noFill/>
            </a:ln>
            <a:effectLst>
              <a:outerShdw blurRad="76200" dir="18900000" sy="23000" kx="-1200000" algn="bl" rotWithShape="0">
                <a:prstClr val="black">
                  <a:alpha val="20000"/>
                </a:prstClr>
              </a:outerShdw>
            </a:effectLst>
          </c:spPr>
          <c:invertIfNegative val="0"/>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a:solidFill>
                        <a:schemeClr val="dk1">
                          <a:lumMod val="50000"/>
                          <a:lumOff val="50000"/>
                        </a:schemeClr>
                      </a:solidFill>
                    </a:ln>
                    <a:effectLst/>
                  </c:spPr>
                </c15:leaderLines>
              </c:ext>
            </c:extLst>
          </c:dLbls>
          <c:cat>
            <c:strRef>
              <c:f>Sheet1!$A$2:$A$3</c:f>
              <c:strCache>
                <c:ptCount val="2"/>
                <c:pt idx="0">
                  <c:v>2020年</c:v>
                </c:pt>
                <c:pt idx="1">
                  <c:v>2021年</c:v>
                </c:pt>
              </c:strCache>
            </c:strRef>
          </c:cat>
          <c:val>
            <c:numRef>
              <c:f>Sheet1!$B$2:$B$3</c:f>
              <c:numCache>
                <c:formatCode>General</c:formatCode>
                <c:ptCount val="2"/>
                <c:pt idx="0">
                  <c:v>1175.89</c:v>
                </c:pt>
                <c:pt idx="1">
                  <c:v>1082.8</c:v>
                </c:pt>
              </c:numCache>
            </c:numRef>
          </c:val>
        </c:ser>
        <c:dLbls>
          <c:showLegendKey val="0"/>
          <c:showVal val="1"/>
          <c:showCatName val="0"/>
          <c:showSerName val="0"/>
          <c:showPercent val="0"/>
          <c:showBubbleSize val="0"/>
        </c:dLbls>
        <c:gapWidth val="41"/>
        <c:overlap val="0"/>
        <c:axId val="134079981"/>
        <c:axId val="758071448"/>
      </c:barChart>
      <c:catAx>
        <c:axId val="134079981"/>
        <c:scaling>
          <c:orientation val="minMax"/>
        </c:scaling>
        <c:delete val="0"/>
        <c:axPos val="b"/>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effectLst/>
                <a:latin typeface="+mn-lt"/>
                <a:ea typeface="+mn-ea"/>
                <a:cs typeface="+mn-cs"/>
              </a:defRPr>
            </a:pPr>
          </a:p>
        </c:txPr>
        <c:crossAx val="758071448"/>
        <c:crosses val="autoZero"/>
        <c:auto val="1"/>
        <c:lblAlgn val="ctr"/>
        <c:lblOffset val="100"/>
        <c:noMultiLvlLbl val="0"/>
      </c:catAx>
      <c:valAx>
        <c:axId val="758071448"/>
        <c:scaling>
          <c:orientation val="minMax"/>
        </c:scaling>
        <c:delete val="1"/>
        <c:axPos val="l"/>
        <c:numFmt formatCode="General" sourceLinked="1"/>
        <c:majorTickMark val="none"/>
        <c:minorTickMark val="none"/>
        <c:tickLblPos val="nextTo"/>
        <c:txPr>
          <a:bodyPr rot="-6000000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crossAx val="134079981"/>
        <c:crosses val="autoZero"/>
        <c:crossBetween val="between"/>
      </c:valAx>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Entry>
      <c:layout>
        <c:manualLayout>
          <c:xMode val="edge"/>
          <c:yMode val="edge"/>
          <c:x val="0.346625"/>
          <c:y val="0.1991502920870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a:effectLst/>
  </c:spPr>
  <c:txPr>
    <a:bodyPr/>
    <a:lstStyle/>
    <a:p>
      <a:pPr>
        <a:defRPr lang="zh-CN" sz="900"/>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800" b="1" i="0" u="none" strike="noStrike" kern="1200" baseline="0">
                <a:solidFill>
                  <a:schemeClr val="dk1">
                    <a:lumMod val="65000"/>
                    <a:lumOff val="35000"/>
                  </a:schemeClr>
                </a:solidFill>
                <a:latin typeface="+mn-lt"/>
                <a:ea typeface="+mn-ea"/>
                <a:cs typeface="+mn-cs"/>
              </a:defRPr>
            </a:pPr>
            <a:r>
              <a:t>一般公共预算财政拨款支出决算结构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solidFill>
                <a:schemeClr val="accent1"/>
              </a:solidFill>
              <a:ln>
                <a:noFill/>
              </a:ln>
              <a:effectLst>
                <a:outerShdw blurRad="317500" algn="ctr" rotWithShape="0">
                  <a:prstClr val="black">
                    <a:alpha val="25000"/>
                  </a:prstClr>
                </a:outerShdw>
              </a:effectLst>
            </c:spPr>
          </c:dPt>
          <c:dLbls>
            <c:dLbl>
              <c:idx val="0"/>
              <c:layout>
                <c:manualLayout>
                  <c:x val="-0.00187524234346355"/>
                  <c:y val="-0.363504402515277"/>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Sheet1!$A$2</c:f>
              <c:strCache>
                <c:ptCount val="1"/>
                <c:pt idx="0">
                  <c:v>教育支出（类）</c:v>
                </c:pt>
              </c:strCache>
            </c:strRef>
          </c:cat>
          <c:val>
            <c:numRef>
              <c:f>Sheet1!$B$2</c:f>
              <c:numCache>
                <c:formatCode>General</c:formatCode>
                <c:ptCount val="1"/>
                <c:pt idx="0">
                  <c:v>100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ayout/>
      <c:overlay val="0"/>
      <c:spPr>
        <a:solidFill>
          <a:schemeClr val="lt1">
            <a:alpha val="78000"/>
          </a:schemeClr>
        </a:solidFill>
        <a:ln>
          <a:noFill/>
        </a:ln>
        <a:effectLst/>
      </c:spPr>
      <c:txPr>
        <a:bodyPr rot="0" spcFirstLastPara="0" vertOverflow="ellipsis" vert="horz" wrap="square" anchor="ctr" anchorCtr="1"/>
        <a:lstStyle/>
        <a:p>
          <a:pPr>
            <a:defRPr lang="zh-CN" sz="900" b="0" i="0" u="none" strike="noStrike" kern="1200" baseline="0">
              <a:solidFill>
                <a:schemeClr val="dk1">
                  <a:lumMod val="65000"/>
                  <a:lumOff val="35000"/>
                </a:schemeClr>
              </a:solidFill>
              <a:latin typeface="+mn-lt"/>
              <a:ea typeface="+mn-ea"/>
              <a:cs typeface="+mn-cs"/>
            </a:defRPr>
          </a:pPr>
        </a:p>
      </c:txPr>
    </c:legend>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2"/>
                </a:solidFill>
                <a:latin typeface="+mn-lt"/>
                <a:ea typeface="+mn-ea"/>
                <a:cs typeface="+mn-cs"/>
              </a:defRPr>
            </a:pPr>
            <a:r>
              <a:t>“三公”经费财政拨款支出结构</a:t>
            </a:r>
          </a:p>
        </c:rich>
      </c:tx>
      <c:layout/>
      <c:overlay val="0"/>
      <c:spPr>
        <a:noFill/>
        <a:ln>
          <a:noFill/>
        </a:ln>
        <a:effectLst/>
      </c:spPr>
    </c:title>
    <c:autoTitleDeleted val="0"/>
    <c:plotArea>
      <c:layout/>
      <c:pieChart>
        <c:varyColors val="1"/>
        <c:ser>
          <c:idx val="0"/>
          <c:order val="0"/>
          <c:tx>
            <c:strRef>
              <c:f>Sheet1!$B$1</c:f>
              <c:strCache>
                <c:ptCount val="1"/>
                <c:pt idx="0">
                  <c:v>占比</c:v>
                </c:pt>
              </c:strCache>
            </c:strRef>
          </c:tx>
          <c:spPr/>
          <c:explosion val="0"/>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dPt>
          <c:dLbls>
            <c:dLbl>
              <c:idx val="0"/>
              <c:delete val="1"/>
            </c:dLbl>
            <c:dLbl>
              <c:idx val="1"/>
              <c:delete val="1"/>
            </c:dLbl>
            <c:dLbl>
              <c:idx val="2"/>
              <c:layout>
                <c:manualLayout>
                  <c:x val="0.00187439869773377"/>
                  <c:y val="-0.326576072262015"/>
                </c:manualLayout>
              </c:layout>
              <c:dLblPos val="bestFi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2"/>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Sheet1!$A$2:$A$4</c:f>
              <c:strCache>
                <c:ptCount val="3"/>
                <c:pt idx="0">
                  <c:v>因公出国（境）费支出</c:v>
                </c:pt>
                <c:pt idx="1">
                  <c:v>公务用车购置及运行维护费支出</c:v>
                </c:pt>
                <c:pt idx="2">
                  <c:v>公务接待费支出</c:v>
                </c:pt>
              </c:strCache>
            </c:strRef>
          </c:cat>
          <c:val>
            <c:numRef>
              <c:f>Sheet1!$B$2:$B$4</c:f>
              <c:numCache>
                <c:formatCode>0%</c:formatCode>
                <c:ptCount val="3"/>
                <c:pt idx="0">
                  <c:v>0</c:v>
                </c:pt>
                <c:pt idx="1">
                  <c:v>0</c:v>
                </c:pt>
                <c:pt idx="2">
                  <c:v>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2"/>
              </a:solidFill>
              <a:latin typeface="+mn-lt"/>
              <a:ea typeface="+mn-ea"/>
              <a:cs typeface="+mn-cs"/>
            </a:defRPr>
          </a:pPr>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8">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lt1"/>
    </cs:fontRef>
    <cs:defRPr sz="900" b="1"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solidFill>
      <a:scene3d>
        <a:camera prst="orthographicFront"/>
        <a:lightRig rig="brightRoom" dir="t"/>
      </a:scene3d>
      <a:sp3d prstMaterial="flat">
        <a:bevelT w="50800" h="101600" prst="angle"/>
        <a:contourClr>
          <a:srgbClr val="000000"/>
        </a:contourClr>
      </a:sp3d>
    </cs:spPr>
  </cs:dataPoint>
  <cs:dataPoint3D>
    <cs:lnRef idx="0"/>
    <cs:fillRef idx="0">
      <cs:styleClr val="auto"/>
    </cs:fillRef>
    <cs:effectRef idx="0"/>
    <cs:fontRef idx="minor">
      <a:schemeClr val="tx1"/>
    </cs:fontRef>
    <cs:spPr>
      <a:solidFill>
        <a:schemeClr val="phClr"/>
      </a:solidFill>
      <a:ln w="1905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fillRef idx="0">
      <cs:styleClr val="auto"/>
    </cs:fillRef>
    <cs:effectRef idx="0"/>
    <cs:fontRef idx="minor">
      <a:schemeClr val="tx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1" i="0" kern="1200" cap="all" spc="50"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5">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04">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a:effectLst/>
    </cs:defRPr>
  </cs:categoryAxis>
  <cs:chartArea>
    <cs:lnRef idx="0"/>
    <cs:fillRef idx="0"/>
    <cs:effectRef idx="0"/>
    <cs:fontRef idx="minor">
      <a:schemeClr val="dk1"/>
    </cs:fontRef>
    <cs:spPr>
      <a:gradFill flip="none" rotWithShape="1">
        <a:gsLst>
          <a:gs pos="0">
            <a:schemeClr val="lt1"/>
          </a:gs>
          <a:gs pos="68000">
            <a:schemeClr val="lt1">
              <a:lumMod val="85000"/>
            </a:schemeClr>
          </a:gs>
          <a:gs pos="100000">
            <a:schemeClr val="lt1"/>
          </a:gs>
        </a:gsLst>
        <a:lin ang="5400000" scaled="1"/>
      </a:gradFill>
      <a:ln w="9525" cap="flat" cmpd="sng" algn="ctr">
        <a:solidFill>
          <a:schemeClr val="dk1">
            <a:lumMod val="15000"/>
            <a:lumOff val="85000"/>
          </a:schemeClr>
        </a:solidFill>
        <a:round/>
      </a:ln>
    </cs:spPr>
    <cs:defRPr sz="1000" kern="1200"/>
  </cs:chartArea>
  <cs:dataLabel>
    <cs:lnRef idx="0"/>
    <cs:fillRef idx="0"/>
    <cs:effectRef idx="0"/>
    <cs:fontRef idx="minor">
      <a:schemeClr val="lt1"/>
    </cs:fontRef>
    <cs:defRPr sz="10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1000" b="1" kern="1200"/>
    <cs:bodyPr rot="0" spcFirstLastPara="1" vertOverflow="clip" horzOverflow="clip" vert="horz" wrap="square" lIns="36576" tIns="18288" rIns="36576" bIns="18288" anchor="ctr" anchorCtr="1">
      <a:spAutoFit/>
    </cs:bodyPr>
  </cs:dataLabelCallout>
  <cs:dataPoint>
    <cs:lnRef idx="0">
      <cs:styleClr val="auto"/>
    </cs:lnRef>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
  <cs:dataPoint3D>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3D>
  <cs:dataPointLine>
    <cs:lnRef idx="0">
      <cs:styleClr val="auto"/>
    </cs:lnRef>
    <cs:fillRef idx="0"/>
    <cs:effectRef idx="0"/>
    <cs:fontRef idx="minor">
      <a:schemeClr val="dk1"/>
    </cs:fontRef>
    <cs:spPr>
      <a:ln w="28575" cap="rnd">
        <a:gradFill>
          <a:gsLst>
            <a:gs pos="0">
              <a:schemeClr val="phClr"/>
            </a:gs>
            <a:gs pos="100000">
              <a:schemeClr val="phClr">
                <a:lumMod val="84000"/>
              </a:schemeClr>
            </a:gs>
          </a:gsLst>
          <a:lin ang="5400000" scaled="1"/>
        </a:gradFill>
        <a:round/>
      </a:ln>
    </cs:spPr>
  </cs:dataPointLine>
  <cs:dataPointMarker>
    <cs:lnRef idx="0"/>
    <cs:fillRef idx="0">
      <cs:styleClr val="auto"/>
    </cs:fillRef>
    <cs:effectRef idx="0"/>
    <cs:fontRef idx="minor">
      <a:schemeClr val="dk1"/>
    </cs:fontRef>
    <cs:spPr>
      <a:gradFill>
        <a:gsLst>
          <a:gs pos="0">
            <a:schemeClr val="phClr"/>
          </a:gs>
          <a:gs pos="100000">
            <a:schemeClr val="phClr">
              <a:lumMod val="84000"/>
            </a:schemeClr>
          </a:gs>
        </a:gsLst>
        <a:lin ang="5400000" scaled="1"/>
      </a:gradFill>
      <a:effectLst>
        <a:outerShdw blurRad="76200" dir="18900000" sy="23000" kx="-1200000" algn="bl" rotWithShape="0">
          <a:prstClr val="black">
            <a:alpha val="20000"/>
          </a:prstClr>
        </a:outerShdw>
      </a:effectLst>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35000"/>
          <a:lumOff val="6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50000"/>
            <a:lumOff val="50000"/>
          </a:schemeClr>
        </a:solidFill>
        <a:round/>
      </a:ln>
    </cs:spPr>
  </cs:dropLine>
  <cs:errorBar>
    <cs:lnRef idx="0"/>
    <cs:fillRef idx="0"/>
    <cs:effectRef idx="0"/>
    <cs:fontRef idx="minor">
      <a:schemeClr val="dk1"/>
    </cs:fontRef>
    <cs:spPr>
      <a:ln w="9525">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50000"/>
            <a:lumOff val="50000"/>
          </a:schemeClr>
        </a:solidFill>
        <a:round/>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65000"/>
        <a:lumOff val="35000"/>
      </a:schemeClr>
    </cs:fontRef>
    <cs:defRPr kern="1200">
      <a:effectLst/>
    </cs:defRPr>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lumMod val="95000"/>
        </a:schemeClr>
      </a:solidFill>
      <a:ln w="9525">
        <a:solidFill>
          <a:schemeClr val="dk1">
            <a:lumMod val="15000"/>
            <a:lumOff val="85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5">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21</Pages>
  <Words>7070</Words>
  <Characters>7561</Characters>
  <Lines>47</Lines>
  <Paragraphs>13</Paragraphs>
  <TotalTime>1</TotalTime>
  <ScaleCrop>false</ScaleCrop>
  <LinksUpToDate>false</LinksUpToDate>
  <CharactersWithSpaces>7625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king</cp:lastModifiedBy>
  <cp:lastPrinted>2022-09-27T03:56:00Z</cp:lastPrinted>
  <dcterms:modified xsi:type="dcterms:W3CDTF">2022-09-30T14:27:27Z</dcterms:modified>
  <dc:title>四川省***</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90E9467CCEFE4D188C1A3EBDCF3991AB</vt:lpwstr>
  </property>
</Properties>
</file>