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96597"/>
      <w:bookmarkStart w:id="2" w:name="_Toc15377425"/>
      <w:bookmarkStart w:id="3" w:name="_Toc15377193"/>
      <w:bookmarkStart w:id="4" w:name="_Toc15378441"/>
      <w:bookmarkStart w:id="5" w:name="_Toc15396475"/>
      <w:r>
        <w:rPr>
          <w:rFonts w:ascii="方正小标宋_GBK" w:hAnsi="方正小标宋_GBK" w:eastAsia="方正小标宋_GBK" w:cs="方正小标宋_GBK"/>
          <w:sz w:val="72"/>
          <w:szCs w:val="72"/>
        </w:rPr>
        <w:t>2021</w:t>
      </w:r>
      <w:r>
        <w:rPr>
          <w:rFonts w:hint="eastAsia" w:ascii="方正小标宋_GBK" w:hAnsi="方正小标宋_GBK" w:eastAsia="方正小标宋_GBK" w:cs="方正小标宋_GBK"/>
          <w:sz w:val="72"/>
          <w:szCs w:val="72"/>
        </w:rPr>
        <w:t>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sz w:val="72"/>
          <w:szCs w:val="72"/>
        </w:rPr>
      </w:pPr>
      <w:bookmarkStart w:id="6" w:name="_Toc15396598"/>
      <w:bookmarkStart w:id="7" w:name="_Toc15377426"/>
      <w:bookmarkStart w:id="8" w:name="_Toc15377194"/>
      <w:bookmarkStart w:id="9" w:name="_Toc15396476"/>
      <w:bookmarkStart w:id="10" w:name="_Toc15378442"/>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w:t>
      </w:r>
    </w:p>
    <w:p>
      <w:pPr>
        <w:adjustRightInd w:val="0"/>
        <w:snapToGrid w:val="0"/>
        <w:spacing w:line="360" w:lineRule="auto"/>
        <w:jc w:val="center"/>
        <w:outlineLvl w:val="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清水镇香溪小学单位决算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jc w:val="both"/>
      </w:pPr>
    </w:p>
    <w:p/>
    <w:p>
      <w:pPr>
        <w:pStyle w:val="13"/>
        <w:tabs>
          <w:tab w:val="right" w:leader="middleDot" w:pos="8296"/>
        </w:tabs>
        <w:adjustRightInd w:val="0"/>
        <w:snapToGrid w:val="0"/>
        <w:spacing w:before="0" w:line="440" w:lineRule="exact"/>
        <w:jc w:val="left"/>
        <w:rPr>
          <w:sz w:val="24"/>
          <w:szCs w:val="24"/>
        </w:rPr>
      </w:pPr>
      <w:bookmarkStart w:id="12" w:name="_Toc15377196"/>
      <w:bookmarkStart w:id="13" w:name="_Toc15396599"/>
      <w:r>
        <w:rPr>
          <w:rFonts w:hint="eastAsia"/>
          <w:sz w:val="24"/>
        </w:rPr>
        <w:t>第一部分单位概况</w:t>
      </w:r>
      <w:r>
        <w:rPr>
          <w:sz w:val="24"/>
        </w:rPr>
        <w:tab/>
      </w:r>
      <w:r>
        <w:rPr>
          <w:sz w:val="24"/>
        </w:rPr>
        <w:t>4</w:t>
      </w:r>
    </w:p>
    <w:p>
      <w:pPr>
        <w:pStyle w:val="14"/>
        <w:adjustRightInd w:val="0"/>
        <w:snapToGrid w:val="0"/>
        <w:spacing w:line="440" w:lineRule="exact"/>
        <w:ind w:left="31680"/>
        <w:jc w:val="distribute"/>
        <w:rPr>
          <w:sz w:val="24"/>
        </w:rPr>
      </w:pPr>
      <w:r>
        <w:rPr>
          <w:rFonts w:hint="eastAsia"/>
          <w:sz w:val="24"/>
        </w:rPr>
        <w:t>一、职能简介</w:t>
      </w:r>
      <w:r>
        <w:rPr>
          <w:sz w:val="24"/>
        </w:rPr>
        <w:tab/>
      </w:r>
      <w:r>
        <w:rPr>
          <w:sz w:val="24"/>
        </w:rPr>
        <w:t>4</w:t>
      </w:r>
    </w:p>
    <w:p>
      <w:pPr>
        <w:pStyle w:val="14"/>
        <w:adjustRightInd w:val="0"/>
        <w:snapToGrid w:val="0"/>
        <w:spacing w:line="440" w:lineRule="exact"/>
        <w:ind w:left="31680"/>
        <w:jc w:val="distribute"/>
        <w:rPr>
          <w:rFonts w:ascii="宋体" w:cs="宋体"/>
          <w:sz w:val="24"/>
        </w:rPr>
      </w:pPr>
      <w:r>
        <w:rPr>
          <w:rFonts w:hint="eastAsia" w:ascii="宋体" w:hAnsi="宋体" w:cs="宋体"/>
          <w:sz w:val="24"/>
        </w:rPr>
        <w:t>二、</w:t>
      </w:r>
      <w:r>
        <w:rPr>
          <w:rFonts w:ascii="宋体" w:hAnsi="宋体" w:cs="宋体"/>
          <w:sz w:val="24"/>
        </w:rPr>
        <w:t>2021</w:t>
      </w:r>
      <w:r>
        <w:rPr>
          <w:rFonts w:hint="eastAsia" w:ascii="宋体" w:hAnsi="宋体" w:cs="宋体"/>
          <w:sz w:val="24"/>
        </w:rPr>
        <w:t>年重点工作完成情况</w:t>
      </w:r>
      <w:r>
        <w:rPr>
          <w:sz w:val="24"/>
        </w:rPr>
        <w:tab/>
      </w:r>
      <w:r>
        <w:rPr>
          <w:sz w:val="24"/>
        </w:rPr>
        <w:t>5</w:t>
      </w:r>
    </w:p>
    <w:p>
      <w:pPr>
        <w:pStyle w:val="13"/>
        <w:adjustRightInd w:val="0"/>
        <w:snapToGrid w:val="0"/>
        <w:spacing w:before="0" w:line="440" w:lineRule="exact"/>
        <w:jc w:val="left"/>
        <w:rPr>
          <w:rFonts w:hint="eastAsia" w:eastAsia="仿宋"/>
          <w:sz w:val="24"/>
          <w:szCs w:val="24"/>
          <w:lang w:eastAsia="zh-CN"/>
        </w:rPr>
      </w:pPr>
      <w:r>
        <w:rPr>
          <w:rFonts w:hint="eastAsia"/>
          <w:sz w:val="24"/>
        </w:rPr>
        <w:t>第二部分</w:t>
      </w:r>
      <w:r>
        <w:rPr>
          <w:sz w:val="24"/>
        </w:rPr>
        <w:t xml:space="preserve"> 2021</w:t>
      </w:r>
      <w:r>
        <w:rPr>
          <w:rFonts w:hint="eastAsia"/>
          <w:sz w:val="24"/>
        </w:rPr>
        <w:t>年度单位决算情况说明</w:t>
      </w:r>
      <w:r>
        <w:rPr>
          <w:sz w:val="24"/>
        </w:rPr>
        <w:tab/>
      </w:r>
      <w:r>
        <w:rPr>
          <w:rFonts w:hint="eastAsia"/>
          <w:sz w:val="24"/>
          <w:lang w:val="en-US" w:eastAsia="zh-CN"/>
        </w:rPr>
        <w:t>7</w:t>
      </w:r>
    </w:p>
    <w:p>
      <w:pPr>
        <w:pStyle w:val="14"/>
        <w:adjustRightInd w:val="0"/>
        <w:snapToGrid w:val="0"/>
        <w:spacing w:line="440" w:lineRule="exact"/>
        <w:ind w:left="31680"/>
        <w:jc w:val="distribute"/>
        <w:rPr>
          <w:rFonts w:ascii="仿宋" w:hAnsi="仿宋" w:eastAsia="仿宋"/>
          <w:sz w:val="24"/>
        </w:rPr>
      </w:pPr>
      <w:r>
        <w:rPr>
          <w:rFonts w:hint="eastAsia"/>
          <w:sz w:val="24"/>
        </w:rPr>
        <w:t>一、收入支出决算总体情况说明</w:t>
      </w:r>
      <w:r>
        <w:rPr>
          <w:sz w:val="24"/>
        </w:rPr>
        <w:tab/>
      </w:r>
      <w:r>
        <w:rPr>
          <w:sz w:val="24"/>
        </w:rPr>
        <w:t>7</w:t>
      </w:r>
    </w:p>
    <w:p>
      <w:pPr>
        <w:pStyle w:val="14"/>
        <w:adjustRightInd w:val="0"/>
        <w:snapToGrid w:val="0"/>
        <w:spacing w:line="440" w:lineRule="exact"/>
        <w:ind w:left="31680"/>
        <w:jc w:val="distribute"/>
        <w:rPr>
          <w:rFonts w:ascii="仿宋" w:hAnsi="仿宋" w:eastAsia="仿宋"/>
          <w:sz w:val="24"/>
        </w:rPr>
      </w:pPr>
      <w:r>
        <w:rPr>
          <w:rFonts w:hint="eastAsia"/>
          <w:sz w:val="24"/>
        </w:rPr>
        <w:t>二、收入决算情况说明</w:t>
      </w:r>
      <w:r>
        <w:rPr>
          <w:sz w:val="24"/>
        </w:rPr>
        <w:tab/>
      </w:r>
      <w:r>
        <w:rPr>
          <w:sz w:val="24"/>
        </w:rPr>
        <w:t>7</w:t>
      </w:r>
    </w:p>
    <w:p>
      <w:pPr>
        <w:pStyle w:val="14"/>
        <w:adjustRightInd w:val="0"/>
        <w:snapToGrid w:val="0"/>
        <w:spacing w:line="440" w:lineRule="exact"/>
        <w:ind w:left="31680"/>
        <w:jc w:val="distribute"/>
        <w:rPr>
          <w:rFonts w:hint="eastAsia" w:ascii="仿宋" w:hAnsi="仿宋" w:eastAsia="宋体"/>
          <w:sz w:val="24"/>
          <w:lang w:val="en-US" w:eastAsia="zh-CN"/>
        </w:rPr>
      </w:pPr>
      <w:r>
        <w:rPr>
          <w:rFonts w:hint="eastAsia"/>
          <w:sz w:val="24"/>
        </w:rPr>
        <w:t>三、支出决算情况说明</w:t>
      </w:r>
      <w:r>
        <w:rPr>
          <w:sz w:val="24"/>
        </w:rPr>
        <w:tab/>
      </w:r>
      <w:r>
        <w:rPr>
          <w:rFonts w:hint="eastAsia"/>
          <w:sz w:val="24"/>
          <w:lang w:val="en-US" w:eastAsia="zh-CN"/>
        </w:rPr>
        <w:t>8</w:t>
      </w:r>
    </w:p>
    <w:p>
      <w:pPr>
        <w:pStyle w:val="14"/>
        <w:adjustRightInd w:val="0"/>
        <w:snapToGrid w:val="0"/>
        <w:spacing w:line="440" w:lineRule="exact"/>
        <w:ind w:left="31680"/>
        <w:jc w:val="distribute"/>
        <w:rPr>
          <w:rFonts w:ascii="仿宋" w:hAnsi="仿宋" w:eastAsia="仿宋"/>
          <w:sz w:val="24"/>
        </w:rPr>
      </w:pPr>
      <w:r>
        <w:rPr>
          <w:rFonts w:hint="eastAsia"/>
          <w:sz w:val="24"/>
        </w:rPr>
        <w:t>四、财政拨款收入支出决算总体情况说明</w:t>
      </w:r>
      <w:r>
        <w:rPr>
          <w:sz w:val="24"/>
        </w:rPr>
        <w:tab/>
      </w:r>
      <w:r>
        <w:rPr>
          <w:sz w:val="24"/>
        </w:rPr>
        <w:t>8</w:t>
      </w:r>
    </w:p>
    <w:p>
      <w:pPr>
        <w:pStyle w:val="14"/>
        <w:adjustRightInd w:val="0"/>
        <w:snapToGrid w:val="0"/>
        <w:spacing w:line="440" w:lineRule="exact"/>
        <w:ind w:left="31680"/>
        <w:jc w:val="distribute"/>
        <w:rPr>
          <w:rFonts w:ascii="仿宋" w:hAnsi="仿宋" w:eastAsia="仿宋"/>
          <w:sz w:val="24"/>
        </w:rPr>
      </w:pPr>
      <w:r>
        <w:rPr>
          <w:rFonts w:hint="eastAsia"/>
          <w:sz w:val="24"/>
        </w:rPr>
        <w:t>五、一般公共预算财政拨款支出决算情况说明</w:t>
      </w:r>
      <w:r>
        <w:rPr>
          <w:sz w:val="24"/>
        </w:rPr>
        <w:tab/>
      </w:r>
      <w:r>
        <w:rPr>
          <w:sz w:val="24"/>
        </w:rPr>
        <w:t>8</w:t>
      </w:r>
    </w:p>
    <w:p>
      <w:pPr>
        <w:pStyle w:val="14"/>
        <w:adjustRightInd w:val="0"/>
        <w:snapToGrid w:val="0"/>
        <w:spacing w:line="440" w:lineRule="exact"/>
        <w:ind w:left="31680"/>
        <w:jc w:val="distribute"/>
        <w:rPr>
          <w:rFonts w:ascii="仿宋" w:hAnsi="仿宋" w:eastAsia="仿宋"/>
          <w:sz w:val="24"/>
        </w:rPr>
      </w:pPr>
      <w:r>
        <w:rPr>
          <w:rFonts w:hint="eastAsia"/>
          <w:sz w:val="24"/>
        </w:rPr>
        <w:t>六、一般公共预算财政拨款基本支出决算情况说明</w:t>
      </w:r>
      <w:r>
        <w:rPr>
          <w:sz w:val="24"/>
        </w:rPr>
        <w:tab/>
      </w:r>
      <w:r>
        <w:rPr>
          <w:sz w:val="24"/>
        </w:rPr>
        <w:t>10</w:t>
      </w:r>
    </w:p>
    <w:p>
      <w:pPr>
        <w:pStyle w:val="14"/>
        <w:adjustRightInd w:val="0"/>
        <w:snapToGrid w:val="0"/>
        <w:spacing w:line="440" w:lineRule="exact"/>
        <w:ind w:left="31680"/>
        <w:jc w:val="distribute"/>
        <w:rPr>
          <w:rFonts w:ascii="仿宋" w:hAnsi="仿宋" w:eastAsia="仿宋"/>
          <w:sz w:val="24"/>
        </w:rPr>
      </w:pPr>
      <w:r>
        <w:rPr>
          <w:rFonts w:hint="eastAsia"/>
          <w:sz w:val="24"/>
        </w:rPr>
        <w:t>七、“三公”经费财政拨款支出决算情况说明</w:t>
      </w:r>
      <w:r>
        <w:rPr>
          <w:sz w:val="24"/>
        </w:rPr>
        <w:tab/>
      </w:r>
      <w:r>
        <w:rPr>
          <w:sz w:val="24"/>
        </w:rPr>
        <w:t>11</w:t>
      </w:r>
    </w:p>
    <w:p>
      <w:pPr>
        <w:pStyle w:val="14"/>
        <w:adjustRightInd w:val="0"/>
        <w:snapToGrid w:val="0"/>
        <w:spacing w:line="440" w:lineRule="exact"/>
        <w:ind w:left="31680"/>
        <w:jc w:val="distribute"/>
        <w:rPr>
          <w:rFonts w:ascii="仿宋" w:hAnsi="仿宋" w:eastAsia="仿宋"/>
          <w:sz w:val="24"/>
        </w:rPr>
      </w:pPr>
      <w:r>
        <w:rPr>
          <w:rFonts w:hint="eastAsia"/>
          <w:sz w:val="24"/>
        </w:rPr>
        <w:t>八、政府性基金预算支出决算情况说明</w:t>
      </w:r>
      <w:r>
        <w:rPr>
          <w:sz w:val="24"/>
        </w:rPr>
        <w:tab/>
      </w:r>
      <w:r>
        <w:rPr>
          <w:sz w:val="24"/>
        </w:rPr>
        <w:t>12</w:t>
      </w:r>
    </w:p>
    <w:p>
      <w:pPr>
        <w:pStyle w:val="14"/>
        <w:adjustRightInd w:val="0"/>
        <w:snapToGrid w:val="0"/>
        <w:spacing w:line="440" w:lineRule="exact"/>
        <w:ind w:left="31680"/>
        <w:jc w:val="distribute"/>
        <w:rPr>
          <w:sz w:val="24"/>
        </w:rPr>
      </w:pPr>
      <w:r>
        <w:rPr>
          <w:rFonts w:hint="eastAsia"/>
          <w:sz w:val="24"/>
        </w:rPr>
        <w:t>九、国有资本经营预算支出决算情况说明</w:t>
      </w:r>
      <w:r>
        <w:rPr>
          <w:sz w:val="24"/>
        </w:rPr>
        <w:tab/>
      </w:r>
      <w:r>
        <w:rPr>
          <w:sz w:val="24"/>
        </w:rPr>
        <w:t>13</w:t>
      </w:r>
    </w:p>
    <w:p>
      <w:pPr>
        <w:pStyle w:val="14"/>
        <w:adjustRightInd w:val="0"/>
        <w:snapToGrid w:val="0"/>
        <w:spacing w:line="440" w:lineRule="exact"/>
        <w:ind w:left="31680"/>
        <w:jc w:val="distribute"/>
      </w:pPr>
      <w:r>
        <w:rPr>
          <w:rFonts w:hint="eastAsia"/>
          <w:sz w:val="24"/>
        </w:rPr>
        <w:t>十、</w:t>
      </w:r>
      <w:r>
        <w:rPr>
          <w:rFonts w:hint="eastAsia" w:ascii="宋体" w:hAnsi="宋体" w:cs="宋体"/>
          <w:sz w:val="24"/>
        </w:rPr>
        <w:t>预算绩效管理情况</w:t>
      </w:r>
      <w:r>
        <w:rPr>
          <w:sz w:val="24"/>
        </w:rPr>
        <w:tab/>
      </w:r>
      <w:r>
        <w:rPr>
          <w:sz w:val="24"/>
        </w:rPr>
        <w:t>13</w:t>
      </w:r>
    </w:p>
    <w:p>
      <w:pPr>
        <w:pStyle w:val="14"/>
        <w:adjustRightInd w:val="0"/>
        <w:snapToGrid w:val="0"/>
        <w:spacing w:line="440" w:lineRule="exact"/>
        <w:ind w:left="31680"/>
        <w:jc w:val="distribute"/>
      </w:pPr>
      <w:r>
        <w:rPr>
          <w:rFonts w:hint="eastAsia"/>
          <w:sz w:val="24"/>
        </w:rPr>
        <w:t>十一、其他重要事项的情况说明</w:t>
      </w:r>
      <w:r>
        <w:rPr>
          <w:sz w:val="24"/>
        </w:rPr>
        <w:tab/>
      </w:r>
      <w:r>
        <w:rPr>
          <w:sz w:val="24"/>
        </w:rPr>
        <w:t>13</w:t>
      </w:r>
    </w:p>
    <w:p>
      <w:pPr>
        <w:pStyle w:val="13"/>
        <w:adjustRightInd w:val="0"/>
        <w:snapToGrid w:val="0"/>
        <w:spacing w:before="0" w:line="440" w:lineRule="exact"/>
        <w:jc w:val="left"/>
        <w:rPr>
          <w:rFonts w:hint="eastAsia" w:ascii="Times New Roman" w:hAnsi="Times New Roman" w:eastAsia="宋体"/>
          <w:sz w:val="24"/>
          <w:szCs w:val="24"/>
          <w:lang w:eastAsia="zh-CN"/>
        </w:rPr>
      </w:pPr>
      <w:r>
        <w:rPr>
          <w:rFonts w:hint="eastAsia"/>
          <w:sz w:val="24"/>
        </w:rPr>
        <w:t>第三部分名词解释</w:t>
      </w:r>
      <w:r>
        <w:rPr>
          <w:sz w:val="24"/>
        </w:rPr>
        <w:tab/>
      </w:r>
      <w:r>
        <w:rPr>
          <w:rFonts w:ascii="Times New Roman" w:hAnsi="Times New Roman" w:eastAsia="宋体"/>
          <w:sz w:val="24"/>
          <w:szCs w:val="24"/>
        </w:rPr>
        <w:t>1</w:t>
      </w:r>
      <w:r>
        <w:rPr>
          <w:rFonts w:hint="eastAsia" w:ascii="Times New Roman" w:hAnsi="Times New Roman" w:eastAsia="宋体"/>
          <w:sz w:val="24"/>
          <w:szCs w:val="24"/>
          <w:lang w:val="en-US" w:eastAsia="zh-CN"/>
        </w:rPr>
        <w:t>5</w:t>
      </w:r>
    </w:p>
    <w:p>
      <w:pPr>
        <w:pStyle w:val="13"/>
        <w:adjustRightInd w:val="0"/>
        <w:snapToGrid w:val="0"/>
        <w:spacing w:before="0" w:line="440" w:lineRule="exact"/>
        <w:jc w:val="left"/>
        <w:rPr>
          <w:rFonts w:hint="eastAsia" w:eastAsia="宋体"/>
          <w:sz w:val="24"/>
          <w:szCs w:val="24"/>
          <w:lang w:eastAsia="zh-CN"/>
        </w:rPr>
      </w:pPr>
      <w:r>
        <w:rPr>
          <w:rFonts w:hint="eastAsia"/>
          <w:sz w:val="24"/>
        </w:rPr>
        <w:t>第四部分附件</w:t>
      </w:r>
      <w:r>
        <w:rPr>
          <w:sz w:val="24"/>
        </w:rPr>
        <w:tab/>
      </w:r>
      <w:r>
        <w:rPr>
          <w:rFonts w:ascii="Times New Roman" w:hAnsi="Times New Roman" w:eastAsia="宋体"/>
          <w:sz w:val="24"/>
          <w:szCs w:val="24"/>
        </w:rPr>
        <w:t>1</w:t>
      </w:r>
      <w:r>
        <w:rPr>
          <w:rFonts w:hint="eastAsia" w:ascii="Times New Roman" w:hAnsi="Times New Roman" w:eastAsia="宋体"/>
          <w:sz w:val="24"/>
          <w:szCs w:val="24"/>
          <w:lang w:val="en-US" w:eastAsia="zh-CN"/>
        </w:rPr>
        <w:t>7</w:t>
      </w:r>
      <w:bookmarkStart w:id="66" w:name="_GoBack"/>
      <w:bookmarkEnd w:id="66"/>
    </w:p>
    <w:p>
      <w:pPr>
        <w:pStyle w:val="13"/>
        <w:adjustRightInd w:val="0"/>
        <w:snapToGrid w:val="0"/>
        <w:spacing w:before="0" w:line="440" w:lineRule="exact"/>
        <w:jc w:val="left"/>
        <w:rPr>
          <w:sz w:val="24"/>
          <w:szCs w:val="24"/>
        </w:rPr>
      </w:pPr>
      <w:r>
        <w:rPr>
          <w:rFonts w:hint="eastAsia"/>
          <w:sz w:val="24"/>
        </w:rPr>
        <w:t>第五部分附表</w:t>
      </w:r>
      <w:r>
        <w:rPr>
          <w:sz w:val="24"/>
        </w:rPr>
        <w:tab/>
      </w:r>
      <w:r>
        <w:rPr>
          <w:rFonts w:ascii="Times New Roman" w:hAnsi="Times New Roman" w:eastAsia="宋体"/>
          <w:sz w:val="24"/>
          <w:szCs w:val="24"/>
        </w:rPr>
        <w:t>18</w:t>
      </w:r>
    </w:p>
    <w:p>
      <w:pPr>
        <w:pStyle w:val="14"/>
        <w:adjustRightInd w:val="0"/>
        <w:snapToGrid w:val="0"/>
        <w:spacing w:line="440" w:lineRule="exact"/>
        <w:ind w:left="31680"/>
        <w:jc w:val="left"/>
        <w:rPr>
          <w:sz w:val="24"/>
        </w:rPr>
      </w:pPr>
      <w:r>
        <w:rPr>
          <w:rFonts w:hint="eastAsia"/>
          <w:sz w:val="24"/>
        </w:rPr>
        <w:t>一、收入支出决算总表</w:t>
      </w:r>
      <w:r>
        <w:rPr>
          <w:sz w:val="24"/>
        </w:rPr>
        <w:tab/>
      </w:r>
      <w:r>
        <w:rPr>
          <w:sz w:val="24"/>
        </w:rPr>
        <w:t>18</w:t>
      </w:r>
    </w:p>
    <w:p>
      <w:pPr>
        <w:pStyle w:val="14"/>
        <w:adjustRightInd w:val="0"/>
        <w:snapToGrid w:val="0"/>
        <w:spacing w:line="440" w:lineRule="exact"/>
        <w:ind w:left="31680"/>
        <w:jc w:val="left"/>
        <w:rPr>
          <w:sz w:val="24"/>
        </w:rPr>
      </w:pPr>
      <w:r>
        <w:rPr>
          <w:rFonts w:hint="eastAsia"/>
          <w:sz w:val="24"/>
        </w:rPr>
        <w:t>二、收入决算表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三、支出决算表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四、财政拨款收入支出决算总表</w:t>
      </w:r>
      <w:r>
        <w:rPr>
          <w:sz w:val="24"/>
        </w:rPr>
        <w:tab/>
      </w:r>
      <w:r>
        <w:rPr>
          <w:sz w:val="24"/>
        </w:rPr>
        <w:t>18</w:t>
      </w:r>
    </w:p>
    <w:p>
      <w:pPr>
        <w:pStyle w:val="14"/>
        <w:adjustRightInd w:val="0"/>
        <w:snapToGrid w:val="0"/>
        <w:spacing w:line="440" w:lineRule="exact"/>
        <w:ind w:left="31680"/>
        <w:jc w:val="left"/>
        <w:rPr>
          <w:sz w:val="24"/>
        </w:rPr>
      </w:pPr>
      <w:r>
        <w:rPr>
          <w:rFonts w:hint="eastAsia"/>
          <w:sz w:val="24"/>
        </w:rPr>
        <w:t>五、财政拨款支出决算明细表</w:t>
      </w:r>
      <w:r>
        <w:rPr>
          <w:sz w:val="24"/>
        </w:rPr>
        <w:tab/>
      </w:r>
      <w:r>
        <w:rPr>
          <w:sz w:val="24"/>
        </w:rPr>
        <w:t>18</w:t>
      </w:r>
    </w:p>
    <w:p>
      <w:pPr>
        <w:pStyle w:val="14"/>
        <w:adjustRightInd w:val="0"/>
        <w:snapToGrid w:val="0"/>
        <w:spacing w:line="440" w:lineRule="exact"/>
        <w:ind w:left="31680"/>
        <w:jc w:val="left"/>
        <w:rPr>
          <w:sz w:val="24"/>
        </w:rPr>
      </w:pPr>
      <w:r>
        <w:rPr>
          <w:rFonts w:hint="eastAsia"/>
          <w:sz w:val="24"/>
        </w:rPr>
        <w:t>六、一般公共预算财政拨款支出决算表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七、一般公共预算财政拨款支出决算明细表</w:t>
      </w:r>
      <w:r>
        <w:rPr>
          <w:sz w:val="24"/>
        </w:rPr>
        <w:tab/>
      </w:r>
      <w:r>
        <w:rPr>
          <w:sz w:val="24"/>
        </w:rPr>
        <w:t>18</w:t>
      </w:r>
    </w:p>
    <w:p>
      <w:pPr>
        <w:pStyle w:val="14"/>
        <w:adjustRightInd w:val="0"/>
        <w:snapToGrid w:val="0"/>
        <w:spacing w:line="440" w:lineRule="exact"/>
        <w:ind w:left="31680"/>
        <w:jc w:val="left"/>
        <w:rPr>
          <w:sz w:val="24"/>
        </w:rPr>
      </w:pPr>
      <w:r>
        <w:rPr>
          <w:rFonts w:hint="eastAsia"/>
          <w:sz w:val="24"/>
        </w:rPr>
        <w:t>八、一般公共预算财政拨款基本支出决算表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九、一般公共预算财政拨款项目支出决算表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十、一般公共预算财政拨款“三公”经费支出决算表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十一、政府性基金预算财政拨款收入支出决算表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十二、政府性基金预算财政拨款“三公”经费支出决算表</w:t>
      </w:r>
      <w:r>
        <w:rPr>
          <w:sz w:val="24"/>
        </w:rPr>
        <w:tab/>
      </w:r>
      <w:r>
        <w:rPr>
          <w:sz w:val="24"/>
        </w:rPr>
        <w:t>18</w:t>
      </w:r>
    </w:p>
    <w:p>
      <w:pPr>
        <w:pStyle w:val="14"/>
        <w:adjustRightInd w:val="0"/>
        <w:snapToGrid w:val="0"/>
        <w:spacing w:line="440" w:lineRule="exact"/>
        <w:ind w:left="31680"/>
        <w:jc w:val="left"/>
        <w:rPr>
          <w:sz w:val="24"/>
        </w:rPr>
      </w:pPr>
      <w:r>
        <w:rPr>
          <w:rFonts w:hint="eastAsia"/>
          <w:sz w:val="24"/>
        </w:rPr>
        <w:t>十三、国有资本经营预算财政拨款收入支出决算表</w:t>
      </w:r>
      <w:r>
        <w:rPr>
          <w:sz w:val="24"/>
        </w:rPr>
        <w:tab/>
      </w:r>
      <w:r>
        <w:rPr>
          <w:sz w:val="24"/>
        </w:rPr>
        <w:t>18</w:t>
      </w:r>
    </w:p>
    <w:p>
      <w:pPr>
        <w:pStyle w:val="14"/>
        <w:adjustRightInd w:val="0"/>
        <w:snapToGrid w:val="0"/>
        <w:spacing w:line="440" w:lineRule="exact"/>
        <w:ind w:left="31680"/>
        <w:jc w:val="left"/>
        <w:rPr>
          <w:rFonts w:ascii="仿宋" w:hAnsi="仿宋" w:eastAsia="仿宋"/>
          <w:bCs/>
          <w:kern w:val="44"/>
          <w:sz w:val="24"/>
        </w:rPr>
      </w:pPr>
      <w:r>
        <w:rPr>
          <w:rFonts w:hint="eastAsia"/>
          <w:sz w:val="24"/>
        </w:rPr>
        <w:t>十四、国有资本经营预算财政拨款支出决算表</w:t>
      </w:r>
      <w:r>
        <w:rPr>
          <w:sz w:val="24"/>
        </w:rPr>
        <w:tab/>
      </w:r>
      <w:r>
        <w:rPr>
          <w:sz w:val="24"/>
        </w:rPr>
        <w:t>18</w:t>
      </w:r>
    </w:p>
    <w:p>
      <w:pPr>
        <w:pStyle w:val="3"/>
        <w:jc w:val="center"/>
        <w:rPr>
          <w:rFonts w:ascii="黑体" w:hAnsi="黑体" w:eastAsia="黑体"/>
          <w:b w:val="0"/>
        </w:rPr>
      </w:pPr>
    </w:p>
    <w:p>
      <w:pPr>
        <w:pStyle w:val="3"/>
        <w:jc w:val="center"/>
        <w:rPr>
          <w:rFonts w:ascii="黑体" w:hAnsi="黑体" w:eastAsia="黑体"/>
          <w:b w:val="0"/>
        </w:rPr>
      </w:pPr>
    </w:p>
    <w:p>
      <w:pPr>
        <w:pStyle w:val="3"/>
        <w:jc w:val="center"/>
        <w:rPr>
          <w:rFonts w:ascii="黑体" w:hAnsi="黑体" w:eastAsia="黑体"/>
          <w:b w:val="0"/>
        </w:rPr>
      </w:pPr>
    </w:p>
    <w:p>
      <w:pPr>
        <w:pStyle w:val="3"/>
        <w:jc w:val="center"/>
        <w:rPr>
          <w:rFonts w:ascii="黑体" w:hAnsi="黑体" w:eastAsia="黑体"/>
          <w:b w:val="0"/>
        </w:rPr>
      </w:pPr>
    </w:p>
    <w:p>
      <w:pPr>
        <w:pStyle w:val="3"/>
        <w:jc w:val="center"/>
        <w:rPr>
          <w:rFonts w:ascii="黑体" w:hAnsi="黑体" w:eastAsia="黑体"/>
          <w:b w:val="0"/>
        </w:rPr>
      </w:pPr>
    </w:p>
    <w:p>
      <w:pPr>
        <w:pStyle w:val="3"/>
        <w:jc w:val="center"/>
        <w:rPr>
          <w:rFonts w:ascii="黑体" w:hAnsi="黑体" w:eastAsia="黑体"/>
          <w:b w:val="0"/>
        </w:rPr>
      </w:pPr>
    </w:p>
    <w:p>
      <w:pPr>
        <w:pStyle w:val="3"/>
        <w:jc w:val="center"/>
        <w:rPr>
          <w:rFonts w:ascii="黑体" w:hAnsi="黑体" w:eastAsia="黑体"/>
          <w:b w:val="0"/>
        </w:rPr>
      </w:pPr>
    </w:p>
    <w:p>
      <w:pPr>
        <w:pStyle w:val="3"/>
        <w:rPr>
          <w:rFonts w:ascii="黑体" w:hAnsi="黑体" w:eastAsia="黑体"/>
          <w:b w:val="0"/>
        </w:rPr>
      </w:pPr>
    </w:p>
    <w:p/>
    <w:p>
      <w:pPr>
        <w:pStyle w:val="2"/>
        <w:spacing w:before="93"/>
      </w:pPr>
    </w:p>
    <w:p>
      <w:pPr>
        <w:pStyle w:val="2"/>
        <w:spacing w:before="93"/>
      </w:pPr>
    </w:p>
    <w:p>
      <w:pPr>
        <w:pStyle w:val="2"/>
        <w:spacing w:before="93"/>
      </w:pPr>
    </w:p>
    <w:p>
      <w:pPr>
        <w:pStyle w:val="3"/>
        <w:jc w:val="center"/>
        <w:rPr>
          <w:rStyle w:val="22"/>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Fonts w:hint="eastAsia" w:ascii="黑体" w:hAnsi="黑体" w:eastAsia="黑体"/>
          <w:b w:val="0"/>
        </w:rPr>
        <w:t>单位</w:t>
      </w:r>
      <w:r>
        <w:rPr>
          <w:rStyle w:val="22"/>
          <w:rFonts w:hint="eastAsia" w:ascii="黑体" w:hAnsi="黑体" w:eastAsia="黑体"/>
          <w:b w:val="0"/>
          <w:bCs w:val="0"/>
        </w:rPr>
        <w:t>概况</w:t>
      </w:r>
      <w:bookmarkEnd w:id="12"/>
      <w:bookmarkEnd w:id="13"/>
    </w:p>
    <w:p>
      <w:pPr>
        <w:pStyle w:val="4"/>
        <w:numPr>
          <w:ilvl w:val="0"/>
          <w:numId w:val="1"/>
        </w:numPr>
        <w:rPr>
          <w:rStyle w:val="38"/>
          <w:rFonts w:ascii="黑体" w:hAnsi="黑体" w:eastAsia="黑体"/>
          <w:b w:val="0"/>
          <w:bCs w:val="0"/>
        </w:rPr>
      </w:pPr>
      <w:bookmarkStart w:id="14" w:name="_Toc15396600"/>
      <w:bookmarkStart w:id="15" w:name="_Toc15377197"/>
      <w:bookmarkStart w:id="16" w:name="_Toc15377206"/>
      <w:bookmarkStart w:id="17" w:name="_Toc15396604"/>
      <w:bookmarkStart w:id="18" w:name="_Toc15377211"/>
      <w:r>
        <w:rPr>
          <w:rStyle w:val="38"/>
          <w:rFonts w:hint="eastAsia" w:ascii="黑体" w:hAnsi="黑体" w:eastAsia="黑体"/>
          <w:b w:val="0"/>
          <w:bCs w:val="0"/>
        </w:rPr>
        <w:t>职能简介</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负责按照教育主管部门发布的指导性教学计划、</w:t>
      </w:r>
      <w:r>
        <w:rPr>
          <w:rFonts w:ascii="仿宋" w:hAnsi="仿宋" w:eastAsia="仿宋" w:cs="仿宋"/>
          <w:sz w:val="32"/>
          <w:szCs w:val="32"/>
        </w:rPr>
        <w:t xml:space="preserve"> </w:t>
      </w:r>
      <w:r>
        <w:rPr>
          <w:rFonts w:hint="eastAsia" w:ascii="仿宋" w:hAnsi="仿宋" w:eastAsia="仿宋" w:cs="仿宋"/>
          <w:sz w:val="32"/>
          <w:szCs w:val="32"/>
        </w:rPr>
        <w:t>教学大纲，组织实施教育教学活动。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负责学籍管理并对学生实施奖励或处分。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8. </w:t>
      </w:r>
      <w:r>
        <w:rPr>
          <w:rFonts w:hint="eastAsia" w:ascii="仿宋" w:hAnsi="仿宋" w:eastAsia="仿宋" w:cs="仿宋"/>
          <w:sz w:val="32"/>
          <w:szCs w:val="32"/>
        </w:rPr>
        <w:t>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9. </w:t>
      </w:r>
      <w:r>
        <w:rPr>
          <w:rFonts w:hint="eastAsia" w:ascii="仿宋" w:hAnsi="仿宋" w:eastAsia="仿宋" w:cs="仿宋"/>
          <w:sz w:val="32"/>
          <w:szCs w:val="32"/>
        </w:rPr>
        <w:t>负责维护学校、师生的合法权益，有权拒绝任何组织和个人对教育教学活动的非法干扰。</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依法接受各级教育行政部门的检查指导和人民群众的监督。</w:t>
      </w:r>
    </w:p>
    <w:p>
      <w:pPr>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承办上级交办的其他事项。</w:t>
      </w:r>
    </w:p>
    <w:p>
      <w:pPr>
        <w:pStyle w:val="4"/>
        <w:rPr>
          <w:rFonts w:ascii="黑体" w:hAnsi="黑体" w:eastAsia="黑体"/>
          <w:b w:val="0"/>
        </w:rPr>
      </w:pPr>
      <w:r>
        <w:rPr>
          <w:rFonts w:hint="eastAsia" w:ascii="黑体" w:hAnsi="黑体" w:eastAsia="黑体"/>
          <w:b w:val="0"/>
        </w:rPr>
        <w:t>二、</w:t>
      </w:r>
      <w:r>
        <w:rPr>
          <w:rFonts w:ascii="黑体" w:hAnsi="黑体" w:eastAsia="黑体"/>
          <w:b w:val="0"/>
        </w:rPr>
        <w:t>2021</w:t>
      </w:r>
      <w:r>
        <w:rPr>
          <w:rFonts w:hint="eastAsia" w:ascii="黑体" w:hAnsi="黑体" w:eastAsia="黑体"/>
          <w:b w:val="0"/>
        </w:rPr>
        <w:t>年重点工作</w:t>
      </w:r>
      <w:bookmarkEnd w:id="14"/>
      <w:bookmarkEnd w:id="15"/>
      <w:r>
        <w:rPr>
          <w:rFonts w:hint="eastAsia" w:ascii="黑体" w:hAnsi="黑体" w:eastAsia="黑体"/>
          <w:b w:val="0"/>
        </w:rPr>
        <w:t>完成情况</w:t>
      </w:r>
    </w:p>
    <w:p>
      <w:pPr>
        <w:ind w:firstLine="358" w:firstLineChars="112"/>
        <w:rPr>
          <w:rFonts w:ascii="黑体" w:eastAsia="黑体"/>
          <w:sz w:val="32"/>
          <w:szCs w:val="32"/>
        </w:rPr>
      </w:pPr>
      <w:bookmarkStart w:id="19" w:name="_Toc15377204"/>
      <w:bookmarkStart w:id="20" w:name="_Toc15396602"/>
      <w:r>
        <w:rPr>
          <w:rFonts w:hint="eastAsia" w:ascii="楷体_GB2312" w:eastAsia="楷体_GB2312"/>
          <w:sz w:val="32"/>
          <w:szCs w:val="32"/>
        </w:rPr>
        <w:t>（一）做好党建、廉政建设工作</w:t>
      </w:r>
    </w:p>
    <w:p>
      <w:pPr>
        <w:ind w:firstLine="640" w:firstLineChars="200"/>
        <w:rPr>
          <w:rFonts w:eastAsia="仿宋_GB2312"/>
          <w:sz w:val="32"/>
          <w:szCs w:val="32"/>
        </w:rPr>
      </w:pPr>
      <w:r>
        <w:rPr>
          <w:rFonts w:hint="eastAsia" w:ascii="仿宋" w:hAnsi="仿宋" w:eastAsia="仿宋" w:cs="仿宋"/>
          <w:sz w:val="32"/>
          <w:szCs w:val="32"/>
        </w:rPr>
        <w:t>一是尽职履责，全面落实党建责任。</w:t>
      </w:r>
      <w:r>
        <w:rPr>
          <w:rFonts w:hint="eastAsia" w:eastAsia="仿宋_GB2312"/>
          <w:sz w:val="32"/>
          <w:szCs w:val="32"/>
        </w:rPr>
        <w:t>建立了校支部书记为第一责任人、班子其他成员为直接责任人的党建责任体系。与各位党员干部签订了目标责任书，</w:t>
      </w:r>
      <w:r>
        <w:rPr>
          <w:rFonts w:hint="eastAsia" w:eastAsia="仿宋_GB2312"/>
          <w:kern w:val="0"/>
          <w:sz w:val="32"/>
          <w:szCs w:val="32"/>
        </w:rPr>
        <w:t>督促党员干部认真履行党建直接责任人职责。</w:t>
      </w:r>
      <w:r>
        <w:rPr>
          <w:rFonts w:hint="eastAsia" w:ascii="仿宋_GB2312" w:eastAsia="仿宋_GB2312"/>
          <w:sz w:val="32"/>
          <w:szCs w:val="32"/>
        </w:rPr>
        <w:t>二是</w:t>
      </w:r>
      <w:r>
        <w:rPr>
          <w:rFonts w:hint="eastAsia" w:ascii="仿宋" w:hAnsi="仿宋" w:eastAsia="仿宋" w:cs="仿宋"/>
          <w:sz w:val="32"/>
          <w:szCs w:val="32"/>
        </w:rPr>
        <w:t>强化意识，持续加强组织建设，</w:t>
      </w:r>
      <w:r>
        <w:rPr>
          <w:rFonts w:hint="eastAsia" w:eastAsia="仿宋_GB2312"/>
          <w:sz w:val="32"/>
          <w:szCs w:val="32"/>
        </w:rPr>
        <w:t>充分发挥党支部的战斗堡垒作用，把抓好学习作为加强支部思想建设的首要任务。</w:t>
      </w:r>
      <w:r>
        <w:rPr>
          <w:rFonts w:hint="eastAsia" w:ascii="仿宋_GB2312" w:eastAsia="仿宋_GB2312"/>
          <w:sz w:val="32"/>
          <w:szCs w:val="32"/>
        </w:rPr>
        <w:t>认真开展每月的“红色星期五”主题党日活动，</w:t>
      </w:r>
      <w:r>
        <w:rPr>
          <w:rFonts w:hint="eastAsia" w:eastAsia="仿宋_GB2312"/>
          <w:sz w:val="32"/>
          <w:szCs w:val="32"/>
        </w:rPr>
        <w:t>坚持党员干部理论学习经常抓、长期抓。</w:t>
      </w:r>
      <w:r>
        <w:rPr>
          <w:rFonts w:hint="eastAsia" w:ascii="仿宋_GB2312" w:eastAsia="仿宋_GB2312"/>
          <w:sz w:val="32"/>
          <w:szCs w:val="32"/>
        </w:rPr>
        <w:t>结合师德师风，组织好一年一度的师德专项学习活动，进行教师职业道德行为自查，深化教师核心价值观，强化师德师风建设。</w:t>
      </w:r>
      <w:r>
        <w:rPr>
          <w:rFonts w:hint="eastAsia" w:eastAsia="仿宋_GB2312"/>
          <w:sz w:val="32"/>
          <w:szCs w:val="32"/>
        </w:rPr>
        <w:t>三是</w:t>
      </w:r>
      <w:r>
        <w:rPr>
          <w:rFonts w:hint="eastAsia" w:ascii="仿宋" w:hAnsi="仿宋" w:eastAsia="仿宋" w:cs="仿宋"/>
          <w:bCs/>
          <w:sz w:val="32"/>
          <w:szCs w:val="32"/>
        </w:rPr>
        <w:t>正风肃纪，确保学校风清气正。</w:t>
      </w:r>
      <w:r>
        <w:rPr>
          <w:rFonts w:hint="eastAsia" w:ascii="仿宋_GB2312" w:eastAsia="仿宋_GB2312"/>
          <w:sz w:val="32"/>
          <w:szCs w:val="32"/>
        </w:rPr>
        <w:t>始终坚持原则、依法办学、依法治校、依法从教，不断提高廉洁自律的自觉性，</w:t>
      </w:r>
      <w:r>
        <w:rPr>
          <w:rFonts w:hint="eastAsia" w:eastAsia="仿宋_GB2312"/>
          <w:sz w:val="32"/>
          <w:szCs w:val="32"/>
        </w:rPr>
        <w:t>全面实施校务公开和党务公开，</w:t>
      </w:r>
      <w:r>
        <w:rPr>
          <w:rFonts w:hint="eastAsia" w:ascii="仿宋_GB2312" w:eastAsia="仿宋_GB2312"/>
          <w:sz w:val="32"/>
          <w:szCs w:val="32"/>
        </w:rPr>
        <w:t>广泛接受家长及社会监督，为学校教育事业发展营造良好的政治生态环境，努力办好人民满意的教育。</w:t>
      </w:r>
    </w:p>
    <w:p>
      <w:pPr>
        <w:ind w:left="420" w:leftChars="200"/>
        <w:rPr>
          <w:rFonts w:ascii="楷体_GB2312" w:eastAsia="楷体_GB2312"/>
          <w:sz w:val="32"/>
          <w:szCs w:val="32"/>
        </w:rPr>
      </w:pPr>
      <w:r>
        <w:rPr>
          <w:rFonts w:hint="eastAsia" w:ascii="仿宋_GB2312" w:eastAsia="仿宋_GB2312"/>
          <w:sz w:val="32"/>
          <w:szCs w:val="32"/>
        </w:rPr>
        <w:t>（二）扎扎实实搞教学，认认真真抓质量</w:t>
      </w:r>
    </w:p>
    <w:p>
      <w:pPr>
        <w:ind w:firstLine="640" w:firstLineChars="200"/>
        <w:rPr>
          <w:rFonts w:ascii="仿宋_GB2312" w:eastAsia="仿宋_GB2312"/>
          <w:sz w:val="32"/>
          <w:szCs w:val="32"/>
        </w:rPr>
      </w:pPr>
      <w:r>
        <w:rPr>
          <w:rFonts w:hint="eastAsia" w:ascii="仿宋_GB2312" w:eastAsia="仿宋_GB2312"/>
          <w:sz w:val="32"/>
          <w:szCs w:val="32"/>
        </w:rPr>
        <w:t>一是我们多次召开专题会，根据教育局上半年的学业水平检测成绩册认真深入分析全校各班各科学生成绩，提出提高学业成绩指导意见，然后根据上级量化指标讨论制定切实可行的教学质量奖惩措施，并且在绩效考核中严格兑现。二是领导身先士卒，勇挑重担；三是调整个别教师工作岗位；四是加强教学常规管理，严格教学常规检查通报考核，把每次每人检查情况及时通报到工作群里；五是强化教研，向课堂要质量，对评定为不合格的公开课要求再上，直到合格。通过努力成绩排位从</w:t>
      </w:r>
      <w:r>
        <w:rPr>
          <w:rFonts w:ascii="仿宋_GB2312" w:eastAsia="仿宋_GB2312"/>
          <w:sz w:val="32"/>
          <w:szCs w:val="32"/>
        </w:rPr>
        <w:t>9</w:t>
      </w:r>
      <w:r>
        <w:rPr>
          <w:rFonts w:hint="eastAsia" w:ascii="仿宋_GB2312" w:eastAsia="仿宋_GB2312"/>
          <w:sz w:val="32"/>
          <w:szCs w:val="32"/>
        </w:rPr>
        <w:t>上升到第</w:t>
      </w:r>
      <w:r>
        <w:rPr>
          <w:rFonts w:ascii="仿宋_GB2312" w:eastAsia="仿宋_GB2312"/>
          <w:sz w:val="32"/>
          <w:szCs w:val="32"/>
        </w:rPr>
        <w:t>6</w:t>
      </w:r>
      <w:r>
        <w:rPr>
          <w:rFonts w:hint="eastAsia" w:ascii="仿宋_GB2312" w:eastAsia="仿宋_GB2312"/>
          <w:sz w:val="32"/>
          <w:szCs w:val="32"/>
        </w:rPr>
        <w:t>位。</w:t>
      </w:r>
    </w:p>
    <w:p>
      <w:pPr>
        <w:numPr>
          <w:ilvl w:val="0"/>
          <w:numId w:val="2"/>
        </w:numPr>
        <w:ind w:firstLine="640" w:firstLineChars="200"/>
        <w:rPr>
          <w:rFonts w:ascii="仿宋_GB2312" w:eastAsia="仿宋_GB2312"/>
          <w:sz w:val="32"/>
          <w:szCs w:val="32"/>
        </w:rPr>
      </w:pPr>
      <w:r>
        <w:rPr>
          <w:rFonts w:hint="eastAsia" w:ascii="仿宋_GB2312" w:eastAsia="仿宋_GB2312"/>
          <w:sz w:val="32"/>
          <w:szCs w:val="32"/>
        </w:rPr>
        <w:t>五育并举，突出活动育人</w:t>
      </w:r>
    </w:p>
    <w:p>
      <w:pPr>
        <w:ind w:firstLine="640"/>
        <w:rPr>
          <w:rFonts w:ascii="仿宋_GB2312" w:eastAsia="仿宋_GB2312"/>
          <w:sz w:val="32"/>
          <w:szCs w:val="32"/>
        </w:rPr>
      </w:pPr>
      <w:r>
        <w:rPr>
          <w:rFonts w:hint="eastAsia" w:ascii="仿宋_GB2312" w:eastAsia="仿宋_GB2312"/>
          <w:sz w:val="32"/>
          <w:szCs w:val="32"/>
        </w:rPr>
        <w:t>学校在课后延时服务政策出台之前一直坚持每天下午课外活动根据学校实际周一、周二为“阳光体育运动”，周三为“少队爱国主义教育”活动，周四为读书活动</w:t>
      </w:r>
      <w:r>
        <w:rPr>
          <w:rFonts w:ascii="仿宋_GB2312" w:eastAsia="仿宋_GB2312"/>
          <w:sz w:val="32"/>
          <w:szCs w:val="32"/>
        </w:rPr>
        <w:t>,</w:t>
      </w:r>
      <w:r>
        <w:rPr>
          <w:rFonts w:hint="eastAsia" w:ascii="仿宋_GB2312" w:eastAsia="仿宋_GB2312"/>
          <w:sz w:val="32"/>
          <w:szCs w:val="32"/>
        </w:rPr>
        <w:t>现根据课后延时服务相关政策精神，学校已制定好活动课程表（每下午利用两节课时间，内容涵盖劳技、科技、体育、美术活动等，现正进行前期劳技园打造等，下期开始实施）争取通过努力在劳技、科技、足球、书法、戏曲等活动上有所成效。</w:t>
      </w:r>
    </w:p>
    <w:p>
      <w:pPr>
        <w:numPr>
          <w:ilvl w:val="0"/>
          <w:numId w:val="2"/>
        </w:numPr>
        <w:ind w:firstLine="640" w:firstLineChars="200"/>
        <w:rPr>
          <w:rFonts w:ascii="仿宋_GB2312" w:eastAsia="仿宋_GB2312"/>
          <w:sz w:val="32"/>
          <w:szCs w:val="32"/>
        </w:rPr>
      </w:pPr>
      <w:r>
        <w:rPr>
          <w:rFonts w:hint="eastAsia" w:ascii="仿宋_GB2312" w:eastAsia="仿宋_GB2312"/>
          <w:sz w:val="32"/>
          <w:szCs w:val="32"/>
        </w:rPr>
        <w:t>借课题抓内涵</w:t>
      </w:r>
    </w:p>
    <w:p>
      <w:pPr>
        <w:ind w:firstLine="320" w:firstLineChars="100"/>
        <w:rPr>
          <w:rFonts w:ascii="仿宋_GB2312" w:eastAsia="仿宋_GB2312"/>
          <w:sz w:val="32"/>
          <w:szCs w:val="32"/>
        </w:rPr>
      </w:pPr>
      <w:r>
        <w:rPr>
          <w:rFonts w:hint="eastAsia" w:ascii="仿宋_GB2312" w:eastAsia="仿宋_GB2312"/>
          <w:sz w:val="32"/>
          <w:szCs w:val="32"/>
        </w:rPr>
        <w:t>区级课题《</w:t>
      </w:r>
      <w:r>
        <w:rPr>
          <w:rFonts w:hint="eastAsia" w:ascii="仿宋_GB2312" w:hAnsi="仿宋_GB2312" w:eastAsia="仿宋_GB2312" w:cs="仿宋_GB2312"/>
          <w:sz w:val="32"/>
          <w:szCs w:val="32"/>
        </w:rPr>
        <w:t>农村小学班干部“双全”培养研究与实践</w:t>
      </w:r>
      <w:r>
        <w:rPr>
          <w:rFonts w:hint="eastAsia" w:ascii="仿宋_GB2312" w:eastAsia="仿宋_GB2312"/>
          <w:sz w:val="32"/>
          <w:szCs w:val="32"/>
        </w:rPr>
        <w:t>》已立项研究。在通过学生自我教育、自主管理，达到自觉幸福基础上进一步践行“书香校园</w:t>
      </w:r>
      <w:r>
        <w:rPr>
          <w:rFonts w:ascii="仿宋_GB2312" w:eastAsia="仿宋_GB2312"/>
          <w:sz w:val="32"/>
          <w:szCs w:val="32"/>
        </w:rPr>
        <w:t xml:space="preserve"> </w:t>
      </w:r>
      <w:r>
        <w:rPr>
          <w:rFonts w:hint="eastAsia" w:ascii="仿宋_GB2312" w:eastAsia="仿宋_GB2312"/>
          <w:sz w:val="32"/>
          <w:szCs w:val="32"/>
        </w:rPr>
        <w:t>溪润桃李”的办学理念。</w:t>
      </w:r>
    </w:p>
    <w:p>
      <w:pPr>
        <w:numPr>
          <w:ilvl w:val="0"/>
          <w:numId w:val="2"/>
        </w:numPr>
        <w:ind w:firstLine="640" w:firstLineChars="200"/>
        <w:rPr>
          <w:rFonts w:ascii="仿宋_GB2312" w:eastAsia="仿宋_GB2312"/>
          <w:sz w:val="32"/>
          <w:szCs w:val="32"/>
        </w:rPr>
      </w:pPr>
      <w:r>
        <w:rPr>
          <w:rFonts w:hint="eastAsia" w:ascii="仿宋_GB2312" w:eastAsia="仿宋_GB2312"/>
          <w:sz w:val="32"/>
          <w:szCs w:val="32"/>
        </w:rPr>
        <w:t>荣誉成果</w:t>
      </w:r>
    </w:p>
    <w:p>
      <w:pPr>
        <w:ind w:left="420" w:leftChars="200" w:firstLine="640" w:firstLineChars="200"/>
        <w:rPr>
          <w:rFonts w:ascii="仿宋_GB2312" w:eastAsia="仿宋_GB2312"/>
          <w:sz w:val="32"/>
          <w:szCs w:val="32"/>
        </w:rPr>
      </w:pPr>
      <w:r>
        <w:rPr>
          <w:rFonts w:hint="eastAsia" w:ascii="仿宋_GB2312" w:eastAsia="仿宋_GB2312"/>
          <w:sz w:val="32"/>
          <w:szCs w:val="32"/>
        </w:rPr>
        <w:t>学校本年度有</w:t>
      </w:r>
      <w:r>
        <w:rPr>
          <w:rFonts w:ascii="仿宋_GB2312" w:eastAsia="仿宋_GB2312"/>
          <w:sz w:val="32"/>
          <w:szCs w:val="32"/>
        </w:rPr>
        <w:t>9</w:t>
      </w:r>
      <w:r>
        <w:rPr>
          <w:rFonts w:hint="eastAsia" w:ascii="仿宋_GB2312" w:eastAsia="仿宋_GB2312"/>
          <w:sz w:val="32"/>
          <w:szCs w:val="32"/>
        </w:rPr>
        <w:t>人次获得区级及以上奖励，学生</w:t>
      </w:r>
      <w:r>
        <w:rPr>
          <w:rFonts w:ascii="仿宋_GB2312" w:eastAsia="仿宋_GB2312"/>
          <w:sz w:val="32"/>
          <w:szCs w:val="32"/>
        </w:rPr>
        <w:t>11</w:t>
      </w:r>
      <w:r>
        <w:rPr>
          <w:rFonts w:hint="eastAsia" w:ascii="仿宋_GB2312" w:eastAsia="仿宋_GB2312"/>
          <w:sz w:val="32"/>
          <w:szCs w:val="32"/>
        </w:rPr>
        <w:t>余人次获得不同层次奖励。</w:t>
      </w:r>
    </w:p>
    <w:p>
      <w:pPr>
        <w:rPr>
          <w:rFonts w:ascii="黑体" w:hAnsi="黑体" w:eastAsia="黑体"/>
        </w:rPr>
      </w:pPr>
      <w:r>
        <w:rPr>
          <w:rFonts w:ascii="黑体" w:hAnsi="黑体" w:eastAsia="黑体"/>
        </w:rPr>
        <w:br w:type="page"/>
      </w:r>
    </w:p>
    <w:p>
      <w:pPr>
        <w:pStyle w:val="3"/>
        <w:ind w:right="440"/>
        <w:jc w:val="center"/>
        <w:rPr>
          <w:rStyle w:val="22"/>
          <w:rFonts w:ascii="黑体" w:hAnsi="黑体" w:eastAsia="黑体"/>
          <w:b w:val="0"/>
          <w:bCs/>
        </w:rPr>
      </w:pPr>
      <w:r>
        <w:rPr>
          <w:rFonts w:hint="eastAsia" w:ascii="黑体" w:hAnsi="黑体" w:eastAsia="黑体"/>
          <w:b w:val="0"/>
        </w:rPr>
        <w:t>第二部分</w:t>
      </w:r>
      <w:r>
        <w:rPr>
          <w:rFonts w:ascii="黑体" w:hAnsi="黑体" w:eastAsia="黑体"/>
          <w:b w:val="0"/>
        </w:rPr>
        <w:t xml:space="preserve"> 2021</w:t>
      </w:r>
      <w:r>
        <w:rPr>
          <w:rFonts w:hint="eastAsia" w:ascii="黑体" w:hAnsi="黑体" w:eastAsia="黑体"/>
          <w:b w:val="0"/>
        </w:rPr>
        <w:t>年度</w:t>
      </w:r>
      <w:r>
        <w:rPr>
          <w:rStyle w:val="22"/>
          <w:rFonts w:hint="eastAsia" w:ascii="黑体" w:hAnsi="黑体" w:eastAsia="黑体"/>
          <w:b w:val="0"/>
          <w:bCs/>
        </w:rPr>
        <w:t>单位决算情况说明</w:t>
      </w:r>
      <w:bookmarkEnd w:id="19"/>
      <w:bookmarkEnd w:id="20"/>
    </w:p>
    <w:p/>
    <w:p>
      <w:pPr>
        <w:pStyle w:val="37"/>
        <w:numPr>
          <w:ilvl w:val="0"/>
          <w:numId w:val="3"/>
        </w:numPr>
        <w:spacing w:line="600" w:lineRule="exact"/>
        <w:ind w:firstLineChars="0"/>
        <w:outlineLvl w:val="1"/>
        <w:rPr>
          <w:rStyle w:val="38"/>
          <w:rFonts w:ascii="黑体" w:hAnsi="黑体" w:eastAsia="黑体"/>
          <w:b w:val="0"/>
        </w:rPr>
      </w:pPr>
      <w:bookmarkStart w:id="21" w:name="_Toc15377205"/>
      <w:bookmarkStart w:id="22" w:name="_Toc15396603"/>
      <w:r>
        <w:rPr>
          <w:rFonts w:hint="eastAsia" w:ascii="黑体" w:hAnsi="黑体" w:eastAsia="黑体"/>
          <w:sz w:val="32"/>
          <w:szCs w:val="32"/>
        </w:rPr>
        <w:t>收</w:t>
      </w:r>
      <w:r>
        <w:rPr>
          <w:rStyle w:val="38"/>
          <w:rFonts w:hint="eastAsia" w:ascii="黑体" w:hAnsi="黑体" w:eastAsia="黑体"/>
          <w:b w:val="0"/>
        </w:rPr>
        <w:t>入支出决算总体情况说明</w:t>
      </w:r>
      <w:bookmarkEnd w:id="21"/>
      <w:bookmarkEnd w:id="22"/>
    </w:p>
    <w:p>
      <w:pPr>
        <w:spacing w:line="600" w:lineRule="exact"/>
        <w:ind w:firstLine="640" w:firstLineChars="200"/>
        <w:outlineLvl w:val="1"/>
      </w:pPr>
      <w:r>
        <w:rPr>
          <w:rFonts w:ascii="仿宋" w:hAnsi="仿宋" w:eastAsia="仿宋"/>
          <w:sz w:val="32"/>
          <w:szCs w:val="32"/>
        </w:rPr>
        <w:t>2021</w:t>
      </w:r>
      <w:r>
        <w:rPr>
          <w:rFonts w:hint="eastAsia" w:ascii="仿宋" w:hAnsi="仿宋" w:eastAsia="仿宋"/>
          <w:sz w:val="32"/>
          <w:szCs w:val="32"/>
        </w:rPr>
        <w:t>年度收、支总计</w:t>
      </w:r>
      <w:r>
        <w:rPr>
          <w:rFonts w:ascii="仿宋" w:hAnsi="仿宋" w:eastAsia="仿宋"/>
          <w:sz w:val="32"/>
          <w:szCs w:val="32"/>
        </w:rPr>
        <w:t>652.88</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年相比，收、支总计各增加</w:t>
      </w:r>
      <w:r>
        <w:rPr>
          <w:rFonts w:ascii="仿宋" w:hAnsi="仿宋" w:eastAsia="仿宋"/>
          <w:sz w:val="32"/>
          <w:szCs w:val="32"/>
        </w:rPr>
        <w:t>3.08</w:t>
      </w:r>
      <w:r>
        <w:rPr>
          <w:rFonts w:hint="eastAsia" w:ascii="仿宋" w:hAnsi="仿宋" w:eastAsia="仿宋"/>
          <w:sz w:val="32"/>
          <w:szCs w:val="32"/>
        </w:rPr>
        <w:t>万元，增长</w:t>
      </w:r>
      <w:r>
        <w:rPr>
          <w:rFonts w:ascii="仿宋" w:hAnsi="仿宋" w:eastAsia="仿宋"/>
          <w:sz w:val="32"/>
          <w:szCs w:val="32"/>
        </w:rPr>
        <w:t>0.47%</w:t>
      </w:r>
      <w:r>
        <w:rPr>
          <w:rFonts w:hint="eastAsia" w:ascii="仿宋" w:hAnsi="仿宋" w:eastAsia="仿宋"/>
          <w:sz w:val="32"/>
          <w:szCs w:val="32"/>
        </w:rPr>
        <w:t>。主要变动原因是基本支出增加。</w:t>
      </w:r>
    </w:p>
    <w:p>
      <w:pPr>
        <w:pStyle w:val="37"/>
        <w:numPr>
          <w:ilvl w:val="0"/>
          <w:numId w:val="3"/>
        </w:numPr>
        <w:spacing w:line="600" w:lineRule="exact"/>
        <w:ind w:firstLineChars="0"/>
        <w:outlineLvl w:val="1"/>
        <w:rPr>
          <w:rStyle w:val="38"/>
          <w:rFonts w:ascii="黑体" w:hAnsi="黑体" w:eastAsia="黑体"/>
          <w:b w:val="0"/>
        </w:rPr>
      </w:pPr>
      <w:r>
        <w:pict>
          <v:shape id="_x0000_s1026" o:spid="_x0000_s1026" o:spt="75" type="#_x0000_t75" style="position:absolute;left:0pt;margin-left:15.9pt;margin-top:1.3pt;height:161.55pt;width:380.2pt;mso-wrap-distance-bottom:0pt;mso-wrap-distance-top:0pt;z-index:251660288;mso-width-relative:page;mso-height-relative:page;" o:ole="t" filled="f" o:preferrelative="t" stroked="f" coordsize="21600,21600">
            <v:path/>
            <v:fill on="f" focussize="0,0"/>
            <v:stroke on="f" joinstyle="miter"/>
            <v:imagedata r:id="rId7" o:title=""/>
            <o:lock v:ext="edit" aspectratio="t"/>
            <w10:wrap type="topAndBottom"/>
          </v:shape>
          <o:OLEObject Type="Embed" ProgID="Excel.Chart.8" ShapeID="_x0000_s1026" DrawAspect="Content" ObjectID="_1468075725" r:id="rId6">
            <o:LockedField>false</o:LockedField>
          </o:OLEObject>
        </w:pict>
      </w:r>
      <w:r>
        <w:rPr>
          <w:rFonts w:hint="eastAsia" w:ascii="黑体" w:hAnsi="黑体" w:eastAsia="黑体"/>
          <w:sz w:val="32"/>
          <w:szCs w:val="32"/>
        </w:rPr>
        <w:t>收</w:t>
      </w:r>
      <w:r>
        <w:rPr>
          <w:rStyle w:val="38"/>
          <w:rFonts w:hint="eastAsia" w:ascii="黑体" w:hAnsi="黑体" w:eastAsia="黑体"/>
          <w:b w:val="0"/>
        </w:rPr>
        <w:t>入决算情况说明</w:t>
      </w:r>
      <w:bookmarkEnd w:id="16"/>
      <w:bookmarkEnd w:id="1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年本年收入合计</w:t>
      </w:r>
      <w:r>
        <w:rPr>
          <w:rFonts w:ascii="仿宋" w:hAnsi="仿宋" w:eastAsia="仿宋"/>
          <w:sz w:val="32"/>
          <w:szCs w:val="32"/>
        </w:rPr>
        <w:t>652.88</w:t>
      </w:r>
      <w:r>
        <w:rPr>
          <w:rFonts w:hint="eastAsia" w:ascii="仿宋" w:hAnsi="仿宋" w:eastAsia="仿宋"/>
          <w:sz w:val="32"/>
          <w:szCs w:val="32"/>
        </w:rPr>
        <w:t>万元，其中：一般公共预算财政拨款收入</w:t>
      </w:r>
      <w:r>
        <w:rPr>
          <w:rFonts w:ascii="仿宋" w:hAnsi="仿宋" w:eastAsia="仿宋"/>
          <w:sz w:val="32"/>
          <w:szCs w:val="32"/>
        </w:rPr>
        <w:t>652.88</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pPr>
        <w:pStyle w:val="16"/>
        <w:ind w:left="31680" w:firstLine="31680"/>
      </w:pPr>
      <w:r>
        <w:pict>
          <v:shape id="_x0000_s1027" o:spid="_x0000_s1027" o:spt="75" alt="" type="#_x0000_t75" style="position:absolute;left:0pt;margin-left:-3.95pt;margin-top:1.65pt;height:196.45pt;width:434.45pt;mso-wrap-distance-bottom:0pt;mso-wrap-distance-top:0pt;z-index:251661312;mso-width-relative:page;mso-height-relative:page;" o:ole="t" filled="f" o:preferrelative="t" stroked="f" coordsize="21600,21600">
            <v:path/>
            <v:fill on="f" focussize="0,0"/>
            <v:stroke on="f"/>
            <v:imagedata r:id="rId9" o:title=""/>
            <o:lock v:ext="edit" aspectratio="t"/>
            <w10:wrap type="topAndBottom"/>
          </v:shape>
          <o:OLEObject Type="Embed" ProgID="Excel.Chart.8" ShapeID="_x0000_s1027" DrawAspect="Content" ObjectID="_1468075726" r:id="rId8">
            <o:LockedField>false</o:LockedField>
          </o:OLEObject>
        </w:pict>
      </w:r>
    </w:p>
    <w:p>
      <w:pPr>
        <w:pStyle w:val="16"/>
        <w:ind w:left="0" w:leftChars="0" w:firstLine="31680"/>
        <w:rPr>
          <w:rStyle w:val="38"/>
          <w:rFonts w:ascii="黑体" w:hAnsi="黑体" w:eastAsia="黑体"/>
          <w:b w:val="0"/>
        </w:rPr>
      </w:pPr>
      <w:bookmarkStart w:id="23" w:name="_Toc15377207"/>
      <w:bookmarkStart w:id="24" w:name="_Toc15396605"/>
      <w:r>
        <w:rPr>
          <w:rFonts w:hint="eastAsia" w:ascii="黑体" w:hAnsi="黑体" w:eastAsia="黑体"/>
          <w:sz w:val="32"/>
          <w:szCs w:val="32"/>
        </w:rPr>
        <w:t>三、支</w:t>
      </w:r>
      <w:r>
        <w:rPr>
          <w:rStyle w:val="38"/>
          <w:rFonts w:hint="eastAsia" w:ascii="黑体" w:hAnsi="黑体" w:eastAsia="黑体"/>
          <w:b w:val="0"/>
        </w:rPr>
        <w:t>出决算情况说明</w:t>
      </w:r>
      <w:bookmarkEnd w:id="23"/>
      <w:bookmarkEnd w:id="24"/>
    </w:p>
    <w:p>
      <w:pPr>
        <w:spacing w:line="600" w:lineRule="exact"/>
        <w:ind w:firstLine="420" w:firstLineChars="200"/>
        <w:outlineLvl w:val="1"/>
        <w:rPr>
          <w:rFonts w:ascii="仿宋" w:hAnsi="仿宋" w:eastAsia="仿宋"/>
          <w:sz w:val="32"/>
          <w:szCs w:val="32"/>
        </w:rPr>
      </w:pPr>
      <w:r>
        <w:pict>
          <v:shape id="_x0000_s1028" o:spid="_x0000_s1028" o:spt="75" type="#_x0000_t75" style="position:absolute;left:0pt;margin-left:2.5pt;margin-top:69.55pt;height:226.6pt;width:420.5pt;mso-wrap-distance-bottom:0pt;mso-wrap-distance-top:0pt;z-index:251659264;mso-width-relative:page;mso-height-relative:page;" o:ole="t" filled="f" o:preferrelative="t" stroked="f" coordsize="21600,21600">
            <v:path/>
            <v:fill on="f" focussize="0,0"/>
            <v:stroke on="f" joinstyle="miter"/>
            <v:imagedata r:id="rId11" o:title=""/>
            <o:lock v:ext="edit" aspectratio="t"/>
            <w10:wrap type="topAndBottom"/>
          </v:shape>
          <o:OLEObject Type="Embed" ProgID="Excel.Chart.8" ShapeID="_x0000_s1028" DrawAspect="Content" ObjectID="_1468075727" r:id="rId10">
            <o:LockedField>false</o:LockedField>
          </o:OLEObject>
        </w:pict>
      </w:r>
      <w:r>
        <w:rPr>
          <w:rFonts w:ascii="仿宋" w:hAnsi="仿宋" w:eastAsia="仿宋"/>
          <w:sz w:val="32"/>
          <w:szCs w:val="32"/>
        </w:rPr>
        <w:t>2021</w:t>
      </w:r>
      <w:r>
        <w:rPr>
          <w:rFonts w:hint="eastAsia" w:ascii="仿宋" w:hAnsi="仿宋" w:eastAsia="仿宋"/>
          <w:sz w:val="32"/>
          <w:szCs w:val="32"/>
        </w:rPr>
        <w:t>年本年支出合计</w:t>
      </w:r>
      <w:r>
        <w:rPr>
          <w:rFonts w:ascii="仿宋" w:hAnsi="仿宋" w:eastAsia="仿宋"/>
          <w:sz w:val="32"/>
          <w:szCs w:val="32"/>
        </w:rPr>
        <w:t>652.88</w:t>
      </w:r>
      <w:r>
        <w:rPr>
          <w:rFonts w:hint="eastAsia" w:ascii="仿宋" w:hAnsi="仿宋" w:eastAsia="仿宋"/>
          <w:sz w:val="32"/>
          <w:szCs w:val="32"/>
        </w:rPr>
        <w:t>万元，其中：基本支出</w:t>
      </w:r>
      <w:r>
        <w:rPr>
          <w:rFonts w:ascii="仿宋" w:hAnsi="仿宋" w:eastAsia="仿宋"/>
          <w:sz w:val="32"/>
          <w:szCs w:val="32"/>
        </w:rPr>
        <w:t>402.88</w:t>
      </w:r>
      <w:r>
        <w:rPr>
          <w:rFonts w:hint="eastAsia" w:ascii="仿宋" w:hAnsi="仿宋" w:eastAsia="仿宋"/>
          <w:sz w:val="32"/>
          <w:szCs w:val="32"/>
        </w:rPr>
        <w:t>万元，占</w:t>
      </w:r>
      <w:r>
        <w:rPr>
          <w:rFonts w:ascii="仿宋" w:hAnsi="仿宋" w:eastAsia="仿宋"/>
          <w:sz w:val="32"/>
          <w:szCs w:val="32"/>
        </w:rPr>
        <w:t>61.71%</w:t>
      </w:r>
      <w:r>
        <w:rPr>
          <w:rFonts w:hint="eastAsia" w:ascii="仿宋" w:hAnsi="仿宋" w:eastAsia="仿宋"/>
          <w:sz w:val="32"/>
          <w:szCs w:val="32"/>
        </w:rPr>
        <w:t>；项目支出</w:t>
      </w:r>
      <w:r>
        <w:rPr>
          <w:rFonts w:ascii="仿宋" w:hAnsi="仿宋" w:eastAsia="仿宋"/>
          <w:sz w:val="32"/>
          <w:szCs w:val="32"/>
        </w:rPr>
        <w:t>250.</w:t>
      </w:r>
      <w:r>
        <w:rPr>
          <w:rFonts w:hint="eastAsia" w:ascii="仿宋" w:hAnsi="仿宋" w:eastAsia="仿宋"/>
          <w:sz w:val="32"/>
          <w:szCs w:val="32"/>
        </w:rPr>
        <w:t>万元，占</w:t>
      </w:r>
      <w:r>
        <w:rPr>
          <w:rFonts w:ascii="仿宋" w:hAnsi="仿宋" w:eastAsia="仿宋"/>
          <w:sz w:val="32"/>
          <w:szCs w:val="32"/>
        </w:rPr>
        <w:t>38.29%</w:t>
      </w:r>
      <w:r>
        <w:rPr>
          <w:rFonts w:hint="eastAsia" w:ascii="仿宋" w:hAnsi="仿宋" w:eastAsia="仿宋"/>
          <w:sz w:val="32"/>
          <w:szCs w:val="32"/>
        </w:rPr>
        <w:t>。</w:t>
      </w:r>
    </w:p>
    <w:p>
      <w:pPr>
        <w:spacing w:line="600" w:lineRule="exact"/>
        <w:ind w:firstLine="640" w:firstLineChars="200"/>
        <w:outlineLvl w:val="1"/>
        <w:rPr>
          <w:rStyle w:val="38"/>
          <w:rFonts w:ascii="黑体" w:hAnsi="黑体" w:eastAsia="黑体"/>
          <w:b w:val="0"/>
        </w:rPr>
      </w:pPr>
      <w:bookmarkStart w:id="25" w:name="_Toc15377208"/>
      <w:bookmarkStart w:id="26" w:name="_Toc15396606"/>
      <w:r>
        <w:rPr>
          <w:rFonts w:hint="eastAsia" w:ascii="黑体" w:hAnsi="黑体" w:eastAsia="黑体"/>
          <w:sz w:val="32"/>
          <w:szCs w:val="32"/>
        </w:rPr>
        <w:t>四、财</w:t>
      </w:r>
      <w:r>
        <w:rPr>
          <w:rStyle w:val="38"/>
          <w:rFonts w:hint="eastAsia" w:ascii="黑体" w:hAnsi="黑体" w:eastAsia="黑体"/>
          <w:b w:val="0"/>
        </w:rPr>
        <w:t>政拨款收入支出决算总体情况说明</w:t>
      </w:r>
      <w:bookmarkEnd w:id="25"/>
      <w:bookmarkEnd w:id="26"/>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年财政拨款收、支总计</w:t>
      </w:r>
      <w:r>
        <w:rPr>
          <w:rFonts w:ascii="仿宋" w:hAnsi="仿宋" w:eastAsia="仿宋"/>
          <w:sz w:val="32"/>
          <w:szCs w:val="32"/>
        </w:rPr>
        <w:t>652.88</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年相比，财政拨款收、支总计各增加</w:t>
      </w:r>
      <w:r>
        <w:rPr>
          <w:rFonts w:ascii="仿宋" w:hAnsi="仿宋" w:eastAsia="仿宋"/>
          <w:sz w:val="32"/>
          <w:szCs w:val="32"/>
        </w:rPr>
        <w:t>3.08</w:t>
      </w:r>
      <w:r>
        <w:rPr>
          <w:rFonts w:hint="eastAsia" w:ascii="仿宋" w:hAnsi="仿宋" w:eastAsia="仿宋"/>
          <w:sz w:val="32"/>
          <w:szCs w:val="32"/>
        </w:rPr>
        <w:t>万元，增长</w:t>
      </w:r>
      <w:r>
        <w:rPr>
          <w:rFonts w:ascii="仿宋" w:hAnsi="仿宋" w:eastAsia="仿宋"/>
          <w:sz w:val="32"/>
          <w:szCs w:val="32"/>
        </w:rPr>
        <w:t>0.47%</w:t>
      </w:r>
      <w:r>
        <w:rPr>
          <w:rFonts w:hint="eastAsia" w:ascii="仿宋" w:hAnsi="仿宋" w:eastAsia="仿宋"/>
          <w:sz w:val="32"/>
          <w:szCs w:val="32"/>
        </w:rPr>
        <w:t>。主要变动原因是基本支出增加。</w:t>
      </w:r>
    </w:p>
    <w:p>
      <w:pPr>
        <w:pStyle w:val="16"/>
        <w:ind w:left="31680" w:firstLine="31680"/>
      </w:pPr>
      <w:r>
        <w:pict>
          <v:shape id="_x0000_s1029" o:spid="_x0000_s1029" o:spt="75" type="#_x0000_t75" style="position:absolute;left:0pt;margin-left:-0.6pt;margin-top:15.9pt;height:216.1pt;width:380.2pt;mso-wrap-distance-bottom:0pt;mso-wrap-distance-top:0pt;z-index:251662336;mso-width-relative:page;mso-height-relative:page;" o:ole="t" filled="f" o:preferrelative="t" stroked="f" coordsize="21600,21600">
            <v:path/>
            <v:fill on="f" focussize="0,0"/>
            <v:stroke on="f" joinstyle="miter"/>
            <v:imagedata r:id="rId13" o:title=""/>
            <o:lock v:ext="edit" aspectratio="t"/>
            <w10:wrap type="topAndBottom"/>
          </v:shape>
          <o:OLEObject Type="Embed" ProgID="Excel.Chart.8" ShapeID="_x0000_s1029" DrawAspect="Content" ObjectID="_1468075728" r:id="rId12">
            <o:LockedField>false</o:LockedField>
          </o:OLEObject>
        </w:pict>
      </w:r>
    </w:p>
    <w:p>
      <w:pPr>
        <w:spacing w:line="600" w:lineRule="exact"/>
        <w:ind w:firstLine="640" w:firstLineChars="200"/>
        <w:outlineLvl w:val="1"/>
        <w:rPr>
          <w:rStyle w:val="38"/>
          <w:rFonts w:ascii="黑体" w:hAnsi="黑体" w:eastAsia="黑体"/>
          <w:b w:val="0"/>
        </w:rPr>
      </w:pPr>
      <w:bookmarkStart w:id="27" w:name="_Toc15377209"/>
      <w:bookmarkStart w:id="28" w:name="_Toc15396607"/>
      <w:r>
        <w:rPr>
          <w:rFonts w:hint="eastAsia" w:ascii="黑体" w:hAnsi="黑体" w:eastAsia="黑体"/>
          <w:sz w:val="32"/>
          <w:szCs w:val="32"/>
        </w:rPr>
        <w:t>五、</w:t>
      </w:r>
      <w:r>
        <w:rPr>
          <w:rFonts w:hint="eastAsia" w:ascii="黑体" w:hAnsi="黑体" w:eastAsia="黑体"/>
          <w:b/>
          <w:sz w:val="32"/>
          <w:szCs w:val="32"/>
        </w:rPr>
        <w:t>一</w:t>
      </w:r>
      <w:r>
        <w:rPr>
          <w:rStyle w:val="38"/>
          <w:rFonts w:hint="eastAsia" w:ascii="黑体" w:hAnsi="黑体" w:eastAsia="黑体"/>
          <w:b w:val="0"/>
        </w:rPr>
        <w:t>般公共预算财政拨款支出决算情况说明</w:t>
      </w:r>
      <w:bookmarkEnd w:id="27"/>
      <w:bookmarkEnd w:id="28"/>
    </w:p>
    <w:p>
      <w:pPr>
        <w:spacing w:line="600" w:lineRule="exact"/>
        <w:ind w:firstLine="643" w:firstLineChars="200"/>
        <w:outlineLvl w:val="2"/>
        <w:rPr>
          <w:rFonts w:ascii="仿宋" w:hAnsi="仿宋" w:eastAsia="仿宋"/>
          <w:b/>
          <w:sz w:val="32"/>
          <w:szCs w:val="32"/>
        </w:rPr>
      </w:pPr>
      <w:bookmarkStart w:id="29" w:name="_Toc15377210"/>
      <w:r>
        <w:rPr>
          <w:rFonts w:hint="eastAsia" w:ascii="仿宋" w:hAnsi="仿宋" w:eastAsia="仿宋"/>
          <w:b/>
          <w:sz w:val="32"/>
          <w:szCs w:val="32"/>
        </w:rPr>
        <w:t>（一）一般公共预算财政拨款支出决算总体情况</w:t>
      </w:r>
      <w:bookmarkEnd w:id="29"/>
    </w:p>
    <w:p>
      <w:pPr>
        <w:spacing w:line="600" w:lineRule="exact"/>
        <w:ind w:firstLine="64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652.88</w:t>
      </w:r>
      <w:r>
        <w:rPr>
          <w:rFonts w:hint="eastAsia" w:ascii="仿宋" w:hAnsi="仿宋" w:eastAsia="仿宋"/>
          <w:sz w:val="32"/>
          <w:szCs w:val="32"/>
        </w:rPr>
        <w:t>万元，占本年支出合计的</w:t>
      </w:r>
      <w:r>
        <w:rPr>
          <w:rFonts w:ascii="仿宋" w:hAnsi="仿宋" w:eastAsia="仿宋"/>
          <w:sz w:val="32"/>
          <w:szCs w:val="32"/>
        </w:rPr>
        <w:t>100%</w:t>
      </w:r>
      <w:r>
        <w:rPr>
          <w:rFonts w:hint="eastAsia" w:ascii="仿宋" w:hAnsi="仿宋" w:eastAsia="仿宋"/>
          <w:sz w:val="32"/>
          <w:szCs w:val="32"/>
        </w:rPr>
        <w:t>。与</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649.8</w:t>
      </w:r>
      <w:r>
        <w:rPr>
          <w:rFonts w:hint="eastAsia" w:ascii="仿宋" w:hAnsi="仿宋" w:eastAsia="仿宋"/>
          <w:sz w:val="32"/>
          <w:szCs w:val="32"/>
        </w:rPr>
        <w:t>万元相比，一般公共预算财政拨款支出增加</w:t>
      </w:r>
      <w:r>
        <w:rPr>
          <w:rFonts w:ascii="仿宋" w:hAnsi="仿宋" w:eastAsia="仿宋"/>
          <w:sz w:val="32"/>
          <w:szCs w:val="32"/>
        </w:rPr>
        <w:t>3.08</w:t>
      </w:r>
      <w:r>
        <w:rPr>
          <w:rFonts w:hint="eastAsia" w:ascii="仿宋" w:hAnsi="仿宋" w:eastAsia="仿宋"/>
          <w:sz w:val="32"/>
          <w:szCs w:val="32"/>
        </w:rPr>
        <w:t>万元，增长</w:t>
      </w:r>
      <w:r>
        <w:rPr>
          <w:rFonts w:ascii="仿宋" w:hAnsi="仿宋" w:eastAsia="仿宋"/>
          <w:sz w:val="32"/>
          <w:szCs w:val="32"/>
        </w:rPr>
        <w:t>0.47%</w:t>
      </w:r>
      <w:r>
        <w:rPr>
          <w:rFonts w:hint="eastAsia" w:ascii="仿宋" w:hAnsi="仿宋" w:eastAsia="仿宋"/>
          <w:sz w:val="32"/>
          <w:szCs w:val="32"/>
        </w:rPr>
        <w:t>。主要变动原因是基本支出增加。</w:t>
      </w:r>
    </w:p>
    <w:p>
      <w:pPr>
        <w:spacing w:line="600" w:lineRule="exact"/>
        <w:ind w:firstLine="420" w:firstLineChars="200"/>
        <w:outlineLvl w:val="2"/>
        <w:rPr>
          <w:rFonts w:ascii="仿宋" w:hAnsi="仿宋" w:eastAsia="仿宋"/>
          <w:b/>
          <w:sz w:val="32"/>
          <w:szCs w:val="32"/>
        </w:rPr>
      </w:pPr>
      <w:r>
        <w:pict>
          <v:shape id="_x0000_s1030" o:spid="_x0000_s1030" o:spt="75" type="#_x0000_t75" style="position:absolute;left:0pt;margin-left:-0.6pt;margin-top:8.8pt;height:188.65pt;width:400.6pt;mso-wrap-distance-bottom:0.1pt;mso-wrap-distance-top:0pt;z-index:251662336;mso-width-relative:page;mso-height-relative:page;" o:ole="t" filled="f" o:preferrelative="t" stroked="f" coordsize="21600,21600">
            <v:path/>
            <v:fill on="f" focussize="0,0"/>
            <v:stroke on="f" joinstyle="miter"/>
            <v:imagedata r:id="rId15" o:title=""/>
            <o:lock v:ext="edit" aspectratio="t"/>
            <w10:wrap type="topAndBottom"/>
          </v:shape>
          <o:OLEObject Type="Embed" ProgID="Excel.Chart.8" ShapeID="_x0000_s1030" DrawAspect="Content" ObjectID="_1468075729" r:id="rId14">
            <o:LockedField>false</o:LockedField>
          </o:OLEObject>
        </w:pict>
      </w:r>
      <w:r>
        <w:rPr>
          <w:rFonts w:hint="eastAsia" w:ascii="仿宋" w:hAnsi="仿宋" w:eastAsia="仿宋"/>
          <w:b/>
          <w:sz w:val="32"/>
          <w:szCs w:val="32"/>
        </w:rPr>
        <w:t>（二）一般公共预算财政拨款支出决算结构情况</w:t>
      </w:r>
      <w:bookmarkEnd w:id="18"/>
    </w:p>
    <w:p>
      <w:pPr>
        <w:spacing w:line="600" w:lineRule="exact"/>
        <w:ind w:firstLine="640"/>
        <w:rPr>
          <w:rFonts w:ascii="仿宋" w:hAnsi="仿宋" w:eastAsia="仿宋"/>
          <w:sz w:val="32"/>
          <w:szCs w:val="32"/>
        </w:rPr>
      </w:pPr>
      <w:r>
        <w:pict>
          <v:shape id="_x0000_s1031" o:spid="_x0000_s1031" o:spt="75" alt="" type="#_x0000_t75" style="position:absolute;left:0pt;margin-left:3.9pt;margin-top:92.85pt;height:179.65pt;width:399.35pt;mso-wrap-distance-bottom:0pt;mso-wrap-distance-top:0pt;z-index:251663360;mso-width-relative:page;mso-height-relative:page;" o:ole="t" filled="f" o:preferrelative="t" stroked="t" coordsize="21600,21600">
            <v:path/>
            <v:fill on="f" focussize="0,0"/>
            <v:stroke color="#000000" joinstyle="miter"/>
            <v:imagedata r:id="rId17" o:title=""/>
            <o:lock v:ext="edit" aspectratio="t"/>
            <w10:wrap type="topAndBottom"/>
          </v:shape>
          <o:OLEObject Type="Embed" ProgID="Excel.Chart.8" ShapeID="_x0000_s1031" DrawAspect="Content" ObjectID="_1468075730" r:id="rId16">
            <o:LockedField>false</o:LockedField>
          </o:OLEObject>
        </w:pict>
      </w: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652.88</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ascii="仿宋" w:hAnsi="仿宋" w:eastAsia="仿宋"/>
          <w:sz w:val="32"/>
          <w:szCs w:val="32"/>
        </w:rPr>
        <w:t>646.47</w:t>
      </w:r>
      <w:r>
        <w:rPr>
          <w:rFonts w:hint="eastAsia" w:ascii="仿宋" w:hAnsi="仿宋" w:eastAsia="仿宋"/>
          <w:sz w:val="32"/>
          <w:szCs w:val="32"/>
        </w:rPr>
        <w:t>万元，占</w:t>
      </w:r>
      <w:r>
        <w:rPr>
          <w:rFonts w:ascii="仿宋" w:hAnsi="仿宋" w:eastAsia="仿宋"/>
          <w:sz w:val="32"/>
          <w:szCs w:val="32"/>
        </w:rPr>
        <w:t>99.02%</w:t>
      </w:r>
      <w:r>
        <w:rPr>
          <w:rFonts w:hint="eastAsia" w:ascii="仿宋" w:hAnsi="仿宋" w:eastAsia="仿宋"/>
          <w:sz w:val="32"/>
          <w:szCs w:val="32"/>
        </w:rPr>
        <w:t>。</w:t>
      </w:r>
      <w:r>
        <w:rPr>
          <w:rFonts w:hint="eastAsia" w:ascii="仿宋" w:hAnsi="仿宋" w:eastAsia="仿宋"/>
          <w:b/>
          <w:sz w:val="32"/>
          <w:szCs w:val="32"/>
        </w:rPr>
        <w:t>社会保障和就业支出（类）</w:t>
      </w:r>
      <w:r>
        <w:rPr>
          <w:rFonts w:ascii="仿宋" w:hAnsi="仿宋" w:eastAsia="仿宋"/>
          <w:sz w:val="32"/>
          <w:szCs w:val="32"/>
        </w:rPr>
        <w:t>6.41</w:t>
      </w:r>
      <w:r>
        <w:rPr>
          <w:rFonts w:hint="eastAsia" w:ascii="仿宋" w:hAnsi="仿宋" w:eastAsia="仿宋"/>
          <w:sz w:val="32"/>
          <w:szCs w:val="32"/>
        </w:rPr>
        <w:t>万元，占</w:t>
      </w:r>
      <w:r>
        <w:rPr>
          <w:rFonts w:ascii="仿宋" w:hAnsi="仿宋" w:eastAsia="仿宋"/>
          <w:sz w:val="32"/>
          <w:szCs w:val="32"/>
        </w:rPr>
        <w:t>0.98%</w:t>
      </w:r>
      <w:r>
        <w:rPr>
          <w:rFonts w:hint="eastAsia" w:ascii="仿宋" w:hAnsi="仿宋" w:eastAsia="仿宋"/>
          <w:sz w:val="32"/>
          <w:szCs w:val="32"/>
        </w:rPr>
        <w:t>。</w:t>
      </w:r>
    </w:p>
    <w:p>
      <w:pPr>
        <w:spacing w:line="600" w:lineRule="exact"/>
        <w:rPr>
          <w:rFonts w:ascii="仿宋" w:hAnsi="仿宋" w:eastAsia="仿宋"/>
          <w:sz w:val="32"/>
          <w:szCs w:val="32"/>
        </w:rPr>
      </w:pPr>
    </w:p>
    <w:p>
      <w:pPr>
        <w:spacing w:line="600" w:lineRule="exact"/>
        <w:ind w:firstLine="640"/>
        <w:rPr>
          <w:rFonts w:ascii="仿宋" w:hAnsi="仿宋" w:eastAsia="仿宋"/>
          <w:sz w:val="32"/>
          <w:szCs w:val="32"/>
        </w:rPr>
      </w:pPr>
    </w:p>
    <w:p>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444"/>
      <w:bookmarkStart w:id="33" w:name="_Toc15377213"/>
      <w:r>
        <w:rPr>
          <w:rFonts w:ascii="仿宋" w:hAnsi="仿宋" w:eastAsia="仿宋"/>
          <w:b/>
          <w:sz w:val="32"/>
          <w:szCs w:val="32"/>
        </w:rPr>
        <w:t>2021</w:t>
      </w:r>
      <w:r>
        <w:rPr>
          <w:rFonts w:hint="eastAsia" w:ascii="仿宋" w:hAnsi="仿宋" w:eastAsia="仿宋"/>
          <w:b/>
          <w:sz w:val="32"/>
          <w:szCs w:val="32"/>
        </w:rPr>
        <w:t>年一般公共预算支出决算数为</w:t>
      </w:r>
      <w:r>
        <w:rPr>
          <w:rFonts w:ascii="仿宋" w:hAnsi="仿宋" w:eastAsia="仿宋"/>
          <w:b/>
          <w:sz w:val="32"/>
          <w:szCs w:val="32"/>
        </w:rPr>
        <w:t>652.88</w:t>
      </w:r>
      <w:r>
        <w:rPr>
          <w:rFonts w:hint="eastAsia" w:ascii="仿宋" w:hAnsi="仿宋" w:eastAsia="仿宋"/>
          <w:b/>
          <w:sz w:val="32"/>
          <w:szCs w:val="32"/>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ascii="仿宋" w:hAnsi="仿宋" w:eastAsia="仿宋"/>
          <w:bCs/>
          <w:sz w:val="32"/>
          <w:szCs w:val="32"/>
        </w:rPr>
        <w:t>100%</w:t>
      </w:r>
      <w:r>
        <w:rPr>
          <w:rStyle w:val="19"/>
          <w:rFonts w:hint="eastAsia" w:ascii="仿宋" w:hAnsi="仿宋" w:eastAsia="仿宋"/>
          <w:bCs/>
          <w:sz w:val="32"/>
          <w:szCs w:val="32"/>
        </w:rPr>
        <w:t>。其中：</w:t>
      </w:r>
      <w:bookmarkEnd w:id="31"/>
      <w:bookmarkEnd w:id="32"/>
      <w:bookmarkEnd w:id="33"/>
    </w:p>
    <w:p>
      <w:pPr>
        <w:spacing w:line="600" w:lineRule="exact"/>
        <w:ind w:firstLine="643" w:firstLineChars="200"/>
        <w:rPr>
          <w:rStyle w:val="19"/>
          <w:rFonts w:ascii="仿宋" w:hAnsi="仿宋" w:eastAsia="仿宋"/>
          <w:b w:val="0"/>
          <w:bCs/>
          <w:sz w:val="32"/>
          <w:szCs w:val="32"/>
        </w:rPr>
      </w:pPr>
      <w:r>
        <w:rPr>
          <w:rStyle w:val="19"/>
          <w:rFonts w:ascii="仿宋" w:hAnsi="仿宋" w:eastAsia="仿宋"/>
          <w:bCs/>
          <w:sz w:val="32"/>
          <w:szCs w:val="32"/>
        </w:rPr>
        <w:t>1.</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（类）普通教育</w:t>
      </w:r>
      <w:r>
        <w:rPr>
          <w:rStyle w:val="19"/>
          <w:rFonts w:ascii="仿宋" w:hAnsi="仿宋" w:eastAsia="仿宋"/>
          <w:bCs/>
          <w:sz w:val="32"/>
          <w:szCs w:val="32"/>
        </w:rPr>
        <w:t>02</w:t>
      </w:r>
      <w:r>
        <w:rPr>
          <w:rStyle w:val="19"/>
          <w:rFonts w:hint="eastAsia" w:ascii="仿宋" w:hAnsi="仿宋" w:eastAsia="仿宋"/>
          <w:bCs/>
          <w:sz w:val="32"/>
          <w:szCs w:val="32"/>
        </w:rPr>
        <w:t>（款）小学教育</w:t>
      </w:r>
      <w:r>
        <w:rPr>
          <w:rStyle w:val="19"/>
          <w:rFonts w:ascii="仿宋" w:hAnsi="仿宋" w:eastAsia="仿宋"/>
          <w:bCs/>
          <w:sz w:val="32"/>
          <w:szCs w:val="32"/>
        </w:rPr>
        <w:t>02</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396.47</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pPr>
        <w:spacing w:line="600" w:lineRule="exact"/>
        <w:ind w:firstLine="643" w:firstLineChars="200"/>
        <w:rPr>
          <w:rFonts w:ascii="仿宋" w:hAnsi="仿宋" w:eastAsia="仿宋"/>
          <w:bCs/>
          <w:sz w:val="32"/>
          <w:szCs w:val="32"/>
        </w:rPr>
      </w:pPr>
      <w:r>
        <w:rPr>
          <w:rStyle w:val="19"/>
          <w:rFonts w:ascii="仿宋" w:hAnsi="仿宋" w:eastAsia="仿宋"/>
          <w:bCs/>
          <w:color w:val="000000"/>
          <w:sz w:val="32"/>
          <w:szCs w:val="32"/>
        </w:rPr>
        <w:t>2.</w:t>
      </w:r>
      <w:r>
        <w:rPr>
          <w:rStyle w:val="19"/>
          <w:rFonts w:hint="eastAsia" w:ascii="仿宋" w:hAnsi="仿宋" w:eastAsia="仿宋"/>
          <w:bCs/>
          <w:color w:val="000000"/>
          <w:sz w:val="32"/>
          <w:szCs w:val="32"/>
        </w:rPr>
        <w:t>教育</w:t>
      </w:r>
      <w:r>
        <w:rPr>
          <w:rStyle w:val="19"/>
          <w:rFonts w:ascii="仿宋" w:hAnsi="仿宋" w:eastAsia="仿宋"/>
          <w:bCs/>
          <w:color w:val="000000"/>
          <w:sz w:val="32"/>
          <w:szCs w:val="32"/>
        </w:rPr>
        <w:t>205</w:t>
      </w:r>
      <w:r>
        <w:rPr>
          <w:rStyle w:val="19"/>
          <w:rFonts w:hint="eastAsia" w:ascii="仿宋" w:hAnsi="仿宋" w:eastAsia="仿宋"/>
          <w:bCs/>
          <w:color w:val="000000"/>
          <w:sz w:val="32"/>
          <w:szCs w:val="32"/>
        </w:rPr>
        <w:t>（类）</w:t>
      </w:r>
      <w:r>
        <w:rPr>
          <w:rStyle w:val="19"/>
          <w:rFonts w:ascii="仿宋" w:hAnsi="仿宋" w:eastAsia="仿宋"/>
          <w:bCs/>
          <w:color w:val="000000"/>
          <w:sz w:val="32"/>
          <w:szCs w:val="32"/>
        </w:rPr>
        <w:t>02</w:t>
      </w:r>
      <w:r>
        <w:rPr>
          <w:rStyle w:val="19"/>
          <w:rFonts w:hint="eastAsia" w:ascii="仿宋" w:hAnsi="仿宋" w:eastAsia="仿宋"/>
          <w:bCs/>
          <w:color w:val="000000"/>
          <w:sz w:val="32"/>
          <w:szCs w:val="32"/>
        </w:rPr>
        <w:t>（款）</w:t>
      </w:r>
      <w:r>
        <w:rPr>
          <w:rStyle w:val="19"/>
          <w:rFonts w:ascii="仿宋" w:hAnsi="仿宋" w:eastAsia="仿宋"/>
          <w:bCs/>
          <w:color w:val="000000"/>
          <w:sz w:val="32"/>
          <w:szCs w:val="32"/>
        </w:rPr>
        <w:t>99</w:t>
      </w:r>
      <w:r>
        <w:rPr>
          <w:rStyle w:val="19"/>
          <w:rFonts w:hint="eastAsia" w:ascii="仿宋" w:hAnsi="仿宋" w:eastAsia="仿宋"/>
          <w:bCs/>
          <w:color w:val="000000"/>
          <w:sz w:val="32"/>
          <w:szCs w:val="32"/>
        </w:rPr>
        <w:t>（项）</w:t>
      </w:r>
      <w:r>
        <w:rPr>
          <w:rStyle w:val="19"/>
          <w:rFonts w:ascii="仿宋" w:hAnsi="仿宋" w:eastAsia="仿宋"/>
          <w:bCs/>
          <w:color w:val="000000"/>
          <w:sz w:val="32"/>
          <w:szCs w:val="32"/>
        </w:rPr>
        <w:t>:</w:t>
      </w:r>
      <w:r>
        <w:rPr>
          <w:rStyle w:val="19"/>
          <w:rFonts w:hint="eastAsia" w:ascii="仿宋" w:hAnsi="仿宋" w:eastAsia="仿宋"/>
          <w:b w:val="0"/>
          <w:bCs/>
          <w:color w:val="000000"/>
          <w:sz w:val="32"/>
          <w:szCs w:val="32"/>
        </w:rPr>
        <w:t>支出决算为</w:t>
      </w:r>
      <w:r>
        <w:rPr>
          <w:rStyle w:val="19"/>
          <w:rFonts w:ascii="仿宋" w:hAnsi="仿宋" w:eastAsia="仿宋"/>
          <w:b w:val="0"/>
          <w:bCs/>
          <w:color w:val="000000"/>
          <w:sz w:val="32"/>
          <w:szCs w:val="32"/>
        </w:rPr>
        <w:t>250.00</w:t>
      </w:r>
      <w:r>
        <w:rPr>
          <w:rStyle w:val="19"/>
          <w:rFonts w:hint="eastAsia" w:ascii="仿宋" w:hAnsi="仿宋" w:eastAsia="仿宋"/>
          <w:b w:val="0"/>
          <w:bCs/>
          <w:color w:val="000000"/>
          <w:sz w:val="32"/>
          <w:szCs w:val="32"/>
        </w:rPr>
        <w:t>万元，完成预算</w:t>
      </w:r>
      <w:r>
        <w:rPr>
          <w:rStyle w:val="19"/>
          <w:rFonts w:ascii="仿宋" w:hAnsi="仿宋" w:eastAsia="仿宋"/>
          <w:b w:val="0"/>
          <w:bCs/>
          <w:color w:val="000000"/>
          <w:sz w:val="32"/>
          <w:szCs w:val="32"/>
        </w:rPr>
        <w:t>100%</w:t>
      </w:r>
      <w:r>
        <w:rPr>
          <w:rStyle w:val="19"/>
          <w:rFonts w:hint="eastAsia" w:ascii="仿宋" w:hAnsi="仿宋" w:eastAsia="仿宋"/>
          <w:b w:val="0"/>
          <w:bCs/>
          <w:color w:val="000000"/>
          <w:sz w:val="32"/>
          <w:szCs w:val="32"/>
        </w:rPr>
        <w:t>，</w:t>
      </w:r>
      <w:r>
        <w:rPr>
          <w:rStyle w:val="19"/>
          <w:rFonts w:hint="eastAsia" w:ascii="仿宋" w:hAnsi="仿宋" w:eastAsia="仿宋"/>
          <w:b w:val="0"/>
          <w:bCs/>
          <w:sz w:val="32"/>
          <w:szCs w:val="32"/>
        </w:rPr>
        <w:t>决算数等于预算数。</w:t>
      </w:r>
    </w:p>
    <w:p>
      <w:pPr>
        <w:spacing w:line="600" w:lineRule="exact"/>
        <w:ind w:firstLine="643" w:firstLineChars="200"/>
        <w:rPr>
          <w:rFonts w:ascii="仿宋" w:hAnsi="仿宋" w:eastAsia="仿宋"/>
          <w:bCs/>
          <w:sz w:val="32"/>
          <w:szCs w:val="32"/>
        </w:rPr>
      </w:pPr>
      <w:r>
        <w:rPr>
          <w:rStyle w:val="19"/>
          <w:rFonts w:ascii="仿宋" w:hAnsi="仿宋" w:eastAsia="仿宋"/>
          <w:bCs/>
          <w:color w:val="000000"/>
          <w:sz w:val="32"/>
          <w:szCs w:val="32"/>
        </w:rPr>
        <w:t>3.</w:t>
      </w:r>
      <w:r>
        <w:rPr>
          <w:rStyle w:val="19"/>
          <w:rFonts w:hint="eastAsia" w:ascii="仿宋" w:hAnsi="仿宋" w:eastAsia="仿宋"/>
          <w:bCs/>
          <w:color w:val="000000"/>
          <w:sz w:val="32"/>
          <w:szCs w:val="32"/>
        </w:rPr>
        <w:t>社会保障和就业</w:t>
      </w:r>
      <w:r>
        <w:rPr>
          <w:rStyle w:val="19"/>
          <w:rFonts w:ascii="仿宋" w:hAnsi="仿宋" w:eastAsia="仿宋"/>
          <w:bCs/>
          <w:color w:val="000000"/>
          <w:sz w:val="32"/>
          <w:szCs w:val="32"/>
        </w:rPr>
        <w:t>208</w:t>
      </w:r>
      <w:r>
        <w:rPr>
          <w:rStyle w:val="19"/>
          <w:rFonts w:hint="eastAsia" w:ascii="仿宋" w:hAnsi="仿宋" w:eastAsia="仿宋"/>
          <w:bCs/>
          <w:color w:val="000000"/>
          <w:sz w:val="32"/>
          <w:szCs w:val="32"/>
        </w:rPr>
        <w:t>（类）</w:t>
      </w:r>
      <w:r>
        <w:rPr>
          <w:rStyle w:val="19"/>
          <w:rFonts w:ascii="仿宋" w:hAnsi="仿宋" w:eastAsia="仿宋"/>
          <w:bCs/>
          <w:color w:val="000000"/>
          <w:sz w:val="32"/>
          <w:szCs w:val="32"/>
        </w:rPr>
        <w:t>08</w:t>
      </w:r>
      <w:r>
        <w:rPr>
          <w:rStyle w:val="19"/>
          <w:rFonts w:hint="eastAsia" w:ascii="仿宋" w:hAnsi="仿宋" w:eastAsia="仿宋"/>
          <w:bCs/>
          <w:color w:val="000000"/>
          <w:sz w:val="32"/>
          <w:szCs w:val="32"/>
        </w:rPr>
        <w:t>（款）</w:t>
      </w:r>
      <w:r>
        <w:rPr>
          <w:rStyle w:val="19"/>
          <w:rFonts w:ascii="仿宋" w:hAnsi="仿宋" w:eastAsia="仿宋"/>
          <w:bCs/>
          <w:color w:val="000000"/>
          <w:sz w:val="32"/>
          <w:szCs w:val="32"/>
        </w:rPr>
        <w:t>01</w:t>
      </w:r>
      <w:r>
        <w:rPr>
          <w:rStyle w:val="19"/>
          <w:rFonts w:hint="eastAsia" w:ascii="仿宋" w:hAnsi="仿宋" w:eastAsia="仿宋"/>
          <w:bCs/>
          <w:color w:val="000000"/>
          <w:sz w:val="32"/>
          <w:szCs w:val="32"/>
        </w:rPr>
        <w:t>（项）</w:t>
      </w:r>
      <w:r>
        <w:rPr>
          <w:rStyle w:val="19"/>
          <w:rFonts w:ascii="仿宋" w:hAnsi="仿宋" w:eastAsia="仿宋"/>
          <w:bCs/>
          <w:color w:val="000000"/>
          <w:sz w:val="32"/>
          <w:szCs w:val="32"/>
        </w:rPr>
        <w:t>:</w:t>
      </w:r>
      <w:r>
        <w:rPr>
          <w:rStyle w:val="19"/>
          <w:rFonts w:hint="eastAsia" w:ascii="仿宋" w:hAnsi="仿宋" w:eastAsia="仿宋"/>
          <w:b w:val="0"/>
          <w:bCs/>
          <w:color w:val="000000"/>
          <w:sz w:val="32"/>
          <w:szCs w:val="32"/>
        </w:rPr>
        <w:t>支出决算为</w:t>
      </w:r>
      <w:r>
        <w:rPr>
          <w:rStyle w:val="19"/>
          <w:rFonts w:ascii="仿宋" w:hAnsi="仿宋" w:eastAsia="仿宋"/>
          <w:b w:val="0"/>
          <w:bCs/>
          <w:color w:val="000000"/>
          <w:sz w:val="32"/>
          <w:szCs w:val="32"/>
        </w:rPr>
        <w:t>6.41</w:t>
      </w:r>
      <w:r>
        <w:rPr>
          <w:rStyle w:val="19"/>
          <w:rFonts w:hint="eastAsia" w:ascii="仿宋" w:hAnsi="仿宋" w:eastAsia="仿宋"/>
          <w:b w:val="0"/>
          <w:bCs/>
          <w:color w:val="000000"/>
          <w:sz w:val="32"/>
          <w:szCs w:val="32"/>
        </w:rPr>
        <w:t>万元，完成预算</w:t>
      </w:r>
      <w:r>
        <w:rPr>
          <w:rStyle w:val="19"/>
          <w:rFonts w:ascii="仿宋" w:hAnsi="仿宋" w:eastAsia="仿宋"/>
          <w:b w:val="0"/>
          <w:bCs/>
          <w:color w:val="000000"/>
          <w:sz w:val="32"/>
          <w:szCs w:val="32"/>
        </w:rPr>
        <w:t>100%</w:t>
      </w:r>
      <w:r>
        <w:rPr>
          <w:rStyle w:val="19"/>
          <w:rFonts w:hint="eastAsia" w:ascii="仿宋" w:hAnsi="仿宋" w:eastAsia="仿宋"/>
          <w:b w:val="0"/>
          <w:bCs/>
          <w:color w:val="000000"/>
          <w:sz w:val="32"/>
          <w:szCs w:val="32"/>
        </w:rPr>
        <w:t>，</w:t>
      </w:r>
      <w:r>
        <w:rPr>
          <w:rStyle w:val="19"/>
          <w:rFonts w:hint="eastAsia" w:ascii="仿宋" w:hAnsi="仿宋" w:eastAsia="仿宋"/>
          <w:b w:val="0"/>
          <w:bCs/>
          <w:sz w:val="32"/>
          <w:szCs w:val="32"/>
        </w:rPr>
        <w:t>决算数等于预算数。</w:t>
      </w:r>
    </w:p>
    <w:p>
      <w:pPr>
        <w:tabs>
          <w:tab w:val="right" w:pos="8306"/>
        </w:tabs>
        <w:spacing w:line="600" w:lineRule="exact"/>
        <w:ind w:firstLine="640"/>
        <w:outlineLvl w:val="1"/>
        <w:rPr>
          <w:rStyle w:val="3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8"/>
          <w:rFonts w:hint="eastAsia" w:ascii="黑体" w:hAnsi="黑体" w:eastAsia="黑体"/>
          <w:b w:val="0"/>
        </w:rPr>
        <w:t>般公共预算财政拨款基本支出决算情况说明</w:t>
      </w:r>
      <w:bookmarkEnd w:id="34"/>
      <w:bookmarkEnd w:id="35"/>
      <w:r>
        <w:rPr>
          <w:rStyle w:val="38"/>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年一般公共预算财政拨款基本支出</w:t>
      </w:r>
      <w:r>
        <w:rPr>
          <w:rFonts w:ascii="仿宋" w:hAnsi="仿宋" w:eastAsia="仿宋"/>
          <w:sz w:val="32"/>
          <w:szCs w:val="32"/>
        </w:rPr>
        <w:t>402.88</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396.47</w:t>
      </w:r>
      <w:r>
        <w:rPr>
          <w:rFonts w:hint="eastAsia" w:ascii="仿宋" w:hAnsi="仿宋" w:eastAsia="仿宋"/>
          <w:sz w:val="32"/>
          <w:szCs w:val="32"/>
        </w:rPr>
        <w:t>万元，主要包括：基本工资、津贴补贴、绩效工资、机关事业单位基本养老保险缴费、职业年金缴费、职工基本医疗保险缴费、其他社会保障缴费、其他工资福利支出、抚恤金、生活补助、助学金、奖励金、住房公积金。</w:t>
      </w:r>
    </w:p>
    <w:p>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ascii="仿宋" w:hAnsi="仿宋" w:eastAsia="仿宋"/>
          <w:sz w:val="32"/>
          <w:szCs w:val="32"/>
        </w:rPr>
        <w:t>58.81</w:t>
      </w:r>
      <w:r>
        <w:rPr>
          <w:rFonts w:hint="eastAsia" w:ascii="仿宋" w:hAnsi="仿宋" w:eastAsia="仿宋"/>
          <w:sz w:val="32"/>
          <w:szCs w:val="32"/>
        </w:rPr>
        <w:t>万元，主要包括：办公费、印刷费、手续费、水费、电费、邮电费、差旅费、维修（护）费、培训费、公务接待费、工会经费等。</w:t>
      </w:r>
    </w:p>
    <w:p>
      <w:pPr>
        <w:spacing w:line="600" w:lineRule="exact"/>
        <w:ind w:firstLine="640"/>
        <w:outlineLvl w:val="1"/>
        <w:rPr>
          <w:rStyle w:val="38"/>
          <w:rFonts w:ascii="黑体" w:hAnsi="黑体" w:eastAsia="黑体"/>
          <w:b w:val="0"/>
        </w:rPr>
      </w:pPr>
      <w:bookmarkStart w:id="36" w:name="_Toc15396609"/>
      <w:bookmarkStart w:id="37" w:name="_Toc15377215"/>
      <w:r>
        <w:rPr>
          <w:rFonts w:hint="eastAsia" w:ascii="黑体" w:eastAsia="黑体"/>
          <w:sz w:val="32"/>
          <w:szCs w:val="32"/>
        </w:rPr>
        <w:t>七、</w:t>
      </w:r>
      <w:r>
        <w:rPr>
          <w:rStyle w:val="38"/>
          <w:rFonts w:hint="eastAsia" w:ascii="黑体" w:hAnsi="黑体" w:eastAsia="黑体"/>
        </w:rPr>
        <w:t>“</w:t>
      </w:r>
      <w:r>
        <w:rPr>
          <w:rStyle w:val="38"/>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年“三公”经费财政拨款支出决算为</w:t>
      </w:r>
      <w:r>
        <w:rPr>
          <w:rFonts w:ascii="仿宋" w:hAnsi="仿宋" w:eastAsia="仿宋"/>
          <w:sz w:val="32"/>
          <w:szCs w:val="32"/>
        </w:rPr>
        <w:t>0.48</w:t>
      </w:r>
      <w:r>
        <w:rPr>
          <w:rFonts w:hint="eastAsia" w:ascii="仿宋" w:hAnsi="仿宋" w:eastAsia="仿宋"/>
          <w:sz w:val="32"/>
          <w:szCs w:val="32"/>
        </w:rPr>
        <w:t>万元，完成预算</w:t>
      </w:r>
      <w:r>
        <w:rPr>
          <w:rFonts w:ascii="仿宋" w:hAnsi="仿宋" w:eastAsia="仿宋"/>
          <w:sz w:val="32"/>
          <w:szCs w:val="32"/>
        </w:rPr>
        <w:t>94.12%</w:t>
      </w:r>
      <w:r>
        <w:rPr>
          <w:rFonts w:hint="eastAsia" w:ascii="仿宋" w:hAnsi="仿宋" w:eastAsia="仿宋"/>
          <w:sz w:val="32"/>
          <w:szCs w:val="32"/>
        </w:rPr>
        <w:t>，决算数小于预算数的主要原因是</w:t>
      </w:r>
      <w:r>
        <w:rPr>
          <w:rFonts w:hint="eastAsia" w:ascii="仿宋" w:hAnsi="仿宋" w:eastAsia="仿宋"/>
          <w:color w:val="000000"/>
          <w:sz w:val="32"/>
          <w:szCs w:val="32"/>
        </w:rPr>
        <w:t>认真贯彻落实中央八项规定精神，采取有效措施严格控制接待范围和接待标准。</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firstLineChars="20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公务用车购置及运行维护费支出决算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公务接待费支出决算</w:t>
      </w:r>
      <w:r>
        <w:rPr>
          <w:rFonts w:ascii="仿宋" w:hAnsi="仿宋" w:eastAsia="仿宋"/>
          <w:sz w:val="32"/>
          <w:szCs w:val="32"/>
        </w:rPr>
        <w:t>0.48</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。具体情况如下：</w:t>
      </w:r>
    </w:p>
    <w:p>
      <w:pPr>
        <w:spacing w:line="600" w:lineRule="exact"/>
        <w:ind w:firstLine="640"/>
        <w:rPr>
          <w:rFonts w:ascii="仿宋_GB2312" w:eastAsia="仿宋_GB2312" w:cs="仿宋_GB2312"/>
          <w:b/>
          <w:sz w:val="32"/>
          <w:szCs w:val="32"/>
        </w:rPr>
      </w:pPr>
      <w:r>
        <w:pict>
          <v:shape id="_x0000_s1032" o:spid="_x0000_s1032" o:spt="75" type="#_x0000_t75" style="position:absolute;left:0pt;margin-left:-0.85pt;margin-top:18.6pt;height:218.9pt;width:401.3pt;mso-wrap-distance-bottom:0pt;mso-wrap-distance-top:0pt;z-index:251664384;mso-width-relative:page;mso-height-relative:page;" o:ole="t" filled="f" o:preferrelative="t" stroked="f" coordsize="21600,21600">
            <v:path/>
            <v:fill on="f" focussize="0,0"/>
            <v:stroke on="f" joinstyle="miter"/>
            <v:imagedata r:id="rId19" o:title=""/>
            <o:lock v:ext="edit" aspectratio="t"/>
            <w10:wrap type="topAndBottom"/>
          </v:shape>
          <o:OLEObject Type="Embed" ProgID="Excel.Chart.8" ShapeID="_x0000_s1032" DrawAspect="Content" ObjectID="_1468075731" r:id="rId18">
            <o:LockedField>false</o:LockedField>
          </o:OLEObject>
        </w:pict>
      </w:r>
      <w:r>
        <w:rPr>
          <w:rFonts w:ascii="仿宋_GB2312" w:eastAsia="仿宋_GB2312" w:cs="仿宋_GB2312"/>
          <w:b/>
          <w:color w:val="000000"/>
          <w:sz w:val="32"/>
          <w:szCs w:val="32"/>
        </w:rPr>
        <w:t>1.</w:t>
      </w:r>
      <w:r>
        <w:rPr>
          <w:rFonts w:hint="eastAsia" w:ascii="仿宋_GB2312" w:eastAsia="仿宋_GB2312" w:cs="仿宋_GB2312"/>
          <w:b/>
          <w:color w:val="000000"/>
          <w:sz w:val="32"/>
          <w:szCs w:val="32"/>
        </w:rPr>
        <w:t>因公出国（境）经费支出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w:t>
      </w:r>
      <w:r>
        <w:rPr>
          <w:rStyle w:val="19"/>
          <w:rFonts w:hint="eastAsia" w:ascii="仿宋" w:hAnsi="仿宋" w:eastAsia="仿宋" w:cs="仿宋"/>
          <w:b w:val="0"/>
          <w:bCs/>
          <w:sz w:val="32"/>
          <w:szCs w:val="32"/>
        </w:rPr>
        <w:t>年初未安排预算，与上年数持平。</w:t>
      </w:r>
    </w:p>
    <w:p>
      <w:pPr>
        <w:spacing w:line="600" w:lineRule="exact"/>
        <w:ind w:firstLine="640"/>
        <w:rPr>
          <w:rFonts w:ascii="仿宋_GB2312" w:eastAsia="仿宋_GB2312" w:cs="仿宋_GB2312"/>
          <w:b/>
          <w:sz w:val="32"/>
          <w:szCs w:val="32"/>
        </w:rPr>
      </w:pPr>
      <w:r>
        <w:rPr>
          <w:rFonts w:ascii="仿宋_GB2312" w:eastAsia="仿宋_GB2312" w:cs="仿宋_GB2312"/>
          <w:b/>
          <w:sz w:val="32"/>
          <w:szCs w:val="32"/>
        </w:rPr>
        <w:t>2.</w:t>
      </w:r>
      <w:r>
        <w:rPr>
          <w:rFonts w:hint="eastAsia" w:ascii="仿宋_GB2312" w:eastAsia="仿宋_GB2312" w:cs="仿宋_GB2312"/>
          <w:b/>
          <w:sz w:val="32"/>
          <w:szCs w:val="32"/>
        </w:rPr>
        <w:t>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Style w:val="19"/>
          <w:rFonts w:hint="eastAsia" w:ascii="仿宋" w:hAnsi="仿宋" w:eastAsia="仿宋" w:cs="仿宋"/>
          <w:b w:val="0"/>
          <w:bCs/>
          <w:sz w:val="32"/>
          <w:szCs w:val="32"/>
        </w:rPr>
        <w:t>年初未安排预算，与上年数持平。</w:t>
      </w:r>
    </w:p>
    <w:p>
      <w:pPr>
        <w:spacing w:line="600" w:lineRule="exact"/>
        <w:ind w:firstLine="643" w:firstLineChars="200"/>
        <w:rPr>
          <w:rFonts w:ascii="仿宋_GB2312" w:eastAsia="仿宋_GB2312" w:cs="仿宋_GB2312"/>
          <w:bCs/>
          <w:color w:val="000000"/>
          <w:sz w:val="32"/>
          <w:szCs w:val="32"/>
        </w:rPr>
      </w:pPr>
      <w:r>
        <w:rPr>
          <w:rFonts w:hint="eastAsia" w:ascii="仿宋_GB2312" w:eastAsia="仿宋_GB2312" w:cs="仿宋_GB2312"/>
          <w:b/>
          <w:bCs/>
          <w:color w:val="000000"/>
          <w:sz w:val="32"/>
          <w:szCs w:val="32"/>
        </w:rPr>
        <w:t>其中：</w:t>
      </w:r>
      <w:r>
        <w:rPr>
          <w:rFonts w:hint="eastAsia" w:ascii="仿宋_GB2312" w:eastAsia="仿宋_GB2312" w:cs="仿宋_GB2312"/>
          <w:b/>
          <w:color w:val="000000"/>
          <w:sz w:val="32"/>
          <w:szCs w:val="32"/>
        </w:rPr>
        <w:t>公务用车购置支出</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万元。全年按规定更新购置公务用车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r>
        <w:rPr>
          <w:rFonts w:hint="eastAsia" w:ascii="仿宋_GB2312" w:eastAsia="仿宋_GB2312" w:cs="仿宋_GB2312"/>
          <w:color w:val="000000"/>
          <w:sz w:val="32"/>
          <w:szCs w:val="32"/>
        </w:rPr>
        <w:t>主要原因是我单位未购置公务用车。</w:t>
      </w:r>
      <w:r>
        <w:rPr>
          <w:rFonts w:hint="eastAsia" w:ascii="仿宋_GB2312" w:eastAsia="仿宋_GB2312" w:cs="仿宋_GB2312"/>
          <w:bCs/>
          <w:color w:val="000000"/>
          <w:sz w:val="32"/>
          <w:szCs w:val="32"/>
        </w:rPr>
        <w:t>截止</w:t>
      </w:r>
      <w:r>
        <w:rPr>
          <w:rFonts w:ascii="仿宋_GB2312" w:eastAsia="仿宋_GB2312" w:cs="仿宋_GB2312"/>
          <w:bCs/>
          <w:color w:val="000000"/>
          <w:sz w:val="32"/>
          <w:szCs w:val="32"/>
        </w:rPr>
        <w:t>2021</w:t>
      </w:r>
      <w:r>
        <w:rPr>
          <w:rFonts w:hint="eastAsia" w:ascii="仿宋_GB2312" w:eastAsia="仿宋_GB2312" w:cs="仿宋_GB2312"/>
          <w:bCs/>
          <w:color w:val="000000"/>
          <w:sz w:val="32"/>
          <w:szCs w:val="32"/>
        </w:rPr>
        <w:t>年</w:t>
      </w:r>
      <w:r>
        <w:rPr>
          <w:rFonts w:ascii="仿宋_GB2312" w:eastAsia="仿宋_GB2312" w:cs="仿宋_GB2312"/>
          <w:bCs/>
          <w:color w:val="000000"/>
          <w:sz w:val="32"/>
          <w:szCs w:val="32"/>
        </w:rPr>
        <w:t>12</w:t>
      </w:r>
      <w:r>
        <w:rPr>
          <w:rFonts w:hint="eastAsia" w:ascii="仿宋_GB2312" w:eastAsia="仿宋_GB2312" w:cs="仿宋_GB2312"/>
          <w:bCs/>
          <w:color w:val="000000"/>
          <w:sz w:val="32"/>
          <w:szCs w:val="32"/>
        </w:rPr>
        <w:t>月底，单位共有公务用车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p>
    <w:p>
      <w:pPr>
        <w:spacing w:line="600" w:lineRule="exact"/>
        <w:ind w:firstLine="643" w:firstLineChars="200"/>
      </w:pPr>
      <w:r>
        <w:rPr>
          <w:rFonts w:hint="eastAsia" w:ascii="仿宋_GB2312" w:eastAsia="仿宋_GB2312" w:cs="仿宋_GB2312"/>
          <w:b/>
          <w:color w:val="000000"/>
          <w:sz w:val="32"/>
          <w:szCs w:val="32"/>
        </w:rPr>
        <w:t>公务用车运行维护费支出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万元。主要原因是我单位无公务用车。</w:t>
      </w:r>
    </w:p>
    <w:p>
      <w:pPr>
        <w:spacing w:line="600" w:lineRule="exact"/>
        <w:ind w:firstLine="640"/>
        <w:rPr>
          <w:rFonts w:eastAsia="仿宋"/>
          <w:sz w:val="32"/>
          <w:szCs w:val="32"/>
        </w:rPr>
      </w:pPr>
      <w:r>
        <w:rPr>
          <w:rFonts w:ascii="仿宋_GB2312" w:eastAsia="仿宋_GB2312"/>
          <w:b/>
          <w:sz w:val="32"/>
          <w:szCs w:val="32"/>
        </w:rPr>
        <w:t>3.</w:t>
      </w:r>
      <w:r>
        <w:rPr>
          <w:rFonts w:hint="eastAsia" w:eastAsia="仿宋"/>
          <w:b/>
          <w:sz w:val="32"/>
          <w:szCs w:val="32"/>
        </w:rPr>
        <w:t>公务接待费支出</w:t>
      </w:r>
      <w:r>
        <w:rPr>
          <w:rFonts w:ascii="仿宋" w:hAnsi="仿宋" w:eastAsia="仿宋"/>
          <w:sz w:val="32"/>
          <w:szCs w:val="32"/>
        </w:rPr>
        <w:t>0.48</w:t>
      </w:r>
      <w:r>
        <w:rPr>
          <w:rFonts w:hint="eastAsia" w:ascii="仿宋" w:hAnsi="仿宋" w:eastAsia="仿宋"/>
          <w:sz w:val="32"/>
          <w:szCs w:val="32"/>
        </w:rPr>
        <w:t>万元，完成预算</w:t>
      </w:r>
      <w:r>
        <w:rPr>
          <w:rFonts w:ascii="仿宋" w:hAnsi="仿宋" w:eastAsia="仿宋"/>
          <w:sz w:val="32"/>
          <w:szCs w:val="32"/>
        </w:rPr>
        <w:t>94.12%</w:t>
      </w:r>
      <w:r>
        <w:rPr>
          <w:rFonts w:hint="eastAsia" w:eastAsia="仿宋"/>
          <w:sz w:val="32"/>
          <w:szCs w:val="32"/>
        </w:rPr>
        <w:t>。公务接待费支出决算</w:t>
      </w:r>
      <w:r>
        <w:rPr>
          <w:rFonts w:hint="eastAsia" w:ascii="仿宋_GB2312" w:eastAsia="仿宋_GB2312"/>
          <w:sz w:val="32"/>
          <w:szCs w:val="32"/>
        </w:rPr>
        <w:t>与</w:t>
      </w:r>
      <w:r>
        <w:rPr>
          <w:rFonts w:ascii="仿宋_GB2312" w:eastAsia="仿宋_GB2312"/>
          <w:sz w:val="32"/>
          <w:szCs w:val="32"/>
        </w:rPr>
        <w:t>2020</w:t>
      </w:r>
      <w:r>
        <w:rPr>
          <w:rFonts w:hint="eastAsia" w:ascii="仿宋_GB2312" w:eastAsia="仿宋_GB2312"/>
          <w:sz w:val="32"/>
          <w:szCs w:val="32"/>
        </w:rPr>
        <w:t>年减少</w:t>
      </w:r>
      <w:r>
        <w:rPr>
          <w:rFonts w:ascii="仿宋_GB2312" w:eastAsia="仿宋_GB2312"/>
          <w:sz w:val="32"/>
          <w:szCs w:val="32"/>
        </w:rPr>
        <w:t>0.02</w:t>
      </w:r>
      <w:r>
        <w:rPr>
          <w:rFonts w:hint="eastAsia" w:ascii="仿宋_GB2312" w:eastAsia="仿宋_GB2312"/>
          <w:sz w:val="32"/>
          <w:szCs w:val="32"/>
        </w:rPr>
        <w:t>万元</w:t>
      </w:r>
      <w:r>
        <w:rPr>
          <w:rFonts w:hint="eastAsia" w:eastAsia="仿宋"/>
          <w:sz w:val="32"/>
          <w:szCs w:val="32"/>
        </w:rPr>
        <w:t>。主要原因是</w:t>
      </w:r>
      <w:r>
        <w:rPr>
          <w:rFonts w:hint="eastAsia" w:ascii="仿宋" w:hAnsi="仿宋" w:eastAsia="仿宋"/>
          <w:sz w:val="32"/>
          <w:szCs w:val="32"/>
        </w:rPr>
        <w:t>认真</w:t>
      </w:r>
      <w:r>
        <w:rPr>
          <w:rFonts w:hint="eastAsia" w:ascii="仿宋" w:hAnsi="仿宋" w:eastAsia="仿宋"/>
          <w:color w:val="000000"/>
          <w:sz w:val="32"/>
          <w:szCs w:val="32"/>
        </w:rPr>
        <w:t>贯彻落实中央八项规定精神，采取有效措施严格控制接待范围和接待标准。</w:t>
      </w:r>
      <w:r>
        <w:rPr>
          <w:rFonts w:hint="eastAsia" w:eastAsia="仿宋"/>
          <w:sz w:val="32"/>
          <w:szCs w:val="32"/>
        </w:rPr>
        <w:t>其中：</w:t>
      </w:r>
    </w:p>
    <w:p>
      <w:pPr>
        <w:spacing w:line="600" w:lineRule="exact"/>
        <w:ind w:firstLine="640"/>
        <w:rPr>
          <w:rFonts w:eastAsia="仿宋"/>
          <w:sz w:val="32"/>
          <w:szCs w:val="32"/>
        </w:rPr>
      </w:pPr>
      <w:r>
        <w:rPr>
          <w:rFonts w:hint="eastAsia" w:eastAsia="仿宋"/>
          <w:b/>
          <w:bCs/>
          <w:sz w:val="32"/>
          <w:szCs w:val="32"/>
        </w:rPr>
        <w:t>国内公务接待支出</w:t>
      </w:r>
      <w:r>
        <w:rPr>
          <w:rFonts w:eastAsia="仿宋"/>
          <w:sz w:val="32"/>
          <w:szCs w:val="32"/>
        </w:rPr>
        <w:t>0.48</w:t>
      </w:r>
      <w:r>
        <w:rPr>
          <w:rFonts w:hint="eastAsia" w:eastAsia="仿宋"/>
          <w:sz w:val="32"/>
          <w:szCs w:val="32"/>
        </w:rPr>
        <w:t>万元，主要用于接待上级来访、</w:t>
      </w:r>
      <w:r>
        <w:rPr>
          <w:rFonts w:hint="eastAsia" w:ascii="仿宋_GB2312" w:eastAsia="仿宋_GB2312"/>
          <w:color w:val="000000"/>
          <w:sz w:val="32"/>
          <w:szCs w:val="32"/>
        </w:rPr>
        <w:t>教育教学活动交流、</w:t>
      </w:r>
      <w:r>
        <w:rPr>
          <w:rFonts w:hint="eastAsia" w:ascii="仿宋_GB2312" w:eastAsia="仿宋_GB2312"/>
          <w:sz w:val="32"/>
          <w:szCs w:val="32"/>
        </w:rPr>
        <w:t>学生活动费及运动会学生用餐、交通费、体检费等</w:t>
      </w:r>
      <w:r>
        <w:rPr>
          <w:rFonts w:hint="eastAsia" w:eastAsia="仿宋"/>
          <w:sz w:val="32"/>
          <w:szCs w:val="32"/>
        </w:rPr>
        <w:t>。国内公务接待</w:t>
      </w:r>
      <w:r>
        <w:rPr>
          <w:rFonts w:eastAsia="仿宋"/>
          <w:sz w:val="32"/>
          <w:szCs w:val="32"/>
        </w:rPr>
        <w:t>24</w:t>
      </w:r>
      <w:r>
        <w:rPr>
          <w:rFonts w:hint="eastAsia" w:eastAsia="仿宋"/>
          <w:sz w:val="32"/>
          <w:szCs w:val="32"/>
        </w:rPr>
        <w:t>批次，</w:t>
      </w:r>
      <w:r>
        <w:rPr>
          <w:rFonts w:eastAsia="仿宋"/>
          <w:sz w:val="32"/>
          <w:szCs w:val="32"/>
        </w:rPr>
        <w:t>81</w:t>
      </w:r>
      <w:r>
        <w:rPr>
          <w:rFonts w:hint="eastAsia" w:eastAsia="仿宋"/>
          <w:sz w:val="32"/>
          <w:szCs w:val="32"/>
        </w:rPr>
        <w:t>人次（不包括陪同人员），共计支出</w:t>
      </w:r>
      <w:r>
        <w:rPr>
          <w:rFonts w:eastAsia="仿宋"/>
          <w:sz w:val="32"/>
          <w:szCs w:val="32"/>
        </w:rPr>
        <w:t>0.48</w:t>
      </w:r>
      <w:r>
        <w:rPr>
          <w:rFonts w:hint="eastAsia" w:eastAsia="仿宋"/>
          <w:sz w:val="32"/>
          <w:szCs w:val="32"/>
        </w:rPr>
        <w:t>万元，具体内容包括接待上级来访</w:t>
      </w:r>
      <w:r>
        <w:rPr>
          <w:rFonts w:eastAsia="仿宋"/>
          <w:sz w:val="32"/>
          <w:szCs w:val="32"/>
        </w:rPr>
        <w:t>0.2</w:t>
      </w:r>
      <w:r>
        <w:rPr>
          <w:rFonts w:hint="eastAsia" w:eastAsia="仿宋"/>
          <w:sz w:val="32"/>
          <w:szCs w:val="32"/>
        </w:rPr>
        <w:t>万元、</w:t>
      </w:r>
      <w:r>
        <w:rPr>
          <w:rFonts w:hint="eastAsia" w:ascii="仿宋_GB2312" w:eastAsia="仿宋_GB2312"/>
          <w:color w:val="000000"/>
          <w:sz w:val="32"/>
          <w:szCs w:val="32"/>
        </w:rPr>
        <w:t>教育教学活动交流</w:t>
      </w:r>
      <w:r>
        <w:rPr>
          <w:rFonts w:ascii="仿宋_GB2312" w:eastAsia="仿宋_GB2312"/>
          <w:color w:val="000000"/>
          <w:sz w:val="32"/>
          <w:szCs w:val="32"/>
        </w:rPr>
        <w:t>0.1</w:t>
      </w:r>
      <w:r>
        <w:rPr>
          <w:rFonts w:hint="eastAsia" w:ascii="仿宋_GB2312" w:eastAsia="仿宋_GB2312"/>
          <w:color w:val="000000"/>
          <w:sz w:val="32"/>
          <w:szCs w:val="32"/>
        </w:rPr>
        <w:t>万元、</w:t>
      </w:r>
      <w:r>
        <w:rPr>
          <w:rFonts w:hint="eastAsia" w:ascii="仿宋_GB2312" w:eastAsia="仿宋_GB2312"/>
          <w:sz w:val="32"/>
          <w:szCs w:val="32"/>
        </w:rPr>
        <w:t>学生活动费及运动会学生用餐、交通费、体检费等</w:t>
      </w:r>
      <w:r>
        <w:rPr>
          <w:rFonts w:ascii="仿宋_GB2312" w:eastAsia="仿宋_GB2312"/>
          <w:sz w:val="32"/>
          <w:szCs w:val="32"/>
        </w:rPr>
        <w:t>0.18</w:t>
      </w:r>
      <w:r>
        <w:rPr>
          <w:rFonts w:hint="eastAsia" w:ascii="仿宋_GB2312" w:eastAsia="仿宋_GB2312"/>
          <w:sz w:val="32"/>
          <w:szCs w:val="32"/>
        </w:rPr>
        <w:t>万元。</w:t>
      </w:r>
    </w:p>
    <w:p>
      <w:pPr>
        <w:spacing w:line="600" w:lineRule="exact"/>
        <w:ind w:firstLine="640" w:firstLineChars="200"/>
        <w:rPr>
          <w:rFonts w:eastAsia="仿宋"/>
          <w:sz w:val="32"/>
          <w:szCs w:val="32"/>
        </w:rPr>
      </w:pPr>
      <w:r>
        <w:rPr>
          <w:rFonts w:hint="eastAsia" w:eastAsia="仿宋"/>
          <w:sz w:val="32"/>
          <w:szCs w:val="32"/>
        </w:rPr>
        <w:t>外事接待支出</w:t>
      </w:r>
      <w:r>
        <w:rPr>
          <w:rFonts w:ascii="仿宋" w:hAnsi="仿宋" w:eastAsia="仿宋"/>
          <w:sz w:val="32"/>
          <w:szCs w:val="32"/>
        </w:rPr>
        <w:t>0</w:t>
      </w:r>
      <w:r>
        <w:rPr>
          <w:rFonts w:hint="eastAsia" w:ascii="仿宋_GB2312" w:eastAsia="仿宋_GB2312"/>
          <w:sz w:val="32"/>
          <w:szCs w:val="32"/>
        </w:rPr>
        <w:t>万元，外事接待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人，共计支出</w:t>
      </w:r>
      <w:r>
        <w:rPr>
          <w:rFonts w:ascii="仿宋_GB2312" w:eastAsia="仿宋_GB2312"/>
          <w:sz w:val="32"/>
          <w:szCs w:val="32"/>
        </w:rPr>
        <w:t>0</w:t>
      </w:r>
      <w:r>
        <w:rPr>
          <w:rFonts w:hint="eastAsia" w:ascii="仿宋_GB2312" w:eastAsia="仿宋_GB2312"/>
          <w:sz w:val="32"/>
          <w:szCs w:val="32"/>
        </w:rPr>
        <w:t>万元。</w:t>
      </w:r>
      <w:r>
        <w:rPr>
          <w:rFonts w:hint="eastAsia" w:eastAsia="仿宋"/>
          <w:sz w:val="32"/>
          <w:szCs w:val="32"/>
        </w:rPr>
        <w:t>外事接待支出</w:t>
      </w:r>
      <w:r>
        <w:rPr>
          <w:rFonts w:hint="eastAsia" w:ascii="仿宋_GB2312" w:eastAsia="仿宋_GB2312" w:cs="仿宋_GB2312"/>
          <w:color w:val="000000"/>
          <w:sz w:val="32"/>
          <w:szCs w:val="32"/>
        </w:rPr>
        <w:t>决算与</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年持平</w:t>
      </w:r>
      <w:r>
        <w:rPr>
          <w:rFonts w:hint="eastAsia" w:eastAsia="仿宋"/>
          <w:sz w:val="32"/>
          <w:szCs w:val="32"/>
        </w:rPr>
        <w:t>。</w:t>
      </w:r>
    </w:p>
    <w:p>
      <w:pPr>
        <w:spacing w:line="600" w:lineRule="exact"/>
        <w:outlineLvl w:val="1"/>
        <w:rPr>
          <w:rFonts w:ascii="黑体" w:eastAsia="黑体"/>
          <w:sz w:val="32"/>
          <w:szCs w:val="32"/>
        </w:rPr>
      </w:pPr>
      <w:bookmarkStart w:id="40" w:name="_Toc15377218"/>
      <w:bookmarkStart w:id="41" w:name="_Toc15396610"/>
    </w:p>
    <w:p>
      <w:pPr>
        <w:spacing w:line="600" w:lineRule="exact"/>
        <w:ind w:firstLine="640"/>
        <w:outlineLvl w:val="1"/>
        <w:rPr>
          <w:rStyle w:val="38"/>
          <w:rFonts w:ascii="黑体" w:hAnsi="黑体" w:eastAsia="黑体"/>
        </w:rPr>
      </w:pPr>
      <w:r>
        <w:rPr>
          <w:rFonts w:hint="eastAsia" w:ascii="黑体" w:eastAsia="黑体"/>
          <w:sz w:val="32"/>
          <w:szCs w:val="32"/>
        </w:rPr>
        <w:t>八、</w:t>
      </w:r>
      <w:r>
        <w:rPr>
          <w:rStyle w:val="38"/>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年政府性基金预算财政拨款支出</w:t>
      </w:r>
      <w:r>
        <w:rPr>
          <w:rFonts w:ascii="仿宋_GB2312" w:eastAsia="仿宋_GB2312"/>
          <w:sz w:val="32"/>
          <w:szCs w:val="32"/>
        </w:rPr>
        <w:t>0</w:t>
      </w:r>
      <w:r>
        <w:rPr>
          <w:rFonts w:hint="eastAsia" w:ascii="仿宋_GB2312" w:eastAsia="仿宋_GB2312"/>
          <w:sz w:val="32"/>
          <w:szCs w:val="32"/>
        </w:rPr>
        <w:t>万元。</w:t>
      </w:r>
      <w:r>
        <w:rPr>
          <w:rFonts w:ascii="仿宋_GB2312" w:eastAsia="仿宋_GB2312"/>
          <w:color w:val="000000"/>
          <w:sz w:val="32"/>
          <w:szCs w:val="32"/>
        </w:rPr>
        <w:t>2021</w:t>
      </w:r>
      <w:r>
        <w:rPr>
          <w:rFonts w:hint="eastAsia" w:ascii="仿宋_GB2312" w:eastAsia="仿宋_GB2312"/>
          <w:color w:val="000000"/>
          <w:sz w:val="32"/>
          <w:szCs w:val="32"/>
        </w:rPr>
        <w:t>年本单位未在政府性基金预算拨款安排“三公”经费支出</w:t>
      </w:r>
      <w:r>
        <w:rPr>
          <w:rFonts w:hint="eastAsia" w:ascii="仿宋_GB2312" w:eastAsia="仿宋_GB2312"/>
          <w:sz w:val="32"/>
          <w:szCs w:val="32"/>
        </w:rPr>
        <w:t>。</w:t>
      </w:r>
    </w:p>
    <w:p>
      <w:pPr>
        <w:pStyle w:val="16"/>
        <w:ind w:left="31680" w:firstLine="31680"/>
      </w:pPr>
    </w:p>
    <w:p>
      <w:pPr>
        <w:numPr>
          <w:ilvl w:val="0"/>
          <w:numId w:val="4"/>
        </w:numPr>
        <w:spacing w:line="600" w:lineRule="exact"/>
        <w:ind w:firstLine="640"/>
        <w:outlineLvl w:val="1"/>
        <w:rPr>
          <w:rStyle w:val="38"/>
          <w:rFonts w:ascii="黑体" w:hAnsi="黑体" w:eastAsia="黑体"/>
          <w:b w:val="0"/>
        </w:rPr>
      </w:pPr>
      <w:bookmarkStart w:id="42" w:name="_Toc15377219"/>
      <w:bookmarkStart w:id="43" w:name="_Toc15396611"/>
      <w:r>
        <w:rPr>
          <w:rStyle w:val="38"/>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万元，年初未安排预算。</w:t>
      </w:r>
    </w:p>
    <w:p>
      <w:pPr>
        <w:spacing w:line="580" w:lineRule="exact"/>
        <w:rPr>
          <w:rFonts w:ascii="方正小标宋简体" w:hAnsi="方正小标宋简体" w:eastAsia="方正小标宋简体" w:cs="方正小标宋简体"/>
          <w:sz w:val="44"/>
          <w:szCs w:val="44"/>
        </w:rPr>
      </w:pPr>
    </w:p>
    <w:p>
      <w:pPr>
        <w:numPr>
          <w:ilvl w:val="0"/>
          <w:numId w:val="4"/>
        </w:numPr>
        <w:spacing w:line="600" w:lineRule="exact"/>
        <w:ind w:firstLine="640"/>
        <w:outlineLvl w:val="1"/>
        <w:rPr>
          <w:rStyle w:val="38"/>
          <w:rFonts w:ascii="黑体" w:hAnsi="黑体" w:eastAsia="黑体"/>
          <w:b w:val="0"/>
        </w:rPr>
      </w:pPr>
      <w:bookmarkStart w:id="44" w:name="_Toc15396612"/>
      <w:bookmarkStart w:id="45" w:name="_Toc15377221"/>
      <w:r>
        <w:rPr>
          <w:rStyle w:val="38"/>
          <w:rFonts w:hint="eastAsia" w:ascii="黑体" w:hAnsi="黑体" w:eastAsia="黑体"/>
          <w:b w:val="0"/>
        </w:rPr>
        <w:t>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年度预算编制阶段，因无项目支出，故不涉及事前评估和项目绩效目标，预算执行过程中，对追加预算校舍维修项目编制了绩效目标，并开展了绩效运行监控，年终执行完毕后，对</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个项目开展了绩效自评，</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年部门预算项目绩效目标自评表见附件（第四部分）。</w:t>
      </w:r>
    </w:p>
    <w:p>
      <w:pPr>
        <w:pStyle w:val="2"/>
        <w:spacing w:before="93"/>
      </w:pPr>
    </w:p>
    <w:p>
      <w:pPr>
        <w:numPr>
          <w:ilvl w:val="0"/>
          <w:numId w:val="4"/>
        </w:numPr>
        <w:spacing w:line="600" w:lineRule="exact"/>
        <w:ind w:firstLine="640"/>
        <w:outlineLvl w:val="1"/>
        <w:rPr>
          <w:rStyle w:val="38"/>
          <w:rFonts w:ascii="黑体" w:hAnsi="黑体" w:eastAsia="黑体"/>
          <w:b w:val="0"/>
        </w:rPr>
      </w:pPr>
      <w:r>
        <w:rPr>
          <w:rStyle w:val="38"/>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rPr>
          <w:rFonts w:ascii="仿宋_GB2312" w:eastAsia="仿宋_GB2312" w:cs="仿宋_GB2312"/>
          <w:color w:val="000000"/>
          <w:sz w:val="32"/>
          <w:szCs w:val="32"/>
        </w:rPr>
      </w:pPr>
      <w:bookmarkStart w:id="47" w:name="_Toc15377223"/>
      <w:r>
        <w:rPr>
          <w:rFonts w:ascii="仿宋_GB2312" w:eastAsia="仿宋_GB2312" w:cs="仿宋_GB2312"/>
          <w:color w:val="000000"/>
          <w:sz w:val="32"/>
          <w:szCs w:val="32"/>
        </w:rPr>
        <w:t>2021</w:t>
      </w:r>
      <w:r>
        <w:rPr>
          <w:rFonts w:hint="eastAsia" w:ascii="仿宋_GB2312" w:eastAsia="仿宋_GB2312" w:cs="仿宋_GB2312"/>
          <w:color w:val="000000"/>
          <w:sz w:val="32"/>
          <w:szCs w:val="32"/>
        </w:rPr>
        <w:t>年，</w:t>
      </w:r>
      <w:r>
        <w:rPr>
          <w:rFonts w:hint="eastAsia" w:ascii="仿宋_GB2312" w:eastAsia="仿宋_GB2312" w:cs="仿宋_GB2312"/>
          <w:sz w:val="32"/>
          <w:szCs w:val="32"/>
        </w:rPr>
        <w:t>我部门机关</w:t>
      </w:r>
      <w:r>
        <w:rPr>
          <w:rFonts w:hint="eastAsia" w:ascii="仿宋_GB2312" w:eastAsia="仿宋_GB2312" w:cs="仿宋_GB2312"/>
          <w:color w:val="000000"/>
          <w:sz w:val="32"/>
          <w:szCs w:val="32"/>
        </w:rPr>
        <w:t>运行经费支出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。主要原因是本单位为事业单位，未发生机关运行经费支出。</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highlight w:val="yellow"/>
        </w:rPr>
      </w:pPr>
      <w:r>
        <w:rPr>
          <w:rFonts w:ascii="仿宋_GB2312" w:eastAsia="仿宋_GB2312"/>
          <w:sz w:val="32"/>
          <w:szCs w:val="32"/>
        </w:rPr>
        <w:t>2021</w:t>
      </w:r>
      <w:r>
        <w:rPr>
          <w:rFonts w:hint="eastAsia" w:ascii="仿宋_GB2312" w:eastAsia="仿宋_GB2312"/>
          <w:sz w:val="32"/>
          <w:szCs w:val="32"/>
        </w:rPr>
        <w:t>年，我单位政府采购支出</w:t>
      </w:r>
      <w:r>
        <w:rPr>
          <w:rFonts w:hint="eastAsia" w:ascii="仿宋_GB2312" w:eastAsia="仿宋_GB2312"/>
          <w:color w:val="000000"/>
          <w:sz w:val="32"/>
          <w:szCs w:val="32"/>
        </w:rPr>
        <w:t>年初未预算采购经费，</w:t>
      </w:r>
      <w:r>
        <w:rPr>
          <w:rFonts w:hint="eastAsia" w:ascii="仿宋_GB2312" w:eastAsia="仿宋_GB2312"/>
          <w:sz w:val="32"/>
          <w:szCs w:val="32"/>
        </w:rPr>
        <w:t>政府采购支出总额</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s="仿宋_GB2312"/>
          <w:color w:val="000000"/>
          <w:sz w:val="32"/>
          <w:szCs w:val="32"/>
        </w:rPr>
        <w:t>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日，我单位共有车辆</w:t>
      </w:r>
      <w:r>
        <w:rPr>
          <w:rFonts w:ascii="仿宋_GB2312" w:eastAsia="仿宋_GB2312"/>
          <w:sz w:val="32"/>
          <w:szCs w:val="32"/>
        </w:rPr>
        <w:t>0</w:t>
      </w:r>
      <w:r>
        <w:rPr>
          <w:rFonts w:hint="eastAsia" w:ascii="仿宋_GB2312" w:eastAsia="仿宋_GB2312"/>
          <w:sz w:val="32"/>
          <w:szCs w:val="32"/>
        </w:rPr>
        <w:t>辆，其中：主要领导干部用车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2"/>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2"/>
          <w:rFonts w:hint="eastAsia" w:ascii="黑体" w:hAnsi="黑体" w:eastAsia="黑体"/>
          <w:b w:val="0"/>
        </w:rPr>
        <w:t>词解释</w:t>
      </w:r>
      <w:bookmarkEnd w:id="49"/>
      <w:bookmarkEnd w:id="50"/>
    </w:p>
    <w:p>
      <w:pPr>
        <w:spacing w:line="600" w:lineRule="exact"/>
        <w:jc w:val="left"/>
        <w:rPr>
          <w:rFonts w:ascii="宋体"/>
          <w:b/>
          <w:sz w:val="44"/>
          <w:szCs w:val="44"/>
        </w:rPr>
      </w:pP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使用非财政拨款结余：指事业单位使用以前年度积累的非财政拨款结余弥补当年收支差额的金额。</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年初结转和结余：指以前年度尚未完成、结转到本年按有关规定继续使用的资金。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结余分配：指事业单位按照会计制度规定缴纳的所得税、提取的专用结余以及转入非财政拨款结余的金额等。</w:t>
      </w:r>
    </w:p>
    <w:p>
      <w:pPr>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教育（类）普通教育（款）小学教育（项）：指小学教育。</w:t>
      </w:r>
    </w:p>
    <w:p>
      <w:pPr>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Style w:val="19"/>
          <w:rFonts w:ascii="仿宋" w:hAnsi="仿宋" w:eastAsia="仿宋"/>
          <w:bCs/>
          <w:color w:val="000000"/>
          <w:sz w:val="32"/>
          <w:szCs w:val="32"/>
        </w:rPr>
        <w:t xml:space="preserve"> </w:t>
      </w:r>
      <w:r>
        <w:rPr>
          <w:rFonts w:hint="eastAsia" w:ascii="仿宋_GB2312" w:eastAsia="仿宋_GB2312"/>
          <w:sz w:val="32"/>
          <w:szCs w:val="32"/>
        </w:rPr>
        <w:t>教育（类）普通教育（款）小学教育（项）：指其他普通教育费支出。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ascii="仿宋_GB2312" w:eastAsia="仿宋_GB2312"/>
          <w:sz w:val="32"/>
          <w:szCs w:val="32"/>
        </w:rPr>
        <w:t>.</w:t>
      </w:r>
      <w:r>
        <w:rPr>
          <w:rStyle w:val="19"/>
          <w:rFonts w:ascii="仿宋" w:hAnsi="仿宋" w:eastAsia="仿宋"/>
          <w:bCs/>
          <w:color w:val="000000"/>
          <w:sz w:val="32"/>
          <w:szCs w:val="32"/>
        </w:rPr>
        <w:t xml:space="preserve"> </w:t>
      </w:r>
      <w:r>
        <w:rPr>
          <w:rFonts w:hint="eastAsia" w:ascii="仿宋_GB2312" w:eastAsia="仿宋_GB2312"/>
          <w:sz w:val="32"/>
          <w:szCs w:val="32"/>
        </w:rPr>
        <w:t>社会保障和就业（类）（款）抚恤（项）</w:t>
      </w:r>
      <w:r>
        <w:rPr>
          <w:rFonts w:hint="eastAsia" w:ascii="仿宋_GB2312" w:hAnsi="Calibri" w:eastAsia="仿宋_GB2312" w:cs="仿宋"/>
          <w:color w:val="000000"/>
          <w:kern w:val="0"/>
          <w:sz w:val="32"/>
          <w:szCs w:val="32"/>
        </w:rPr>
        <w:t>：指用于死亡抚恤金支出。</w:t>
      </w:r>
    </w:p>
    <w:p>
      <w:pPr>
        <w:spacing w:line="600" w:lineRule="exact"/>
        <w:ind w:firstLine="640" w:firstLineChars="200"/>
        <w:rPr>
          <w:rFonts w:ascii="仿宋_GB2312" w:hAnsi="Calibri" w:eastAsia="仿宋_GB2312" w:cs="仿宋"/>
          <w:color w:val="000000"/>
          <w:kern w:val="0"/>
          <w:sz w:val="32"/>
          <w:szCs w:val="32"/>
        </w:rPr>
      </w:pPr>
      <w:r>
        <w:rPr>
          <w:rFonts w:hint="eastAsia" w:ascii="仿宋_GB2312" w:hAnsi="Calibri" w:eastAsia="仿宋_GB2312" w:cs="仿宋"/>
          <w:color w:val="000000"/>
          <w:kern w:val="0"/>
          <w:sz w:val="32"/>
          <w:szCs w:val="32"/>
          <w:lang w:val="en-US" w:eastAsia="zh-CN"/>
        </w:rPr>
        <w:t>8</w:t>
      </w:r>
      <w:r>
        <w:rPr>
          <w:rFonts w:ascii="仿宋_GB2312" w:hAnsi="Calibri" w:eastAsia="仿宋_GB2312" w:cs="仿宋"/>
          <w:color w:val="000000"/>
          <w:kern w:val="0"/>
          <w:sz w:val="32"/>
          <w:szCs w:val="32"/>
        </w:rPr>
        <w:t>.</w:t>
      </w:r>
      <w:r>
        <w:rPr>
          <w:rFonts w:hint="eastAsia" w:ascii="仿宋_GB2312" w:hAnsi="Calibri" w:eastAsia="仿宋_GB2312" w:cs="仿宋"/>
          <w:color w:val="000000"/>
          <w:kern w:val="0"/>
          <w:sz w:val="32"/>
          <w:szCs w:val="32"/>
        </w:rPr>
        <w:t>社会保障和就业支出（类）行政事业单位养老支出（款）机关事业单位基本养老保险缴费支出（项）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指机关事业单位实施养老保险制度由单位缴纳的基本养老保险费支出。</w:t>
      </w:r>
    </w:p>
    <w:p>
      <w:pPr>
        <w:pStyle w:val="16"/>
        <w:ind w:left="0" w:leftChars="0" w:firstLine="31680"/>
      </w:pPr>
      <w:r>
        <w:rPr>
          <w:rFonts w:hint="eastAsia" w:ascii="仿宋_GB2312" w:hAnsi="Calibri" w:eastAsia="仿宋_GB2312" w:cs="仿宋"/>
          <w:color w:val="000000"/>
          <w:kern w:val="0"/>
          <w:sz w:val="32"/>
          <w:szCs w:val="32"/>
          <w:lang w:val="en-US" w:eastAsia="zh-CN"/>
        </w:rPr>
        <w:t>9</w:t>
      </w:r>
      <w:r>
        <w:rPr>
          <w:rFonts w:ascii="仿宋_GB2312" w:hAnsi="Calibri" w:eastAsia="仿宋_GB2312" w:cs="仿宋"/>
          <w:color w:val="000000"/>
          <w:kern w:val="0"/>
          <w:sz w:val="32"/>
          <w:szCs w:val="32"/>
        </w:rPr>
        <w:t>.</w:t>
      </w:r>
      <w:r>
        <w:rPr>
          <w:rFonts w:hint="eastAsia" w:ascii="仿宋_GB2312" w:hAnsi="Calibri" w:eastAsia="仿宋_GB2312" w:cs="仿宋"/>
          <w:color w:val="000000"/>
          <w:kern w:val="0"/>
          <w:sz w:val="32"/>
          <w:szCs w:val="32"/>
        </w:rPr>
        <w:t>社会保障和就业支出（类）其他社会保障和就业支出（款）其他社会保障和就业支出（项）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指其他用于社会保障和就业方面的支出。</w:t>
      </w:r>
    </w:p>
    <w:p>
      <w:pPr>
        <w:pStyle w:val="2"/>
        <w:spacing w:before="93"/>
        <w:ind w:firstLine="640" w:firstLineChars="200"/>
      </w:pPr>
      <w:r>
        <w:rPr>
          <w:rFonts w:hAnsi="Calibri" w:cs="仿宋"/>
          <w:color w:val="000000"/>
          <w:sz w:val="32"/>
          <w:szCs w:val="32"/>
        </w:rPr>
        <w:t>1</w:t>
      </w:r>
      <w:r>
        <w:rPr>
          <w:rFonts w:hint="eastAsia" w:hAnsi="Calibri" w:cs="仿宋"/>
          <w:color w:val="000000"/>
          <w:sz w:val="32"/>
          <w:szCs w:val="32"/>
          <w:lang w:val="en-US" w:eastAsia="zh-CN"/>
        </w:rPr>
        <w:t>0</w:t>
      </w:r>
      <w:r>
        <w:rPr>
          <w:rFonts w:hAnsi="Calibri" w:cs="仿宋"/>
          <w:color w:val="000000"/>
          <w:sz w:val="32"/>
          <w:szCs w:val="32"/>
        </w:rPr>
        <w:t>.</w:t>
      </w:r>
      <w:r>
        <w:rPr>
          <w:rFonts w:hint="eastAsia" w:hAnsi="Calibri" w:cs="仿宋"/>
          <w:color w:val="000000"/>
          <w:sz w:val="32"/>
          <w:szCs w:val="32"/>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spacing w:before="93"/>
        <w:ind w:firstLine="640" w:firstLineChars="200"/>
      </w:pPr>
      <w:r>
        <w:rPr>
          <w:rFonts w:hAnsi="Calibri" w:cs="仿宋"/>
          <w:color w:val="000000"/>
          <w:sz w:val="32"/>
          <w:szCs w:val="32"/>
        </w:rPr>
        <w:t>1</w:t>
      </w:r>
      <w:r>
        <w:rPr>
          <w:rFonts w:hint="eastAsia" w:hAnsi="Calibri" w:cs="仿宋"/>
          <w:color w:val="000000"/>
          <w:sz w:val="32"/>
          <w:szCs w:val="32"/>
          <w:lang w:val="en-US" w:eastAsia="zh-CN"/>
        </w:rPr>
        <w:t>1</w:t>
      </w:r>
      <w:r>
        <w:rPr>
          <w:rFonts w:hAnsi="Calibri" w:cs="仿宋"/>
          <w:color w:val="000000"/>
          <w:sz w:val="32"/>
          <w:szCs w:val="32"/>
        </w:rPr>
        <w:t>.</w:t>
      </w:r>
      <w:r>
        <w:rPr>
          <w:rFonts w:hint="eastAsia" w:hAnsi="Calibri"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jc w:val="center"/>
        <w:rPr>
          <w:rFonts w:hint="eastAsia" w:ascii="宋体"/>
          <w:b/>
          <w:sz w:val="44"/>
          <w:szCs w:val="44"/>
          <w:lang w:eastAsia="zh-CN"/>
        </w:rPr>
      </w:pPr>
      <w:r>
        <w:rPr>
          <w:rFonts w:ascii="宋体"/>
          <w:b/>
          <w:sz w:val="44"/>
          <w:szCs w:val="44"/>
        </w:rPr>
        <w:br w:type="page"/>
      </w:r>
      <w:bookmarkStart w:id="52" w:name="_Toc15396618"/>
      <w:r>
        <w:rPr>
          <w:rFonts w:hint="eastAsia" w:ascii="宋体"/>
          <w:b/>
          <w:sz w:val="44"/>
          <w:szCs w:val="44"/>
          <w:lang w:eastAsia="zh-CN"/>
        </w:rPr>
        <w:t>第四部分</w:t>
      </w:r>
    </w:p>
    <w:p>
      <w:pPr>
        <w:rPr>
          <w:rFonts w:ascii="黑体" w:hAnsi="黑体" w:eastAsia="黑体"/>
          <w:sz w:val="44"/>
          <w:szCs w:val="44"/>
        </w:rPr>
      </w:pPr>
      <w:r>
        <w:rPr>
          <w:rFonts w:hint="eastAsia" w:ascii="黑体" w:hAnsi="黑体" w:eastAsia="黑体" w:cs="黑体"/>
          <w:sz w:val="32"/>
          <w:szCs w:val="32"/>
        </w:rPr>
        <w:t>附件</w:t>
      </w:r>
      <w:r>
        <w:rPr>
          <w:rFonts w:ascii="黑体" w:hAnsi="黑体" w:eastAsia="黑体" w:cs="黑体"/>
          <w:sz w:val="32"/>
          <w:szCs w:val="32"/>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55"/>
        <w:gridCol w:w="1305"/>
        <w:gridCol w:w="2225"/>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pPr>
              <w:widowControl/>
              <w:jc w:val="center"/>
              <w:textAlignment w:val="center"/>
              <w:rPr>
                <w:rFonts w:ascii="宋体" w:cs="宋体"/>
                <w:b/>
                <w:sz w:val="32"/>
                <w:szCs w:val="32"/>
              </w:rPr>
            </w:pPr>
            <w:r>
              <w:rPr>
                <w:rFonts w:ascii="宋体" w:hAnsi="宋体" w:cs="宋体"/>
                <w:b/>
                <w:sz w:val="32"/>
                <w:szCs w:val="32"/>
              </w:rPr>
              <w:t>2021</w:t>
            </w:r>
            <w:r>
              <w:rPr>
                <w:rFonts w:hint="eastAsia" w:ascii="宋体" w:hAnsi="宋体" w:cs="宋体"/>
                <w:b/>
                <w:sz w:val="32"/>
                <w:szCs w:val="32"/>
              </w:rPr>
              <w:t>年部门预算项目绩效目标自评（校舍维修）</w:t>
            </w:r>
          </w:p>
        </w:tc>
        <w:tc>
          <w:tcPr>
            <w:tcW w:w="236" w:type="dxa"/>
            <w:tcBorders>
              <w:top w:val="nil"/>
              <w:left w:val="nil"/>
              <w:bottom w:val="nil"/>
              <w:right w:val="nil"/>
            </w:tcBorders>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5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ascii="宋体" w:hAnsi="宋体" w:cs="宋体"/>
                <w:sz w:val="24"/>
              </w:rPr>
              <w:t>360325</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hint="eastAsia" w:ascii="宋体" w:hAnsi="宋体" w:cs="宋体"/>
                <w:sz w:val="24"/>
              </w:rPr>
              <w:t>广元市昭化区清水镇香溪小学</w:t>
            </w:r>
          </w:p>
        </w:tc>
      </w:tr>
      <w:tr>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250</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250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250</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250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57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3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4575" w:type="dxa"/>
            <w:gridSpan w:val="3"/>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新建教学综合楼</w:t>
            </w:r>
            <w:r>
              <w:rPr>
                <w:rFonts w:ascii="宋体" w:hAnsi="宋体" w:cs="宋体"/>
                <w:sz w:val="22"/>
                <w:szCs w:val="22"/>
              </w:rPr>
              <w:t>800</w:t>
            </w:r>
            <w:r>
              <w:rPr>
                <w:rFonts w:hint="eastAsia" w:ascii="宋体" w:hAnsi="宋体" w:cs="宋体"/>
                <w:sz w:val="22"/>
                <w:szCs w:val="22"/>
              </w:rPr>
              <w:t>平方米，购置办公设施设备</w:t>
            </w:r>
            <w:r>
              <w:rPr>
                <w:rFonts w:ascii="宋体" w:hAnsi="宋体" w:cs="宋体"/>
                <w:sz w:val="22"/>
                <w:szCs w:val="22"/>
              </w:rPr>
              <w:t>18</w:t>
            </w:r>
            <w:r>
              <w:rPr>
                <w:rFonts w:hint="eastAsia" w:ascii="宋体" w:hAnsi="宋体" w:cs="宋体"/>
                <w:sz w:val="22"/>
                <w:szCs w:val="22"/>
              </w:rPr>
              <w:t>套，新建小学科学实验室及购置实验设备，改善老师的办公环境和办公条件。</w:t>
            </w:r>
          </w:p>
        </w:tc>
        <w:tc>
          <w:tcPr>
            <w:tcW w:w="3530" w:type="dxa"/>
            <w:gridSpan w:val="2"/>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新建教学综合楼</w:t>
            </w:r>
            <w:r>
              <w:rPr>
                <w:rFonts w:ascii="宋体" w:hAnsi="宋体" w:cs="宋体"/>
                <w:sz w:val="22"/>
                <w:szCs w:val="22"/>
              </w:rPr>
              <w:t>800</w:t>
            </w:r>
            <w:r>
              <w:rPr>
                <w:rFonts w:hint="eastAsia" w:ascii="宋体" w:hAnsi="宋体" w:cs="宋体"/>
                <w:sz w:val="22"/>
                <w:szCs w:val="22"/>
              </w:rPr>
              <w:t>平方米，购置办公设施设备</w:t>
            </w:r>
            <w:r>
              <w:rPr>
                <w:rFonts w:ascii="宋体" w:hAnsi="宋体" w:cs="宋体"/>
                <w:sz w:val="22"/>
                <w:szCs w:val="22"/>
              </w:rPr>
              <w:t>18</w:t>
            </w:r>
            <w:r>
              <w:rPr>
                <w:rFonts w:hint="eastAsia" w:ascii="宋体" w:hAnsi="宋体" w:cs="宋体"/>
                <w:sz w:val="22"/>
                <w:szCs w:val="22"/>
              </w:rPr>
              <w:t>套，新建小学科学实验室及购置实验器材，改善老师的办公环境和办公条件。</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改扩建面积</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800m2</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800m2</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教学综合楼竣工验收合格率</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教学综合楼质量标准</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设备购置质量标准</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教学综合楼建设周期</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教学综合楼每平方米造价</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3500</w:t>
            </w:r>
            <w:r>
              <w:rPr>
                <w:rFonts w:hint="eastAsia" w:ascii="仿宋_GB2312" w:hAnsi="仿宋_GB2312" w:eastAsia="仿宋_GB2312" w:cs="仿宋_GB2312"/>
                <w:sz w:val="20"/>
                <w:szCs w:val="20"/>
              </w:rPr>
              <w:t>元</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3125</w:t>
            </w:r>
            <w:r>
              <w:rPr>
                <w:rFonts w:hint="eastAsia" w:ascii="仿宋_GB2312" w:hAnsi="仿宋_GB2312" w:eastAsia="仿宋_GB2312" w:cs="仿宋_GB2312"/>
                <w:sz w:val="20"/>
                <w:szCs w:val="20"/>
              </w:rPr>
              <w:t>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5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改善办学硬件条件</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right w:val="single" w:color="auto"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生态效益</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指标</w:t>
            </w:r>
          </w:p>
        </w:tc>
        <w:tc>
          <w:tcPr>
            <w:tcW w:w="235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建筑能源消耗水平降低</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auto"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可持续影响指标</w:t>
            </w:r>
          </w:p>
        </w:tc>
        <w:tc>
          <w:tcPr>
            <w:tcW w:w="235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吸引外流学生持续回流</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师生满意度</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5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30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22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pPr>
        <w:spacing w:line="600" w:lineRule="exact"/>
        <w:jc w:val="center"/>
        <w:outlineLvl w:val="0"/>
        <w:rPr>
          <w:rFonts w:ascii="仿宋" w:hAnsi="仿宋" w:eastAsia="仿宋"/>
        </w:rPr>
      </w:pPr>
      <w:r>
        <w:rPr>
          <w:rFonts w:hint="eastAsia" w:ascii="黑体" w:hAnsi="黑体" w:eastAsia="黑体"/>
          <w:sz w:val="44"/>
          <w:szCs w:val="44"/>
        </w:rPr>
        <w:t>第</w:t>
      </w:r>
      <w:r>
        <w:rPr>
          <w:rStyle w:val="22"/>
          <w:rFonts w:hint="eastAsia" w:ascii="黑体" w:hAnsi="黑体" w:eastAsia="黑体"/>
          <w:b w:val="0"/>
        </w:rPr>
        <w:t>五部分</w:t>
      </w:r>
      <w:r>
        <w:rPr>
          <w:rStyle w:val="22"/>
          <w:rFonts w:ascii="黑体" w:hAnsi="黑体" w:eastAsia="黑体"/>
          <w:b w:val="0"/>
        </w:rPr>
        <w:t xml:space="preserve"> </w:t>
      </w:r>
      <w:r>
        <w:rPr>
          <w:rStyle w:val="22"/>
          <w:rFonts w:hint="eastAsia" w:ascii="黑体" w:hAnsi="黑体" w:eastAsia="黑体"/>
          <w:b w:val="0"/>
        </w:rPr>
        <w:t>附表</w:t>
      </w:r>
      <w:bookmarkEnd w:id="51"/>
      <w:bookmarkEnd w:id="52"/>
      <w:bookmarkStart w:id="53" w:name="_Toc15396619"/>
    </w:p>
    <w:p>
      <w:pPr>
        <w:pStyle w:val="4"/>
        <w:rPr>
          <w:rFonts w:ascii="仿宋" w:hAnsi="仿宋" w:eastAsia="仿宋"/>
        </w:rPr>
      </w:pPr>
      <w:r>
        <w:rPr>
          <w:rFonts w:hint="eastAsia" w:ascii="仿宋" w:hAnsi="仿宋" w:eastAsia="仿宋"/>
          <w:b w:val="0"/>
        </w:rPr>
        <w:t>一、收</w:t>
      </w:r>
      <w:r>
        <w:rPr>
          <w:rStyle w:val="38"/>
          <w:rFonts w:hint="eastAsia" w:ascii="仿宋" w:hAnsi="仿宋" w:eastAsia="仿宋"/>
          <w:b w:val="0"/>
          <w:bCs w:val="0"/>
        </w:rPr>
        <w:t>入支出决算总表</w:t>
      </w:r>
      <w:bookmarkEnd w:id="53"/>
    </w:p>
    <w:p>
      <w:pPr>
        <w:pStyle w:val="4"/>
        <w:rPr>
          <w:rFonts w:ascii="仿宋" w:hAnsi="仿宋" w:eastAsia="仿宋"/>
        </w:rPr>
      </w:pPr>
      <w:bookmarkStart w:id="54" w:name="_Toc15396620"/>
      <w:r>
        <w:rPr>
          <w:rFonts w:hint="eastAsia" w:ascii="仿宋" w:hAnsi="仿宋" w:eastAsia="仿宋"/>
          <w:b w:val="0"/>
        </w:rPr>
        <w:t>二、收</w:t>
      </w:r>
      <w:r>
        <w:rPr>
          <w:rStyle w:val="38"/>
          <w:rFonts w:hint="eastAsia" w:ascii="仿宋" w:hAnsi="仿宋" w:eastAsia="仿宋"/>
          <w:b w:val="0"/>
          <w:bCs w:val="0"/>
        </w:rPr>
        <w:t>入决算表</w:t>
      </w:r>
      <w:bookmarkEnd w:id="54"/>
    </w:p>
    <w:p>
      <w:pPr>
        <w:pStyle w:val="4"/>
        <w:rPr>
          <w:rFonts w:ascii="仿宋" w:hAnsi="仿宋" w:eastAsia="仿宋"/>
        </w:rPr>
      </w:pPr>
      <w:bookmarkStart w:id="55" w:name="_Toc15396621"/>
      <w:r>
        <w:rPr>
          <w:rStyle w:val="38"/>
          <w:rFonts w:hint="eastAsia" w:ascii="仿宋" w:hAnsi="仿宋" w:eastAsia="仿宋"/>
          <w:b w:val="0"/>
          <w:bCs w:val="0"/>
        </w:rPr>
        <w:t>三、</w:t>
      </w:r>
      <w:r>
        <w:rPr>
          <w:rFonts w:hint="eastAsia" w:ascii="仿宋" w:hAnsi="仿宋" w:eastAsia="仿宋"/>
          <w:b w:val="0"/>
        </w:rPr>
        <w:t>支</w:t>
      </w:r>
      <w:r>
        <w:rPr>
          <w:rStyle w:val="38"/>
          <w:rFonts w:hint="eastAsia" w:ascii="仿宋" w:hAnsi="仿宋" w:eastAsia="仿宋"/>
          <w:b w:val="0"/>
          <w:bCs w:val="0"/>
        </w:rPr>
        <w:t>出决算表</w:t>
      </w:r>
      <w:bookmarkEnd w:id="55"/>
    </w:p>
    <w:p>
      <w:pPr>
        <w:pStyle w:val="4"/>
        <w:rPr>
          <w:rFonts w:ascii="仿宋" w:hAnsi="仿宋" w:eastAsia="仿宋"/>
          <w:b w:val="0"/>
        </w:rPr>
      </w:pPr>
      <w:bookmarkStart w:id="56" w:name="_Toc15396622"/>
      <w:r>
        <w:rPr>
          <w:rStyle w:val="38"/>
          <w:rFonts w:hint="eastAsia" w:ascii="仿宋" w:hAnsi="仿宋" w:eastAsia="仿宋"/>
          <w:b w:val="0"/>
          <w:bCs w:val="0"/>
        </w:rPr>
        <w:t>四、</w:t>
      </w:r>
      <w:r>
        <w:rPr>
          <w:rFonts w:hint="eastAsia" w:ascii="仿宋" w:hAnsi="仿宋" w:eastAsia="仿宋"/>
          <w:b w:val="0"/>
        </w:rPr>
        <w:t>财</w:t>
      </w:r>
      <w:r>
        <w:rPr>
          <w:rStyle w:val="38"/>
          <w:rFonts w:hint="eastAsia" w:ascii="仿宋" w:hAnsi="仿宋" w:eastAsia="仿宋"/>
          <w:b w:val="0"/>
          <w:bCs w:val="0"/>
        </w:rPr>
        <w:t>政拨款收入支出决算总表</w:t>
      </w:r>
      <w:bookmarkEnd w:id="56"/>
    </w:p>
    <w:p>
      <w:pPr>
        <w:pStyle w:val="4"/>
        <w:rPr>
          <w:rStyle w:val="38"/>
          <w:rFonts w:ascii="仿宋" w:hAnsi="仿宋" w:eastAsia="仿宋"/>
          <w:b w:val="0"/>
          <w:bCs w:val="0"/>
        </w:rPr>
      </w:pPr>
      <w:bookmarkStart w:id="57" w:name="_Toc15396623"/>
      <w:r>
        <w:rPr>
          <w:rStyle w:val="38"/>
          <w:rFonts w:hint="eastAsia" w:ascii="仿宋" w:hAnsi="仿宋" w:eastAsia="仿宋"/>
          <w:b w:val="0"/>
          <w:bCs w:val="0"/>
        </w:rPr>
        <w:t>五、</w:t>
      </w:r>
      <w:r>
        <w:rPr>
          <w:rFonts w:hint="eastAsia" w:ascii="仿宋" w:hAnsi="仿宋" w:eastAsia="仿宋"/>
          <w:b w:val="0"/>
        </w:rPr>
        <w:t>财</w:t>
      </w:r>
      <w:r>
        <w:rPr>
          <w:rStyle w:val="38"/>
          <w:rFonts w:hint="eastAsia" w:ascii="仿宋" w:hAnsi="仿宋" w:eastAsia="仿宋"/>
          <w:b w:val="0"/>
          <w:bCs w:val="0"/>
        </w:rPr>
        <w:t>政拨款支出决算明细表</w:t>
      </w:r>
      <w:bookmarkEnd w:id="57"/>
      <w:bookmarkStart w:id="58" w:name="_Toc15396624"/>
    </w:p>
    <w:p>
      <w:pPr>
        <w:pStyle w:val="4"/>
        <w:rPr>
          <w:rFonts w:ascii="仿宋" w:hAnsi="仿宋" w:eastAsia="仿宋"/>
        </w:rPr>
      </w:pPr>
      <w:r>
        <w:rPr>
          <w:rStyle w:val="38"/>
          <w:rFonts w:hint="eastAsia" w:ascii="仿宋" w:hAnsi="仿宋" w:eastAsia="仿宋"/>
          <w:b w:val="0"/>
          <w:bCs w:val="0"/>
        </w:rPr>
        <w:t>六、</w:t>
      </w:r>
      <w:r>
        <w:rPr>
          <w:rFonts w:hint="eastAsia" w:ascii="仿宋" w:hAnsi="仿宋" w:eastAsia="仿宋"/>
          <w:b w:val="0"/>
        </w:rPr>
        <w:t>一</w:t>
      </w:r>
      <w:r>
        <w:rPr>
          <w:rStyle w:val="38"/>
          <w:rFonts w:hint="eastAsia" w:ascii="仿宋" w:hAnsi="仿宋" w:eastAsia="仿宋"/>
          <w:b w:val="0"/>
          <w:bCs w:val="0"/>
        </w:rPr>
        <w:t>般公共预算财政拨款支出决算表</w:t>
      </w:r>
      <w:bookmarkEnd w:id="58"/>
    </w:p>
    <w:p>
      <w:pPr>
        <w:pStyle w:val="4"/>
        <w:rPr>
          <w:rFonts w:ascii="仿宋" w:hAnsi="仿宋" w:eastAsia="仿宋"/>
        </w:rPr>
      </w:pPr>
      <w:bookmarkStart w:id="59" w:name="_Toc15396625"/>
      <w:r>
        <w:rPr>
          <w:rStyle w:val="38"/>
          <w:rFonts w:hint="eastAsia" w:ascii="仿宋" w:hAnsi="仿宋" w:eastAsia="仿宋"/>
          <w:b w:val="0"/>
          <w:bCs w:val="0"/>
        </w:rPr>
        <w:t>七、</w:t>
      </w:r>
      <w:r>
        <w:rPr>
          <w:rFonts w:hint="eastAsia" w:ascii="仿宋" w:hAnsi="仿宋" w:eastAsia="仿宋"/>
          <w:b w:val="0"/>
        </w:rPr>
        <w:t>一</w:t>
      </w:r>
      <w:r>
        <w:rPr>
          <w:rStyle w:val="38"/>
          <w:rFonts w:hint="eastAsia" w:ascii="仿宋" w:hAnsi="仿宋" w:eastAsia="仿宋"/>
          <w:b w:val="0"/>
          <w:bCs w:val="0"/>
        </w:rPr>
        <w:t>般公共预算财政拨款支出决算明细表</w:t>
      </w:r>
      <w:bookmarkEnd w:id="59"/>
    </w:p>
    <w:p>
      <w:pPr>
        <w:pStyle w:val="4"/>
        <w:rPr>
          <w:rFonts w:ascii="仿宋" w:hAnsi="仿宋" w:eastAsia="仿宋"/>
        </w:rPr>
      </w:pPr>
      <w:bookmarkStart w:id="60" w:name="_Toc15396626"/>
      <w:r>
        <w:rPr>
          <w:rStyle w:val="38"/>
          <w:rFonts w:hint="eastAsia" w:ascii="仿宋" w:hAnsi="仿宋" w:eastAsia="仿宋"/>
          <w:b w:val="0"/>
          <w:bCs w:val="0"/>
        </w:rPr>
        <w:t>八、</w:t>
      </w:r>
      <w:r>
        <w:rPr>
          <w:rFonts w:hint="eastAsia" w:ascii="仿宋" w:hAnsi="仿宋" w:eastAsia="仿宋"/>
          <w:b w:val="0"/>
        </w:rPr>
        <w:t>一</w:t>
      </w:r>
      <w:r>
        <w:rPr>
          <w:rStyle w:val="38"/>
          <w:rFonts w:hint="eastAsia" w:ascii="仿宋" w:hAnsi="仿宋" w:eastAsia="仿宋"/>
          <w:b w:val="0"/>
          <w:bCs w:val="0"/>
        </w:rPr>
        <w:t>般公共预算财政拨款基本支出决算表</w:t>
      </w:r>
      <w:bookmarkEnd w:id="60"/>
    </w:p>
    <w:p>
      <w:pPr>
        <w:pStyle w:val="4"/>
        <w:rPr>
          <w:rFonts w:ascii="仿宋" w:hAnsi="仿宋" w:eastAsia="仿宋"/>
        </w:rPr>
      </w:pPr>
      <w:bookmarkStart w:id="61" w:name="_Toc15396627"/>
      <w:r>
        <w:rPr>
          <w:rStyle w:val="38"/>
          <w:rFonts w:hint="eastAsia" w:ascii="仿宋" w:hAnsi="仿宋" w:eastAsia="仿宋"/>
          <w:b w:val="0"/>
          <w:bCs w:val="0"/>
        </w:rPr>
        <w:t>九、</w:t>
      </w:r>
      <w:r>
        <w:rPr>
          <w:rFonts w:hint="eastAsia" w:ascii="仿宋" w:hAnsi="仿宋" w:eastAsia="仿宋"/>
          <w:b w:val="0"/>
        </w:rPr>
        <w:t>一</w:t>
      </w:r>
      <w:r>
        <w:rPr>
          <w:rStyle w:val="38"/>
          <w:rFonts w:hint="eastAsia" w:ascii="仿宋" w:hAnsi="仿宋" w:eastAsia="仿宋"/>
          <w:b w:val="0"/>
          <w:bCs w:val="0"/>
        </w:rPr>
        <w:t>般公共预算财政拨款项目支出决算表</w:t>
      </w:r>
      <w:bookmarkEnd w:id="61"/>
    </w:p>
    <w:p>
      <w:pPr>
        <w:pStyle w:val="4"/>
        <w:rPr>
          <w:rFonts w:ascii="仿宋" w:hAnsi="仿宋" w:eastAsia="仿宋"/>
        </w:rPr>
      </w:pPr>
      <w:bookmarkStart w:id="62" w:name="_Toc15396628"/>
      <w:r>
        <w:rPr>
          <w:rStyle w:val="38"/>
          <w:rFonts w:hint="eastAsia" w:ascii="仿宋" w:hAnsi="仿宋" w:eastAsia="仿宋"/>
          <w:b w:val="0"/>
          <w:bCs w:val="0"/>
        </w:rPr>
        <w:t>十、</w:t>
      </w:r>
      <w:r>
        <w:rPr>
          <w:rFonts w:hint="eastAsia" w:ascii="仿宋" w:hAnsi="仿宋" w:eastAsia="仿宋"/>
          <w:b w:val="0"/>
        </w:rPr>
        <w:t>一</w:t>
      </w:r>
      <w:r>
        <w:rPr>
          <w:rStyle w:val="38"/>
          <w:rFonts w:hint="eastAsia" w:ascii="仿宋" w:hAnsi="仿宋" w:eastAsia="仿宋"/>
          <w:b w:val="0"/>
          <w:bCs w:val="0"/>
        </w:rPr>
        <w:t>般公共预算财政拨款“三公”经费支出决算表</w:t>
      </w:r>
      <w:bookmarkEnd w:id="62"/>
    </w:p>
    <w:p>
      <w:pPr>
        <w:pStyle w:val="4"/>
        <w:rPr>
          <w:rFonts w:ascii="仿宋" w:hAnsi="仿宋" w:eastAsia="仿宋"/>
        </w:rPr>
      </w:pPr>
      <w:bookmarkStart w:id="63" w:name="_Toc15396629"/>
      <w:r>
        <w:rPr>
          <w:rStyle w:val="38"/>
          <w:rFonts w:hint="eastAsia" w:ascii="仿宋" w:hAnsi="仿宋" w:eastAsia="仿宋"/>
          <w:b w:val="0"/>
          <w:bCs w:val="0"/>
        </w:rPr>
        <w:t>十一、</w:t>
      </w:r>
      <w:r>
        <w:rPr>
          <w:rFonts w:hint="eastAsia" w:ascii="仿宋" w:hAnsi="仿宋" w:eastAsia="仿宋"/>
          <w:b w:val="0"/>
        </w:rPr>
        <w:t>政</w:t>
      </w:r>
      <w:r>
        <w:rPr>
          <w:rStyle w:val="38"/>
          <w:rFonts w:hint="eastAsia" w:ascii="仿宋" w:hAnsi="仿宋" w:eastAsia="仿宋"/>
          <w:b w:val="0"/>
          <w:bCs w:val="0"/>
        </w:rPr>
        <w:t>府性基金预算财政拨款收入支出决算表</w:t>
      </w:r>
      <w:bookmarkEnd w:id="63"/>
    </w:p>
    <w:p>
      <w:pPr>
        <w:pStyle w:val="4"/>
        <w:rPr>
          <w:rFonts w:ascii="仿宋" w:hAnsi="仿宋" w:eastAsia="仿宋"/>
        </w:rPr>
      </w:pPr>
      <w:bookmarkStart w:id="64" w:name="_Toc15396630"/>
      <w:r>
        <w:rPr>
          <w:rStyle w:val="38"/>
          <w:rFonts w:hint="eastAsia" w:ascii="仿宋" w:hAnsi="仿宋" w:eastAsia="仿宋"/>
          <w:b w:val="0"/>
          <w:bCs w:val="0"/>
        </w:rPr>
        <w:t>十二、</w:t>
      </w:r>
      <w:r>
        <w:rPr>
          <w:rFonts w:hint="eastAsia" w:ascii="仿宋" w:hAnsi="仿宋" w:eastAsia="仿宋"/>
          <w:b w:val="0"/>
        </w:rPr>
        <w:t>政</w:t>
      </w:r>
      <w:r>
        <w:rPr>
          <w:rStyle w:val="38"/>
          <w:rFonts w:hint="eastAsia" w:ascii="仿宋" w:hAnsi="仿宋" w:eastAsia="仿宋"/>
          <w:b w:val="0"/>
          <w:bCs w:val="0"/>
        </w:rPr>
        <w:t>府性基金预算财政拨款“三公”经费支出决算表</w:t>
      </w:r>
      <w:bookmarkEnd w:id="64"/>
    </w:p>
    <w:p>
      <w:pPr>
        <w:pStyle w:val="4"/>
        <w:rPr>
          <w:rStyle w:val="38"/>
          <w:rFonts w:ascii="仿宋" w:hAnsi="仿宋" w:eastAsia="仿宋"/>
          <w:b w:val="0"/>
          <w:bCs w:val="0"/>
        </w:rPr>
      </w:pPr>
      <w:bookmarkStart w:id="65" w:name="_Toc15396631"/>
      <w:r>
        <w:rPr>
          <w:rStyle w:val="38"/>
          <w:rFonts w:hint="eastAsia" w:ascii="仿宋" w:hAnsi="仿宋" w:eastAsia="仿宋"/>
          <w:b w:val="0"/>
          <w:bCs w:val="0"/>
        </w:rPr>
        <w:t>十三、</w:t>
      </w:r>
      <w:r>
        <w:rPr>
          <w:rFonts w:hint="eastAsia" w:ascii="仿宋" w:hAnsi="仿宋" w:eastAsia="仿宋"/>
          <w:b w:val="0"/>
        </w:rPr>
        <w:t>国</w:t>
      </w:r>
      <w:r>
        <w:rPr>
          <w:rStyle w:val="38"/>
          <w:rFonts w:hint="eastAsia" w:ascii="仿宋" w:hAnsi="仿宋" w:eastAsia="仿宋"/>
          <w:b w:val="0"/>
          <w:bCs w:val="0"/>
        </w:rPr>
        <w:t>有资本经营预算财政拨款收入支出决算表</w:t>
      </w:r>
      <w:bookmarkEnd w:id="65"/>
    </w:p>
    <w:p>
      <w:pPr>
        <w:rPr>
          <w:rFonts w:eastAsia="仿宋"/>
        </w:rPr>
      </w:pPr>
      <w:r>
        <w:rPr>
          <w:rStyle w:val="38"/>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18</w:t>
    </w:r>
    <w:r>
      <w:rPr>
        <w:lang w:val="zh-CN"/>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0053208E"/>
    <w:multiLevelType w:val="singleLevel"/>
    <w:tmpl w:val="0053208E"/>
    <w:lvl w:ilvl="0" w:tentative="0">
      <w:start w:val="3"/>
      <w:numFmt w:val="chineseCounting"/>
      <w:suff w:val="nothing"/>
      <w:lvlText w:val="（%1）"/>
      <w:lvlJc w:val="left"/>
      <w:rPr>
        <w:rFonts w:hint="eastAsia" w:cs="Times New Roman"/>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4">
    <w:nsid w:val="6492B4FE"/>
    <w:multiLevelType w:val="singleLevel"/>
    <w:tmpl w:val="6492B4FE"/>
    <w:lvl w:ilvl="0" w:tentative="0">
      <w:start w:val="1"/>
      <w:numFmt w:val="chineseCounting"/>
      <w:suff w:val="nothing"/>
      <w:lvlText w:val="%1、"/>
      <w:lvlJc w:val="left"/>
      <w:rPr>
        <w:rFonts w:hint="eastAsia"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hNTlmMWMwY2NkZGNhOTM0ZTIzOTMwM2UwMjVlYzgifQ=="/>
  </w:docVars>
  <w:rsids>
    <w:rsidRoot w:val="00F1361C"/>
    <w:rsid w:val="00022122"/>
    <w:rsid w:val="000222C6"/>
    <w:rsid w:val="0002549F"/>
    <w:rsid w:val="000468DB"/>
    <w:rsid w:val="0006487A"/>
    <w:rsid w:val="00065F8F"/>
    <w:rsid w:val="00067237"/>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F669B"/>
    <w:rsid w:val="00114E9B"/>
    <w:rsid w:val="00133E14"/>
    <w:rsid w:val="00142216"/>
    <w:rsid w:val="00144D6A"/>
    <w:rsid w:val="0014729F"/>
    <w:rsid w:val="00157BAB"/>
    <w:rsid w:val="001654D1"/>
    <w:rsid w:val="00174518"/>
    <w:rsid w:val="00180E6A"/>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250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82BBB"/>
    <w:rsid w:val="00385B4B"/>
    <w:rsid w:val="00386D32"/>
    <w:rsid w:val="00397487"/>
    <w:rsid w:val="003A484F"/>
    <w:rsid w:val="003A4883"/>
    <w:rsid w:val="003B0BE0"/>
    <w:rsid w:val="003B0C1B"/>
    <w:rsid w:val="003B688C"/>
    <w:rsid w:val="003C0291"/>
    <w:rsid w:val="003C39AE"/>
    <w:rsid w:val="003C7B60"/>
    <w:rsid w:val="003D0C0F"/>
    <w:rsid w:val="003D1FB2"/>
    <w:rsid w:val="003D66DA"/>
    <w:rsid w:val="003E1310"/>
    <w:rsid w:val="003E6F55"/>
    <w:rsid w:val="003E7992"/>
    <w:rsid w:val="00406254"/>
    <w:rsid w:val="004223DE"/>
    <w:rsid w:val="00434489"/>
    <w:rsid w:val="00437085"/>
    <w:rsid w:val="00443880"/>
    <w:rsid w:val="004464F4"/>
    <w:rsid w:val="004529E0"/>
    <w:rsid w:val="00471401"/>
    <w:rsid w:val="00473F31"/>
    <w:rsid w:val="0048263A"/>
    <w:rsid w:val="00487E5D"/>
    <w:rsid w:val="004A711F"/>
    <w:rsid w:val="004B199D"/>
    <w:rsid w:val="004B4690"/>
    <w:rsid w:val="004E0A2D"/>
    <w:rsid w:val="004E206B"/>
    <w:rsid w:val="004E6DF7"/>
    <w:rsid w:val="004F0FBD"/>
    <w:rsid w:val="00505A47"/>
    <w:rsid w:val="00512FDA"/>
    <w:rsid w:val="00516188"/>
    <w:rsid w:val="00520DA0"/>
    <w:rsid w:val="0054128F"/>
    <w:rsid w:val="005664BB"/>
    <w:rsid w:val="00566FFA"/>
    <w:rsid w:val="0057481D"/>
    <w:rsid w:val="0058486E"/>
    <w:rsid w:val="00585B33"/>
    <w:rsid w:val="0059014D"/>
    <w:rsid w:val="00594EE3"/>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D5449"/>
    <w:rsid w:val="007E23B0"/>
    <w:rsid w:val="007E23E5"/>
    <w:rsid w:val="007F1991"/>
    <w:rsid w:val="007F2204"/>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8EA"/>
    <w:rsid w:val="0092392E"/>
    <w:rsid w:val="009315F9"/>
    <w:rsid w:val="00933499"/>
    <w:rsid w:val="00935C98"/>
    <w:rsid w:val="00946945"/>
    <w:rsid w:val="009469FB"/>
    <w:rsid w:val="00951248"/>
    <w:rsid w:val="0095152F"/>
    <w:rsid w:val="00954C49"/>
    <w:rsid w:val="00955E37"/>
    <w:rsid w:val="00967932"/>
    <w:rsid w:val="0097099F"/>
    <w:rsid w:val="00971997"/>
    <w:rsid w:val="00971FFC"/>
    <w:rsid w:val="0098660A"/>
    <w:rsid w:val="00991402"/>
    <w:rsid w:val="009931C3"/>
    <w:rsid w:val="009B2C43"/>
    <w:rsid w:val="009B40F5"/>
    <w:rsid w:val="009B4EAE"/>
    <w:rsid w:val="009B7573"/>
    <w:rsid w:val="009C22F4"/>
    <w:rsid w:val="009C2A4B"/>
    <w:rsid w:val="009C2E98"/>
    <w:rsid w:val="009C5372"/>
    <w:rsid w:val="009D3447"/>
    <w:rsid w:val="009D4711"/>
    <w:rsid w:val="009F1185"/>
    <w:rsid w:val="009F18CD"/>
    <w:rsid w:val="009F2A13"/>
    <w:rsid w:val="009F7527"/>
    <w:rsid w:val="00A04EB0"/>
    <w:rsid w:val="00A05126"/>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A1A1B"/>
    <w:rsid w:val="00BB4DF0"/>
    <w:rsid w:val="00BC289F"/>
    <w:rsid w:val="00BC2D50"/>
    <w:rsid w:val="00BC5361"/>
    <w:rsid w:val="00BC5460"/>
    <w:rsid w:val="00BC6B50"/>
    <w:rsid w:val="00BD0E25"/>
    <w:rsid w:val="00BF5BD6"/>
    <w:rsid w:val="00C03E31"/>
    <w:rsid w:val="00C05707"/>
    <w:rsid w:val="00C33E72"/>
    <w:rsid w:val="00C34C2C"/>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A7A21"/>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916C5"/>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76DE3"/>
    <w:rsid w:val="00F81FD9"/>
    <w:rsid w:val="00F841AA"/>
    <w:rsid w:val="00F84A94"/>
    <w:rsid w:val="00F87E96"/>
    <w:rsid w:val="00FA23E8"/>
    <w:rsid w:val="00FA3163"/>
    <w:rsid w:val="00FD3CC1"/>
    <w:rsid w:val="00FE5373"/>
    <w:rsid w:val="00FF1E02"/>
    <w:rsid w:val="00FF30B4"/>
    <w:rsid w:val="0A2032A3"/>
    <w:rsid w:val="0B8A37D8"/>
    <w:rsid w:val="0EC71F0D"/>
    <w:rsid w:val="10C055FF"/>
    <w:rsid w:val="112C7A85"/>
    <w:rsid w:val="118107EC"/>
    <w:rsid w:val="11DD6519"/>
    <w:rsid w:val="12910332"/>
    <w:rsid w:val="13F81D73"/>
    <w:rsid w:val="157E27B0"/>
    <w:rsid w:val="16BB723D"/>
    <w:rsid w:val="177D300F"/>
    <w:rsid w:val="18015F3F"/>
    <w:rsid w:val="1BE8440E"/>
    <w:rsid w:val="1D155CEE"/>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8737E60"/>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qFormat="1" w:unhideWhenUsed="0" w:uiPriority="99" w:semiHidden="0" w:name="toc 2"/>
    <w:lsdException w:unhideWhenUsed="0"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unhideWhenUsed="0" w:uiPriority="99"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nhideWhenUsed="0" w:uiPriority="99" w:semiHidden="0" w:name="Salutation"/>
    <w:lsdException w:uiPriority="99" w:name="Date" w:locked="1"/>
    <w:lsdException w:uiPriority="99" w:name="Body Text First Indent" w:locked="1"/>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8">
    <w:name w:val="Default Paragraph Font"/>
    <w:semiHidden/>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uiPriority w:val="99"/>
    <w:pPr>
      <w:spacing w:beforeLines="30"/>
    </w:pPr>
    <w:rPr>
      <w:rFonts w:ascii="仿宋_GB2312" w:eastAsia="仿宋_GB2312"/>
      <w:kern w:val="0"/>
      <w:sz w:val="24"/>
      <w:szCs w:val="20"/>
    </w:rPr>
  </w:style>
  <w:style w:type="paragraph" w:styleId="6">
    <w:name w:val="annotation text"/>
    <w:basedOn w:val="1"/>
    <w:link w:val="26"/>
    <w:semiHidden/>
    <w:uiPriority w:val="99"/>
    <w:pPr>
      <w:jc w:val="left"/>
    </w:pPr>
  </w:style>
  <w:style w:type="paragraph" w:styleId="7">
    <w:name w:val="Salutation"/>
    <w:basedOn w:val="1"/>
    <w:next w:val="1"/>
    <w:link w:val="27"/>
    <w:uiPriority w:val="99"/>
  </w:style>
  <w:style w:type="paragraph" w:styleId="8">
    <w:name w:val="Body Text Indent"/>
    <w:basedOn w:val="1"/>
    <w:link w:val="28"/>
    <w:uiPriority w:val="99"/>
    <w:pPr>
      <w:ind w:left="420" w:leftChars="200"/>
    </w:pPr>
  </w:style>
  <w:style w:type="paragraph" w:styleId="9">
    <w:name w:val="toc 3"/>
    <w:basedOn w:val="1"/>
    <w:next w:val="1"/>
    <w:uiPriority w:val="99"/>
    <w:pPr>
      <w:tabs>
        <w:tab w:val="right" w:leader="dot" w:pos="8296"/>
      </w:tabs>
      <w:ind w:left="840" w:leftChars="400"/>
    </w:pPr>
  </w:style>
  <w:style w:type="paragraph" w:styleId="10">
    <w:name w:val="Balloon Text"/>
    <w:basedOn w:val="1"/>
    <w:link w:val="29"/>
    <w:semiHidden/>
    <w:uiPriority w:val="99"/>
    <w:rPr>
      <w:sz w:val="18"/>
      <w:szCs w:val="18"/>
    </w:rPr>
  </w:style>
  <w:style w:type="paragraph" w:styleId="11">
    <w:name w:val="footer"/>
    <w:basedOn w:val="1"/>
    <w:link w:val="34"/>
    <w:uiPriority w:val="99"/>
    <w:pPr>
      <w:tabs>
        <w:tab w:val="center" w:pos="4153"/>
        <w:tab w:val="right" w:pos="8306"/>
      </w:tabs>
      <w:snapToGrid w:val="0"/>
      <w:jc w:val="left"/>
    </w:pPr>
    <w:rPr>
      <w:kern w:val="0"/>
      <w:sz w:val="18"/>
      <w:szCs w:val="20"/>
    </w:rPr>
  </w:style>
  <w:style w:type="paragraph" w:styleId="12">
    <w:name w:val="header"/>
    <w:basedOn w:val="1"/>
    <w:link w:val="33"/>
    <w:semiHidden/>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uiPriority w:val="99"/>
    <w:pPr>
      <w:tabs>
        <w:tab w:val="right" w:leader="dot" w:pos="8296"/>
      </w:tabs>
      <w:spacing w:before="93"/>
      <w:jc w:val="center"/>
    </w:pPr>
    <w:rPr>
      <w:rFonts w:ascii="仿宋" w:hAnsi="仿宋" w:eastAsia="仿宋"/>
      <w:sz w:val="28"/>
      <w:szCs w:val="28"/>
    </w:rPr>
  </w:style>
  <w:style w:type="paragraph" w:styleId="14">
    <w:name w:val="toc 2"/>
    <w:basedOn w:val="1"/>
    <w:next w:val="1"/>
    <w:qFormat/>
    <w:uiPriority w:val="99"/>
    <w:pPr>
      <w:tabs>
        <w:tab w:val="right" w:leader="dot" w:pos="8296"/>
      </w:tabs>
      <w:ind w:left="420" w:leftChars="200"/>
    </w:pPr>
  </w:style>
  <w:style w:type="paragraph" w:styleId="15">
    <w:name w:val="Normal (Web)"/>
    <w:basedOn w:val="1"/>
    <w:semiHidden/>
    <w:qFormat/>
    <w:uiPriority w:val="99"/>
    <w:rPr>
      <w:sz w:val="24"/>
    </w:rPr>
  </w:style>
  <w:style w:type="paragraph" w:styleId="16">
    <w:name w:val="Body Text First Indent 2"/>
    <w:basedOn w:val="8"/>
    <w:link w:val="32"/>
    <w:qFormat/>
    <w:uiPriority w:val="99"/>
    <w:pPr>
      <w:ind w:firstLine="420" w:firstLineChars="200"/>
    </w:pPr>
  </w:style>
  <w:style w:type="character" w:styleId="19">
    <w:name w:val="Strong"/>
    <w:basedOn w:val="18"/>
    <w:qFormat/>
    <w:uiPriority w:val="99"/>
    <w:rPr>
      <w:rFonts w:ascii="Times New Roman" w:hAnsi="Times New Roman" w:cs="Times New Roman"/>
      <w:b/>
    </w:rPr>
  </w:style>
  <w:style w:type="character" w:styleId="20">
    <w:name w:val="Hyperlink"/>
    <w:basedOn w:val="18"/>
    <w:qFormat/>
    <w:uiPriority w:val="99"/>
    <w:rPr>
      <w:rFonts w:cs="Times New Roman"/>
      <w:color w:val="0000FF"/>
      <w:u w:val="single"/>
    </w:rPr>
  </w:style>
  <w:style w:type="character" w:styleId="21">
    <w:name w:val="annotation reference"/>
    <w:basedOn w:val="18"/>
    <w:semiHidden/>
    <w:uiPriority w:val="99"/>
    <w:rPr>
      <w:rFonts w:cs="Times New Roman"/>
      <w:sz w:val="21"/>
      <w:szCs w:val="21"/>
    </w:rPr>
  </w:style>
  <w:style w:type="character" w:customStyle="1" w:styleId="22">
    <w:name w:val="Heading 1 Char"/>
    <w:basedOn w:val="18"/>
    <w:link w:val="3"/>
    <w:qFormat/>
    <w:locked/>
    <w:uiPriority w:val="99"/>
    <w:rPr>
      <w:rFonts w:ascii="Times New Roman" w:hAnsi="Times New Roman" w:cs="Times New Roman"/>
      <w:b/>
      <w:bCs/>
      <w:kern w:val="44"/>
      <w:sz w:val="44"/>
      <w:szCs w:val="44"/>
    </w:rPr>
  </w:style>
  <w:style w:type="character" w:customStyle="1" w:styleId="23">
    <w:name w:val="Heading 2 Char"/>
    <w:basedOn w:val="18"/>
    <w:link w:val="4"/>
    <w:locked/>
    <w:uiPriority w:val="99"/>
    <w:rPr>
      <w:rFonts w:ascii="等线 Light" w:hAnsi="等线 Light" w:eastAsia="等线 Light" w:cs="Times New Roman"/>
      <w:b/>
      <w:bCs/>
      <w:kern w:val="2"/>
      <w:sz w:val="32"/>
      <w:szCs w:val="32"/>
    </w:rPr>
  </w:style>
  <w:style w:type="character" w:customStyle="1" w:styleId="24">
    <w:name w:val="Heading 3 Char"/>
    <w:basedOn w:val="18"/>
    <w:link w:val="5"/>
    <w:locked/>
    <w:uiPriority w:val="99"/>
    <w:rPr>
      <w:rFonts w:ascii="Times New Roman" w:hAnsi="Times New Roman" w:cs="Times New Roman"/>
      <w:b/>
      <w:bCs/>
      <w:kern w:val="2"/>
      <w:sz w:val="32"/>
      <w:szCs w:val="32"/>
    </w:rPr>
  </w:style>
  <w:style w:type="character" w:customStyle="1" w:styleId="25">
    <w:name w:val="Body Text Char"/>
    <w:basedOn w:val="18"/>
    <w:link w:val="2"/>
    <w:semiHidden/>
    <w:locked/>
    <w:uiPriority w:val="99"/>
    <w:rPr>
      <w:rFonts w:ascii="Times New Roman" w:hAnsi="Times New Roman" w:cs="Times New Roman"/>
      <w:sz w:val="24"/>
      <w:szCs w:val="24"/>
    </w:rPr>
  </w:style>
  <w:style w:type="character" w:customStyle="1" w:styleId="26">
    <w:name w:val="Comment Text Char"/>
    <w:basedOn w:val="18"/>
    <w:link w:val="6"/>
    <w:semiHidden/>
    <w:locked/>
    <w:uiPriority w:val="99"/>
    <w:rPr>
      <w:rFonts w:cs="Times New Roman"/>
      <w:sz w:val="24"/>
      <w:szCs w:val="24"/>
    </w:rPr>
  </w:style>
  <w:style w:type="character" w:customStyle="1" w:styleId="27">
    <w:name w:val="Salutation Char"/>
    <w:basedOn w:val="18"/>
    <w:link w:val="7"/>
    <w:semiHidden/>
    <w:locked/>
    <w:uiPriority w:val="99"/>
    <w:rPr>
      <w:rFonts w:cs="Times New Roman"/>
      <w:sz w:val="24"/>
      <w:szCs w:val="24"/>
    </w:rPr>
  </w:style>
  <w:style w:type="character" w:customStyle="1" w:styleId="28">
    <w:name w:val="Body Text Indent Char"/>
    <w:basedOn w:val="18"/>
    <w:link w:val="8"/>
    <w:qFormat/>
    <w:locked/>
    <w:uiPriority w:val="99"/>
    <w:rPr>
      <w:rFonts w:ascii="Times New Roman" w:hAnsi="Times New Roman" w:cs="Times New Roman"/>
      <w:kern w:val="2"/>
      <w:sz w:val="24"/>
      <w:szCs w:val="24"/>
    </w:rPr>
  </w:style>
  <w:style w:type="character" w:customStyle="1" w:styleId="29">
    <w:name w:val="Balloon Text Char"/>
    <w:basedOn w:val="18"/>
    <w:link w:val="10"/>
    <w:semiHidden/>
    <w:locked/>
    <w:uiPriority w:val="99"/>
    <w:rPr>
      <w:rFonts w:ascii="Times New Roman" w:hAnsi="Times New Roman" w:cs="Times New Roman"/>
      <w:kern w:val="2"/>
      <w:sz w:val="18"/>
      <w:szCs w:val="18"/>
    </w:rPr>
  </w:style>
  <w:style w:type="character" w:customStyle="1" w:styleId="30">
    <w:name w:val="Footer Char"/>
    <w:basedOn w:val="18"/>
    <w:link w:val="11"/>
    <w:semiHidden/>
    <w:locked/>
    <w:uiPriority w:val="99"/>
    <w:rPr>
      <w:rFonts w:ascii="Times New Roman" w:hAnsi="Times New Roman" w:cs="Times New Roman"/>
      <w:sz w:val="18"/>
      <w:szCs w:val="18"/>
    </w:rPr>
  </w:style>
  <w:style w:type="character" w:customStyle="1" w:styleId="31">
    <w:name w:val="Header Char"/>
    <w:basedOn w:val="18"/>
    <w:link w:val="12"/>
    <w:semiHidden/>
    <w:locked/>
    <w:uiPriority w:val="99"/>
    <w:rPr>
      <w:rFonts w:ascii="Times New Roman" w:hAnsi="Times New Roman" w:cs="Times New Roman"/>
      <w:sz w:val="18"/>
      <w:szCs w:val="18"/>
    </w:rPr>
  </w:style>
  <w:style w:type="character" w:customStyle="1" w:styleId="32">
    <w:name w:val="Body Text First Indent 2 Char"/>
    <w:basedOn w:val="28"/>
    <w:link w:val="16"/>
    <w:qFormat/>
    <w:locked/>
    <w:uiPriority w:val="99"/>
  </w:style>
  <w:style w:type="character" w:customStyle="1" w:styleId="33">
    <w:name w:val="Header Char1"/>
    <w:link w:val="12"/>
    <w:semiHidden/>
    <w:qFormat/>
    <w:locked/>
    <w:uiPriority w:val="99"/>
    <w:rPr>
      <w:sz w:val="18"/>
    </w:rPr>
  </w:style>
  <w:style w:type="character" w:customStyle="1" w:styleId="34">
    <w:name w:val="Footer Char1"/>
    <w:link w:val="11"/>
    <w:locked/>
    <w:uiPriority w:val="99"/>
    <w:rPr>
      <w:sz w:val="18"/>
    </w:rPr>
  </w:style>
  <w:style w:type="character" w:customStyle="1" w:styleId="35">
    <w:name w:val="正文文本 Char"/>
    <w:locked/>
    <w:uiPriority w:val="99"/>
    <w:rPr>
      <w:rFonts w:ascii="仿宋_GB2312" w:hAnsi="Times New Roman" w:eastAsia="仿宋_GB2312"/>
      <w:sz w:val="24"/>
    </w:rPr>
  </w:style>
  <w:style w:type="paragraph" w:customStyle="1" w:styleId="36">
    <w:name w:val="Defaul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7">
    <w:name w:val="List Paragraph"/>
    <w:basedOn w:val="1"/>
    <w:qFormat/>
    <w:uiPriority w:val="99"/>
    <w:pPr>
      <w:ind w:firstLine="420" w:firstLineChars="200"/>
    </w:pPr>
  </w:style>
  <w:style w:type="character" w:customStyle="1" w:styleId="38">
    <w:name w:val="标题 2 Char"/>
    <w:basedOn w:val="18"/>
    <w:link w:val="4"/>
    <w:locked/>
    <w:uiPriority w:val="99"/>
    <w:rPr>
      <w:rFonts w:ascii="Cambria" w:hAnsi="Cambria" w:eastAsia="宋体" w:cs="Times New Roman"/>
      <w:b/>
      <w:bCs/>
      <w:kern w:val="2"/>
      <w:sz w:val="32"/>
      <w:szCs w:val="32"/>
    </w:rPr>
  </w:style>
  <w:style w:type="paragraph" w:customStyle="1" w:styleId="39">
    <w:name w:val="TOC 标题1"/>
    <w:basedOn w:val="3"/>
    <w:next w:val="1"/>
    <w:uiPriority w:val="99"/>
    <w:pPr>
      <w:widowControl/>
      <w:spacing w:before="480" w:after="0" w:line="276" w:lineRule="auto"/>
      <w:jc w:val="left"/>
      <w:outlineLvl w:val="9"/>
    </w:pPr>
    <w:rPr>
      <w:rFonts w:ascii="Cambria" w:hAnsi="Cambria"/>
      <w:color w:val="365F91"/>
      <w:kern w:val="0"/>
      <w:sz w:val="28"/>
      <w:szCs w:val="28"/>
    </w:rPr>
  </w:style>
  <w:style w:type="paragraph" w:customStyle="1" w:styleId="40">
    <w:name w:val="TOC 标题2"/>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1">
    <w:name w:val="正文文本 字符"/>
    <w:basedOn w:val="18"/>
    <w:uiPriority w:val="99"/>
    <w:rPr>
      <w:rFonts w:cs="Times New Roman"/>
      <w:kern w:val="2"/>
      <w:sz w:val="24"/>
      <w:szCs w:val="24"/>
    </w:rPr>
  </w:style>
  <w:style w:type="character" w:customStyle="1" w:styleId="42">
    <w:name w:val="标题 2 Char1"/>
    <w:basedOn w:val="18"/>
    <w:link w:val="4"/>
    <w:locked/>
    <w:uiPriority w:val="99"/>
    <w:rPr>
      <w:rFonts w:ascii="等线 Light" w:hAnsi="等线 Light" w:eastAsia="等线 Light" w:cs="Times New Roman"/>
      <w:b/>
      <w:bCs/>
      <w:kern w:val="2"/>
      <w:sz w:val="32"/>
      <w:szCs w:val="32"/>
    </w:rPr>
  </w:style>
  <w:style w:type="character" w:customStyle="1" w:styleId="43">
    <w:name w:val="Body Text Char1"/>
    <w:basedOn w:val="18"/>
    <w:link w:val="2"/>
    <w:locked/>
    <w:uiPriority w:val="99"/>
    <w:rPr>
      <w:rFonts w:asci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19</Pages>
  <Words>5373</Words>
  <Characters>5784</Characters>
  <Lines>0</Lines>
  <Paragraphs>0</Paragraphs>
  <TotalTime>116</TotalTime>
  <ScaleCrop>false</ScaleCrop>
  <LinksUpToDate>false</LinksUpToDate>
  <CharactersWithSpaces>5833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2022-09-30T15:02:59Z</dcterms:modified>
  <dc:title>四川省***</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