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sz w:val="72"/>
          <w:szCs w:val="72"/>
        </w:rPr>
      </w:pPr>
      <w:bookmarkStart w:id="0" w:name="_Toc15306267"/>
    </w:p>
    <w:p>
      <w:pPr>
        <w:spacing w:line="600" w:lineRule="exact"/>
        <w:jc w:val="center"/>
        <w:outlineLvl w:val="0"/>
        <w:rPr>
          <w:rFonts w:ascii="方正小标宋简体" w:hAnsi="宋体" w:eastAsia="方正小标宋简体"/>
          <w:sz w:val="72"/>
          <w:szCs w:val="72"/>
        </w:rPr>
      </w:pPr>
    </w:p>
    <w:p>
      <w:pPr>
        <w:spacing w:line="600" w:lineRule="exact"/>
        <w:jc w:val="center"/>
        <w:outlineLvl w:val="0"/>
        <w:rPr>
          <w:rFonts w:ascii="方正小标宋简体" w:hAnsi="宋体" w:eastAsia="方正小标宋简体"/>
          <w:sz w:val="72"/>
          <w:szCs w:val="72"/>
        </w:rPr>
      </w:pPr>
    </w:p>
    <w:p>
      <w:pPr>
        <w:spacing w:line="600" w:lineRule="exact"/>
        <w:jc w:val="center"/>
        <w:outlineLvl w:val="0"/>
        <w:rPr>
          <w:rFonts w:ascii="方正小标宋简体" w:hAnsi="宋体" w:eastAsia="方正小标宋简体"/>
          <w:sz w:val="72"/>
          <w:szCs w:val="72"/>
        </w:rPr>
      </w:pPr>
    </w:p>
    <w:p>
      <w:pPr>
        <w:adjustRightInd w:val="0"/>
        <w:snapToGrid w:val="0"/>
        <w:spacing w:line="360" w:lineRule="auto"/>
        <w:jc w:val="center"/>
        <w:outlineLvl w:val="0"/>
        <w:rPr>
          <w:rFonts w:ascii="方正小标宋_GBK" w:hAnsi="方正小标宋_GBK" w:eastAsia="方正小标宋_GBK" w:cs="方正小标宋_GBK"/>
          <w:sz w:val="72"/>
          <w:szCs w:val="72"/>
        </w:rPr>
      </w:pPr>
      <w:bookmarkStart w:id="1" w:name="_Toc15377193"/>
      <w:bookmarkStart w:id="2" w:name="_Toc15378441"/>
      <w:bookmarkStart w:id="3" w:name="_Toc15396597"/>
      <w:bookmarkStart w:id="4" w:name="_Toc15377425"/>
      <w:bookmarkStart w:id="5" w:name="_Toc15396475"/>
      <w:r>
        <w:rPr>
          <w:rFonts w:ascii="方正小标宋_GBK" w:hAnsi="方正小标宋_GBK" w:eastAsia="方正小标宋_GBK" w:cs="方正小标宋_GBK"/>
          <w:sz w:val="72"/>
          <w:szCs w:val="72"/>
        </w:rPr>
        <w:t>2021</w:t>
      </w:r>
      <w:r>
        <w:rPr>
          <w:rFonts w:hint="eastAsia" w:ascii="方正小标宋_GBK" w:hAnsi="方正小标宋_GBK" w:eastAsia="方正小标宋_GBK" w:cs="方正小标宋_GBK"/>
          <w:sz w:val="72"/>
          <w:szCs w:val="72"/>
        </w:rPr>
        <w:t>年度</w:t>
      </w:r>
      <w:bookmarkEnd w:id="1"/>
      <w:bookmarkEnd w:id="2"/>
      <w:bookmarkEnd w:id="3"/>
      <w:bookmarkEnd w:id="4"/>
      <w:bookmarkEnd w:id="5"/>
    </w:p>
    <w:p>
      <w:pPr>
        <w:adjustRightInd w:val="0"/>
        <w:snapToGrid w:val="0"/>
        <w:spacing w:line="360" w:lineRule="auto"/>
        <w:jc w:val="center"/>
        <w:outlineLvl w:val="0"/>
        <w:rPr>
          <w:rFonts w:ascii="方正小标宋_GBK" w:hAnsi="方正小标宋_GBK" w:eastAsia="方正小标宋_GBK" w:cs="方正小标宋_GBK"/>
          <w:sz w:val="72"/>
          <w:szCs w:val="72"/>
        </w:rPr>
      </w:pPr>
      <w:bookmarkStart w:id="6" w:name="_Toc15377426"/>
      <w:bookmarkStart w:id="7" w:name="_Toc15396476"/>
      <w:bookmarkStart w:id="8" w:name="_Toc15377194"/>
      <w:bookmarkStart w:id="9" w:name="_Toc15396598"/>
      <w:bookmarkStart w:id="10" w:name="_Toc15378442"/>
      <w:r>
        <w:rPr>
          <w:rFonts w:hint="eastAsia" w:ascii="方正小标宋_GBK" w:hAnsi="方正小标宋_GBK" w:eastAsia="方正小标宋_GBK" w:cs="方正小标宋_GBK"/>
          <w:sz w:val="72"/>
          <w:szCs w:val="72"/>
        </w:rPr>
        <w:t>四川省</w:t>
      </w:r>
      <w:bookmarkEnd w:id="0"/>
      <w:bookmarkStart w:id="11" w:name="_Toc15306268"/>
      <w:r>
        <w:rPr>
          <w:rFonts w:hint="eastAsia" w:ascii="方正小标宋_GBK" w:hAnsi="方正小标宋_GBK" w:eastAsia="方正小标宋_GBK" w:cs="方正小标宋_GBK"/>
          <w:sz w:val="72"/>
          <w:szCs w:val="72"/>
        </w:rPr>
        <w:t>广元市昭化区太公镇小学单位决算</w:t>
      </w:r>
      <w:bookmarkEnd w:id="6"/>
      <w:bookmarkEnd w:id="7"/>
      <w:bookmarkEnd w:id="8"/>
      <w:bookmarkEnd w:id="9"/>
      <w:bookmarkEnd w:id="10"/>
      <w:bookmarkEnd w:id="11"/>
    </w:p>
    <w:p>
      <w:pPr>
        <w:widowControl/>
        <w:jc w:val="center"/>
        <w:rPr>
          <w:rFonts w:ascii="黑体" w:hAnsi="黑体" w:eastAsia="黑体"/>
          <w:sz w:val="48"/>
          <w:szCs w:val="48"/>
        </w:rPr>
      </w:pPr>
      <w:r>
        <w:rPr>
          <w:rFonts w:ascii="方正小标宋简体" w:hAnsi="宋体" w:eastAsia="方正小标宋简体"/>
          <w:sz w:val="36"/>
          <w:szCs w:val="36"/>
        </w:rPr>
        <w:br w:type="page"/>
      </w:r>
      <w:r>
        <w:rPr>
          <w:rFonts w:hint="eastAsia" w:ascii="黑体" w:hAnsi="黑体" w:eastAsia="黑体"/>
          <w:sz w:val="48"/>
          <w:szCs w:val="48"/>
        </w:rPr>
        <w:t>目录</w:t>
      </w:r>
    </w:p>
    <w:p>
      <w:pPr>
        <w:pStyle w:val="13"/>
        <w:jc w:val="both"/>
      </w:pPr>
    </w:p>
    <w:p/>
    <w:p>
      <w:pPr>
        <w:pStyle w:val="13"/>
        <w:tabs>
          <w:tab w:val="right" w:leader="middleDot" w:pos="8296"/>
        </w:tabs>
        <w:adjustRightInd w:val="0"/>
        <w:snapToGrid w:val="0"/>
        <w:spacing w:before="0" w:line="440" w:lineRule="exact"/>
        <w:jc w:val="left"/>
        <w:rPr>
          <w:sz w:val="24"/>
          <w:szCs w:val="24"/>
        </w:rPr>
      </w:pPr>
      <w:bookmarkStart w:id="12" w:name="_Toc15377196"/>
      <w:bookmarkStart w:id="13" w:name="_Toc15396599"/>
      <w:r>
        <w:rPr>
          <w:rFonts w:hint="eastAsia"/>
          <w:sz w:val="24"/>
        </w:rPr>
        <w:t>第一部分单位概况</w:t>
      </w:r>
      <w:r>
        <w:rPr>
          <w:sz w:val="24"/>
        </w:rPr>
        <w:tab/>
      </w:r>
      <w:r>
        <w:rPr>
          <w:sz w:val="24"/>
        </w:rPr>
        <w:t>4</w:t>
      </w:r>
    </w:p>
    <w:p>
      <w:pPr>
        <w:pStyle w:val="14"/>
        <w:adjustRightInd w:val="0"/>
        <w:snapToGrid w:val="0"/>
        <w:spacing w:line="440" w:lineRule="exact"/>
        <w:ind w:left="31680"/>
        <w:jc w:val="distribute"/>
        <w:rPr>
          <w:sz w:val="24"/>
        </w:rPr>
      </w:pPr>
      <w:r>
        <w:rPr>
          <w:rFonts w:hint="eastAsia"/>
          <w:sz w:val="24"/>
        </w:rPr>
        <w:t>一、职能简介</w:t>
      </w:r>
      <w:r>
        <w:rPr>
          <w:sz w:val="24"/>
        </w:rPr>
        <w:tab/>
      </w:r>
      <w:r>
        <w:rPr>
          <w:sz w:val="24"/>
        </w:rPr>
        <w:t>4</w:t>
      </w:r>
    </w:p>
    <w:p>
      <w:pPr>
        <w:pStyle w:val="14"/>
        <w:adjustRightInd w:val="0"/>
        <w:snapToGrid w:val="0"/>
        <w:spacing w:line="440" w:lineRule="exact"/>
        <w:ind w:left="31680"/>
        <w:jc w:val="distribute"/>
        <w:rPr>
          <w:rFonts w:ascii="宋体" w:cs="宋体"/>
          <w:sz w:val="24"/>
        </w:rPr>
      </w:pPr>
      <w:r>
        <w:rPr>
          <w:rFonts w:hint="eastAsia" w:ascii="宋体" w:hAnsi="宋体" w:cs="宋体"/>
          <w:sz w:val="24"/>
        </w:rPr>
        <w:t>二、</w:t>
      </w:r>
      <w:r>
        <w:rPr>
          <w:rFonts w:ascii="宋体" w:hAnsi="宋体" w:cs="宋体"/>
          <w:sz w:val="24"/>
        </w:rPr>
        <w:t>2021</w:t>
      </w:r>
      <w:r>
        <w:rPr>
          <w:rFonts w:hint="eastAsia" w:ascii="宋体" w:hAnsi="宋体" w:cs="宋体"/>
          <w:sz w:val="24"/>
        </w:rPr>
        <w:t>年重点工作完成情况</w:t>
      </w:r>
      <w:r>
        <w:rPr>
          <w:sz w:val="24"/>
        </w:rPr>
        <w:tab/>
      </w:r>
      <w:r>
        <w:rPr>
          <w:sz w:val="24"/>
        </w:rPr>
        <w:t>5</w:t>
      </w:r>
    </w:p>
    <w:p>
      <w:pPr>
        <w:pStyle w:val="13"/>
        <w:adjustRightInd w:val="0"/>
        <w:snapToGrid w:val="0"/>
        <w:spacing w:before="0" w:line="440" w:lineRule="exact"/>
        <w:jc w:val="left"/>
        <w:rPr>
          <w:sz w:val="24"/>
          <w:szCs w:val="24"/>
        </w:rPr>
      </w:pPr>
      <w:r>
        <w:rPr>
          <w:rFonts w:hint="eastAsia"/>
          <w:sz w:val="24"/>
        </w:rPr>
        <w:t>第二部分</w:t>
      </w:r>
      <w:r>
        <w:rPr>
          <w:sz w:val="24"/>
        </w:rPr>
        <w:t xml:space="preserve"> 2021</w:t>
      </w:r>
      <w:r>
        <w:rPr>
          <w:rFonts w:hint="eastAsia"/>
          <w:sz w:val="24"/>
        </w:rPr>
        <w:t>年度单位决算情况说明</w:t>
      </w:r>
      <w:r>
        <w:rPr>
          <w:sz w:val="24"/>
        </w:rPr>
        <w:tab/>
      </w:r>
      <w:r>
        <w:rPr>
          <w:sz w:val="24"/>
        </w:rPr>
        <w:t>9</w:t>
      </w:r>
    </w:p>
    <w:p>
      <w:pPr>
        <w:pStyle w:val="14"/>
        <w:adjustRightInd w:val="0"/>
        <w:snapToGrid w:val="0"/>
        <w:spacing w:line="440" w:lineRule="exact"/>
        <w:ind w:left="31680"/>
        <w:jc w:val="distribute"/>
        <w:rPr>
          <w:rFonts w:ascii="仿宋" w:hAnsi="仿宋" w:eastAsia="仿宋"/>
          <w:sz w:val="24"/>
        </w:rPr>
      </w:pPr>
      <w:r>
        <w:rPr>
          <w:rFonts w:hint="eastAsia"/>
          <w:sz w:val="24"/>
        </w:rPr>
        <w:t>一、收入支出决算总体情况说明</w:t>
      </w:r>
      <w:r>
        <w:rPr>
          <w:sz w:val="24"/>
        </w:rPr>
        <w:tab/>
      </w:r>
      <w:r>
        <w:rPr>
          <w:sz w:val="24"/>
        </w:rPr>
        <w:t>9</w:t>
      </w:r>
    </w:p>
    <w:p>
      <w:pPr>
        <w:pStyle w:val="14"/>
        <w:adjustRightInd w:val="0"/>
        <w:snapToGrid w:val="0"/>
        <w:spacing w:line="440" w:lineRule="exact"/>
        <w:ind w:left="31680"/>
        <w:jc w:val="distribute"/>
        <w:rPr>
          <w:rFonts w:ascii="仿宋" w:hAnsi="仿宋" w:eastAsia="仿宋"/>
          <w:sz w:val="24"/>
        </w:rPr>
      </w:pPr>
      <w:r>
        <w:rPr>
          <w:rFonts w:hint="eastAsia"/>
          <w:sz w:val="24"/>
        </w:rPr>
        <w:t>二、收入决算情况说明</w:t>
      </w:r>
      <w:r>
        <w:rPr>
          <w:sz w:val="24"/>
        </w:rPr>
        <w:tab/>
      </w:r>
      <w:r>
        <w:rPr>
          <w:sz w:val="24"/>
        </w:rPr>
        <w:t>9</w:t>
      </w:r>
    </w:p>
    <w:p>
      <w:pPr>
        <w:pStyle w:val="14"/>
        <w:adjustRightInd w:val="0"/>
        <w:snapToGrid w:val="0"/>
        <w:spacing w:line="440" w:lineRule="exact"/>
        <w:ind w:left="31680"/>
        <w:jc w:val="distribute"/>
        <w:rPr>
          <w:rFonts w:ascii="仿宋" w:hAnsi="仿宋" w:eastAsia="仿宋"/>
          <w:sz w:val="24"/>
        </w:rPr>
      </w:pPr>
      <w:r>
        <w:rPr>
          <w:rFonts w:hint="eastAsia"/>
          <w:sz w:val="24"/>
        </w:rPr>
        <w:t>三、支出决算情况说明</w:t>
      </w:r>
      <w:r>
        <w:rPr>
          <w:sz w:val="24"/>
        </w:rPr>
        <w:tab/>
      </w:r>
      <w:r>
        <w:rPr>
          <w:sz w:val="24"/>
        </w:rPr>
        <w:t>10</w:t>
      </w:r>
    </w:p>
    <w:p>
      <w:pPr>
        <w:pStyle w:val="14"/>
        <w:adjustRightInd w:val="0"/>
        <w:snapToGrid w:val="0"/>
        <w:spacing w:line="440" w:lineRule="exact"/>
        <w:ind w:left="31680"/>
        <w:jc w:val="distribute"/>
        <w:rPr>
          <w:rFonts w:ascii="仿宋" w:hAnsi="仿宋" w:eastAsia="仿宋"/>
          <w:sz w:val="24"/>
        </w:rPr>
      </w:pPr>
      <w:r>
        <w:rPr>
          <w:rFonts w:hint="eastAsia"/>
          <w:sz w:val="24"/>
        </w:rPr>
        <w:t>四、财政拨款收入支出决算总体情况说明</w:t>
      </w:r>
      <w:r>
        <w:rPr>
          <w:sz w:val="24"/>
        </w:rPr>
        <w:tab/>
      </w:r>
      <w:r>
        <w:rPr>
          <w:sz w:val="24"/>
        </w:rPr>
        <w:t>10</w:t>
      </w:r>
    </w:p>
    <w:p>
      <w:pPr>
        <w:pStyle w:val="14"/>
        <w:adjustRightInd w:val="0"/>
        <w:snapToGrid w:val="0"/>
        <w:spacing w:line="440" w:lineRule="exact"/>
        <w:ind w:left="31680"/>
        <w:jc w:val="distribute"/>
        <w:rPr>
          <w:rFonts w:ascii="仿宋" w:hAnsi="仿宋" w:eastAsia="仿宋"/>
          <w:sz w:val="24"/>
        </w:rPr>
      </w:pPr>
      <w:r>
        <w:rPr>
          <w:rFonts w:hint="eastAsia"/>
          <w:sz w:val="24"/>
        </w:rPr>
        <w:t>五、一般公共预算财政拨款支出决算情况说明</w:t>
      </w:r>
      <w:r>
        <w:rPr>
          <w:sz w:val="24"/>
        </w:rPr>
        <w:tab/>
      </w:r>
      <w:r>
        <w:rPr>
          <w:sz w:val="24"/>
        </w:rPr>
        <w:t>11</w:t>
      </w:r>
    </w:p>
    <w:p>
      <w:pPr>
        <w:pStyle w:val="14"/>
        <w:adjustRightInd w:val="0"/>
        <w:snapToGrid w:val="0"/>
        <w:spacing w:line="440" w:lineRule="exact"/>
        <w:ind w:left="31680"/>
        <w:jc w:val="distribute"/>
        <w:rPr>
          <w:rFonts w:ascii="仿宋" w:hAnsi="仿宋" w:eastAsia="仿宋"/>
          <w:sz w:val="24"/>
        </w:rPr>
      </w:pPr>
      <w:r>
        <w:rPr>
          <w:rFonts w:hint="eastAsia"/>
          <w:sz w:val="24"/>
        </w:rPr>
        <w:t>六、一般公共预算财政拨款基本支出决算情况说明</w:t>
      </w:r>
      <w:r>
        <w:rPr>
          <w:sz w:val="24"/>
        </w:rPr>
        <w:tab/>
      </w:r>
      <w:r>
        <w:rPr>
          <w:sz w:val="24"/>
        </w:rPr>
        <w:t>12</w:t>
      </w:r>
    </w:p>
    <w:p>
      <w:pPr>
        <w:pStyle w:val="14"/>
        <w:adjustRightInd w:val="0"/>
        <w:snapToGrid w:val="0"/>
        <w:spacing w:line="440" w:lineRule="exact"/>
        <w:ind w:left="31680"/>
        <w:jc w:val="distribute"/>
        <w:rPr>
          <w:rFonts w:ascii="仿宋" w:hAnsi="仿宋" w:eastAsia="仿宋"/>
          <w:sz w:val="24"/>
        </w:rPr>
      </w:pPr>
      <w:r>
        <w:rPr>
          <w:rFonts w:hint="eastAsia"/>
          <w:sz w:val="24"/>
        </w:rPr>
        <w:t>七、“三公”经费财政拨款支出决算情况说明</w:t>
      </w:r>
      <w:r>
        <w:rPr>
          <w:sz w:val="24"/>
        </w:rPr>
        <w:tab/>
      </w:r>
      <w:r>
        <w:rPr>
          <w:sz w:val="24"/>
        </w:rPr>
        <w:t>12</w:t>
      </w:r>
    </w:p>
    <w:p>
      <w:pPr>
        <w:pStyle w:val="14"/>
        <w:adjustRightInd w:val="0"/>
        <w:snapToGrid w:val="0"/>
        <w:spacing w:line="440" w:lineRule="exact"/>
        <w:ind w:left="31680"/>
        <w:jc w:val="distribute"/>
        <w:rPr>
          <w:rFonts w:ascii="仿宋" w:hAnsi="仿宋" w:eastAsia="仿宋"/>
          <w:sz w:val="24"/>
        </w:rPr>
      </w:pPr>
      <w:r>
        <w:rPr>
          <w:rFonts w:hint="eastAsia"/>
          <w:sz w:val="24"/>
        </w:rPr>
        <w:t>八、政府性基金预算支出决算情况说明</w:t>
      </w:r>
      <w:r>
        <w:rPr>
          <w:sz w:val="24"/>
        </w:rPr>
        <w:tab/>
      </w:r>
      <w:r>
        <w:rPr>
          <w:sz w:val="24"/>
        </w:rPr>
        <w:t>14</w:t>
      </w:r>
    </w:p>
    <w:p>
      <w:pPr>
        <w:pStyle w:val="14"/>
        <w:adjustRightInd w:val="0"/>
        <w:snapToGrid w:val="0"/>
        <w:spacing w:line="440" w:lineRule="exact"/>
        <w:ind w:left="31680"/>
        <w:jc w:val="distribute"/>
        <w:rPr>
          <w:sz w:val="24"/>
        </w:rPr>
      </w:pPr>
      <w:r>
        <w:rPr>
          <w:rFonts w:hint="eastAsia"/>
          <w:sz w:val="24"/>
        </w:rPr>
        <w:t>九、国有资本经营预算支出决算情况说明</w:t>
      </w:r>
      <w:r>
        <w:rPr>
          <w:sz w:val="24"/>
        </w:rPr>
        <w:tab/>
      </w:r>
      <w:r>
        <w:rPr>
          <w:sz w:val="24"/>
        </w:rPr>
        <w:t>14</w:t>
      </w:r>
    </w:p>
    <w:p>
      <w:pPr>
        <w:pStyle w:val="14"/>
        <w:adjustRightInd w:val="0"/>
        <w:snapToGrid w:val="0"/>
        <w:spacing w:line="440" w:lineRule="exact"/>
        <w:ind w:left="31680"/>
        <w:jc w:val="distribute"/>
      </w:pPr>
      <w:r>
        <w:rPr>
          <w:rFonts w:hint="eastAsia"/>
          <w:sz w:val="24"/>
        </w:rPr>
        <w:t>十、</w:t>
      </w:r>
      <w:r>
        <w:rPr>
          <w:rFonts w:hint="eastAsia" w:ascii="宋体" w:hAnsi="宋体" w:cs="宋体"/>
          <w:sz w:val="24"/>
        </w:rPr>
        <w:t>预算绩效管理情况</w:t>
      </w:r>
      <w:r>
        <w:rPr>
          <w:sz w:val="24"/>
        </w:rPr>
        <w:tab/>
      </w:r>
      <w:r>
        <w:rPr>
          <w:sz w:val="24"/>
        </w:rPr>
        <w:t>15</w:t>
      </w:r>
    </w:p>
    <w:p>
      <w:pPr>
        <w:pStyle w:val="14"/>
        <w:adjustRightInd w:val="0"/>
        <w:snapToGrid w:val="0"/>
        <w:spacing w:line="440" w:lineRule="exact"/>
        <w:ind w:left="31680"/>
        <w:jc w:val="distribute"/>
      </w:pPr>
      <w:r>
        <w:rPr>
          <w:rFonts w:hint="eastAsia"/>
          <w:sz w:val="24"/>
        </w:rPr>
        <w:t>十一、其他重要事项的情况说明</w:t>
      </w:r>
      <w:r>
        <w:rPr>
          <w:sz w:val="24"/>
        </w:rPr>
        <w:tab/>
      </w:r>
      <w:r>
        <w:rPr>
          <w:sz w:val="24"/>
        </w:rPr>
        <w:t>15</w:t>
      </w:r>
    </w:p>
    <w:p>
      <w:pPr>
        <w:pStyle w:val="13"/>
        <w:adjustRightInd w:val="0"/>
        <w:snapToGrid w:val="0"/>
        <w:spacing w:before="0" w:line="440" w:lineRule="exact"/>
        <w:jc w:val="left"/>
        <w:rPr>
          <w:rFonts w:ascii="Times New Roman" w:hAnsi="Times New Roman" w:eastAsia="宋体"/>
          <w:sz w:val="24"/>
          <w:szCs w:val="24"/>
        </w:rPr>
      </w:pPr>
      <w:r>
        <w:rPr>
          <w:rFonts w:hint="eastAsia"/>
          <w:sz w:val="24"/>
        </w:rPr>
        <w:t>第三部分名词解释</w:t>
      </w:r>
      <w:r>
        <w:rPr>
          <w:sz w:val="24"/>
        </w:rPr>
        <w:tab/>
      </w:r>
      <w:r>
        <w:rPr>
          <w:rFonts w:ascii="Times New Roman" w:hAnsi="Times New Roman" w:eastAsia="宋体"/>
          <w:sz w:val="24"/>
          <w:szCs w:val="24"/>
        </w:rPr>
        <w:t>16</w:t>
      </w:r>
    </w:p>
    <w:p>
      <w:pPr>
        <w:pStyle w:val="13"/>
        <w:adjustRightInd w:val="0"/>
        <w:snapToGrid w:val="0"/>
        <w:spacing w:before="0" w:line="440" w:lineRule="exact"/>
        <w:jc w:val="left"/>
        <w:rPr>
          <w:sz w:val="24"/>
          <w:szCs w:val="24"/>
        </w:rPr>
      </w:pPr>
      <w:r>
        <w:rPr>
          <w:rFonts w:hint="eastAsia"/>
          <w:sz w:val="24"/>
        </w:rPr>
        <w:t>第四部分附件</w:t>
      </w:r>
      <w:r>
        <w:rPr>
          <w:sz w:val="24"/>
        </w:rPr>
        <w:tab/>
      </w:r>
      <w:r>
        <w:rPr>
          <w:rFonts w:ascii="Times New Roman" w:hAnsi="Times New Roman" w:eastAsia="宋体"/>
          <w:sz w:val="24"/>
          <w:szCs w:val="24"/>
        </w:rPr>
        <w:t>19</w:t>
      </w:r>
    </w:p>
    <w:p>
      <w:pPr>
        <w:pStyle w:val="13"/>
        <w:adjustRightInd w:val="0"/>
        <w:snapToGrid w:val="0"/>
        <w:spacing w:before="0" w:line="440" w:lineRule="exact"/>
        <w:jc w:val="left"/>
        <w:rPr>
          <w:sz w:val="24"/>
          <w:szCs w:val="24"/>
        </w:rPr>
      </w:pPr>
      <w:r>
        <w:rPr>
          <w:rFonts w:hint="eastAsia"/>
          <w:sz w:val="24"/>
        </w:rPr>
        <w:t>第五部分附表</w:t>
      </w:r>
      <w:r>
        <w:rPr>
          <w:sz w:val="24"/>
        </w:rPr>
        <w:tab/>
      </w:r>
      <w:r>
        <w:rPr>
          <w:rFonts w:ascii="Times New Roman" w:hAnsi="Times New Roman" w:eastAsia="宋体"/>
          <w:sz w:val="24"/>
          <w:szCs w:val="24"/>
        </w:rPr>
        <w:t>20</w:t>
      </w:r>
    </w:p>
    <w:p>
      <w:pPr>
        <w:pStyle w:val="14"/>
        <w:adjustRightInd w:val="0"/>
        <w:snapToGrid w:val="0"/>
        <w:spacing w:line="440" w:lineRule="exact"/>
        <w:ind w:left="31680"/>
        <w:jc w:val="left"/>
        <w:rPr>
          <w:sz w:val="24"/>
        </w:rPr>
      </w:pPr>
      <w:r>
        <w:rPr>
          <w:rFonts w:hint="eastAsia"/>
          <w:sz w:val="24"/>
        </w:rPr>
        <w:t>一、收入支出决算总表</w:t>
      </w:r>
      <w:r>
        <w:rPr>
          <w:sz w:val="24"/>
        </w:rPr>
        <w:tab/>
      </w:r>
      <w:r>
        <w:rPr>
          <w:sz w:val="24"/>
        </w:rPr>
        <w:t>20</w:t>
      </w:r>
    </w:p>
    <w:p>
      <w:pPr>
        <w:pStyle w:val="14"/>
        <w:adjustRightInd w:val="0"/>
        <w:snapToGrid w:val="0"/>
        <w:spacing w:line="440" w:lineRule="exact"/>
        <w:ind w:left="31680"/>
        <w:jc w:val="left"/>
        <w:rPr>
          <w:sz w:val="24"/>
        </w:rPr>
      </w:pPr>
      <w:r>
        <w:rPr>
          <w:rFonts w:hint="eastAsia"/>
          <w:sz w:val="24"/>
        </w:rPr>
        <w:t>二、收入决算表</w:t>
      </w:r>
      <w:r>
        <w:rPr>
          <w:sz w:val="24"/>
        </w:rPr>
        <w:tab/>
      </w:r>
      <w:r>
        <w:rPr>
          <w:sz w:val="24"/>
        </w:rPr>
        <w:t>20</w:t>
      </w:r>
    </w:p>
    <w:p>
      <w:pPr>
        <w:pStyle w:val="14"/>
        <w:adjustRightInd w:val="0"/>
        <w:snapToGrid w:val="0"/>
        <w:spacing w:line="440" w:lineRule="exact"/>
        <w:ind w:left="31680"/>
        <w:jc w:val="left"/>
        <w:rPr>
          <w:sz w:val="24"/>
        </w:rPr>
      </w:pPr>
      <w:r>
        <w:rPr>
          <w:rFonts w:hint="eastAsia"/>
          <w:sz w:val="24"/>
        </w:rPr>
        <w:t>三、支出决算表</w:t>
      </w:r>
      <w:r>
        <w:rPr>
          <w:sz w:val="24"/>
        </w:rPr>
        <w:tab/>
      </w:r>
      <w:r>
        <w:rPr>
          <w:sz w:val="24"/>
        </w:rPr>
        <w:t>20</w:t>
      </w:r>
    </w:p>
    <w:p>
      <w:pPr>
        <w:pStyle w:val="14"/>
        <w:adjustRightInd w:val="0"/>
        <w:snapToGrid w:val="0"/>
        <w:spacing w:line="440" w:lineRule="exact"/>
        <w:ind w:left="31680"/>
        <w:jc w:val="left"/>
        <w:rPr>
          <w:sz w:val="24"/>
        </w:rPr>
      </w:pPr>
      <w:r>
        <w:rPr>
          <w:rFonts w:hint="eastAsia"/>
          <w:sz w:val="24"/>
        </w:rPr>
        <w:t>四、财政拨款收入支出决算总表</w:t>
      </w:r>
      <w:r>
        <w:rPr>
          <w:sz w:val="24"/>
        </w:rPr>
        <w:tab/>
      </w:r>
      <w:r>
        <w:rPr>
          <w:sz w:val="24"/>
        </w:rPr>
        <w:t>20</w:t>
      </w:r>
    </w:p>
    <w:p>
      <w:pPr>
        <w:pStyle w:val="14"/>
        <w:adjustRightInd w:val="0"/>
        <w:snapToGrid w:val="0"/>
        <w:spacing w:line="440" w:lineRule="exact"/>
        <w:ind w:left="31680"/>
        <w:jc w:val="left"/>
        <w:rPr>
          <w:sz w:val="24"/>
        </w:rPr>
      </w:pPr>
      <w:r>
        <w:rPr>
          <w:rFonts w:hint="eastAsia"/>
          <w:sz w:val="24"/>
        </w:rPr>
        <w:t>五、财政拨款支出决算明细表</w:t>
      </w:r>
      <w:r>
        <w:rPr>
          <w:sz w:val="24"/>
        </w:rPr>
        <w:tab/>
      </w:r>
      <w:r>
        <w:rPr>
          <w:sz w:val="24"/>
        </w:rPr>
        <w:t>20</w:t>
      </w:r>
    </w:p>
    <w:p>
      <w:pPr>
        <w:pStyle w:val="14"/>
        <w:adjustRightInd w:val="0"/>
        <w:snapToGrid w:val="0"/>
        <w:spacing w:line="440" w:lineRule="exact"/>
        <w:ind w:left="31680"/>
        <w:jc w:val="left"/>
        <w:rPr>
          <w:sz w:val="24"/>
        </w:rPr>
      </w:pPr>
      <w:r>
        <w:rPr>
          <w:rFonts w:hint="eastAsia"/>
          <w:sz w:val="24"/>
        </w:rPr>
        <w:t>六、一般公共预算财政拨款支出决算表</w:t>
      </w:r>
      <w:r>
        <w:rPr>
          <w:sz w:val="24"/>
        </w:rPr>
        <w:tab/>
      </w:r>
      <w:r>
        <w:rPr>
          <w:sz w:val="24"/>
        </w:rPr>
        <w:t>20</w:t>
      </w:r>
    </w:p>
    <w:p>
      <w:pPr>
        <w:pStyle w:val="14"/>
        <w:adjustRightInd w:val="0"/>
        <w:snapToGrid w:val="0"/>
        <w:spacing w:line="440" w:lineRule="exact"/>
        <w:ind w:left="31680"/>
        <w:jc w:val="left"/>
        <w:rPr>
          <w:sz w:val="24"/>
        </w:rPr>
      </w:pPr>
      <w:r>
        <w:rPr>
          <w:rFonts w:hint="eastAsia"/>
          <w:sz w:val="24"/>
        </w:rPr>
        <w:t>七、一般公共预算财政拨款支出决算明细表</w:t>
      </w:r>
      <w:r>
        <w:rPr>
          <w:sz w:val="24"/>
        </w:rPr>
        <w:tab/>
      </w:r>
      <w:r>
        <w:rPr>
          <w:sz w:val="24"/>
        </w:rPr>
        <w:t>20</w:t>
      </w:r>
    </w:p>
    <w:p>
      <w:pPr>
        <w:pStyle w:val="14"/>
        <w:adjustRightInd w:val="0"/>
        <w:snapToGrid w:val="0"/>
        <w:spacing w:line="440" w:lineRule="exact"/>
        <w:ind w:left="31680"/>
        <w:jc w:val="left"/>
        <w:rPr>
          <w:sz w:val="24"/>
        </w:rPr>
      </w:pPr>
      <w:r>
        <w:rPr>
          <w:rFonts w:hint="eastAsia"/>
          <w:sz w:val="24"/>
        </w:rPr>
        <w:t>八、一般公共预算财政拨款基本支出决算表</w:t>
      </w:r>
      <w:r>
        <w:rPr>
          <w:sz w:val="24"/>
        </w:rPr>
        <w:tab/>
      </w:r>
      <w:r>
        <w:rPr>
          <w:sz w:val="24"/>
        </w:rPr>
        <w:t>20</w:t>
      </w:r>
    </w:p>
    <w:p>
      <w:pPr>
        <w:pStyle w:val="14"/>
        <w:adjustRightInd w:val="0"/>
        <w:snapToGrid w:val="0"/>
        <w:spacing w:line="440" w:lineRule="exact"/>
        <w:ind w:left="31680"/>
        <w:jc w:val="left"/>
        <w:rPr>
          <w:sz w:val="24"/>
        </w:rPr>
      </w:pPr>
      <w:r>
        <w:rPr>
          <w:rFonts w:hint="eastAsia"/>
          <w:sz w:val="24"/>
        </w:rPr>
        <w:t>九、一般公共预算财政拨款项目支出决算表</w:t>
      </w:r>
      <w:r>
        <w:rPr>
          <w:sz w:val="24"/>
        </w:rPr>
        <w:tab/>
      </w:r>
      <w:r>
        <w:rPr>
          <w:sz w:val="24"/>
        </w:rPr>
        <w:t>20</w:t>
      </w:r>
    </w:p>
    <w:p>
      <w:pPr>
        <w:pStyle w:val="14"/>
        <w:adjustRightInd w:val="0"/>
        <w:snapToGrid w:val="0"/>
        <w:spacing w:line="440" w:lineRule="exact"/>
        <w:ind w:left="31680"/>
        <w:jc w:val="left"/>
        <w:rPr>
          <w:sz w:val="24"/>
        </w:rPr>
      </w:pPr>
      <w:r>
        <w:rPr>
          <w:rFonts w:hint="eastAsia"/>
          <w:sz w:val="24"/>
        </w:rPr>
        <w:t>十、一般公共预算财政拨款“三公”经费支出决算表</w:t>
      </w:r>
      <w:r>
        <w:rPr>
          <w:sz w:val="24"/>
        </w:rPr>
        <w:tab/>
      </w:r>
      <w:r>
        <w:rPr>
          <w:sz w:val="24"/>
        </w:rPr>
        <w:t>20</w:t>
      </w:r>
    </w:p>
    <w:p>
      <w:pPr>
        <w:pStyle w:val="14"/>
        <w:adjustRightInd w:val="0"/>
        <w:snapToGrid w:val="0"/>
        <w:spacing w:line="440" w:lineRule="exact"/>
        <w:ind w:left="31680"/>
        <w:jc w:val="left"/>
        <w:rPr>
          <w:sz w:val="24"/>
        </w:rPr>
      </w:pPr>
      <w:r>
        <w:rPr>
          <w:rFonts w:hint="eastAsia"/>
          <w:sz w:val="24"/>
        </w:rPr>
        <w:t>十一、政府性基金预算财政拨款收入支出决算表</w:t>
      </w:r>
      <w:r>
        <w:rPr>
          <w:sz w:val="24"/>
        </w:rPr>
        <w:tab/>
      </w:r>
      <w:r>
        <w:rPr>
          <w:sz w:val="24"/>
        </w:rPr>
        <w:t>20</w:t>
      </w:r>
    </w:p>
    <w:p>
      <w:pPr>
        <w:pStyle w:val="14"/>
        <w:adjustRightInd w:val="0"/>
        <w:snapToGrid w:val="0"/>
        <w:spacing w:line="440" w:lineRule="exact"/>
        <w:ind w:left="31680"/>
        <w:jc w:val="left"/>
        <w:rPr>
          <w:sz w:val="24"/>
        </w:rPr>
      </w:pPr>
      <w:r>
        <w:rPr>
          <w:rFonts w:hint="eastAsia"/>
          <w:sz w:val="24"/>
        </w:rPr>
        <w:t>十二、政府性基金预算财政拨款“三公”经费支出决算表</w:t>
      </w:r>
      <w:r>
        <w:rPr>
          <w:sz w:val="24"/>
        </w:rPr>
        <w:tab/>
      </w:r>
      <w:r>
        <w:rPr>
          <w:sz w:val="24"/>
        </w:rPr>
        <w:t>20</w:t>
      </w:r>
    </w:p>
    <w:p>
      <w:pPr>
        <w:pStyle w:val="14"/>
        <w:adjustRightInd w:val="0"/>
        <w:snapToGrid w:val="0"/>
        <w:spacing w:line="440" w:lineRule="exact"/>
        <w:ind w:left="31680"/>
        <w:jc w:val="left"/>
        <w:rPr>
          <w:sz w:val="24"/>
        </w:rPr>
      </w:pPr>
      <w:r>
        <w:rPr>
          <w:rFonts w:hint="eastAsia"/>
          <w:sz w:val="24"/>
        </w:rPr>
        <w:t>十三、国有资本经营预算财政拨款收入支出决算表</w:t>
      </w:r>
      <w:r>
        <w:rPr>
          <w:sz w:val="24"/>
        </w:rPr>
        <w:tab/>
      </w:r>
      <w:r>
        <w:rPr>
          <w:sz w:val="24"/>
        </w:rPr>
        <w:t>20</w:t>
      </w:r>
    </w:p>
    <w:p>
      <w:pPr>
        <w:pStyle w:val="14"/>
        <w:adjustRightInd w:val="0"/>
        <w:snapToGrid w:val="0"/>
        <w:spacing w:line="440" w:lineRule="exact"/>
        <w:ind w:left="31680"/>
        <w:jc w:val="left"/>
        <w:rPr>
          <w:rFonts w:ascii="仿宋" w:hAnsi="仿宋" w:eastAsia="仿宋"/>
          <w:bCs/>
          <w:kern w:val="44"/>
          <w:sz w:val="24"/>
        </w:rPr>
      </w:pPr>
      <w:r>
        <w:rPr>
          <w:rFonts w:hint="eastAsia"/>
          <w:sz w:val="24"/>
        </w:rPr>
        <w:t>十四、国有资本经营预算财政拨款支出决算表</w:t>
      </w:r>
      <w:r>
        <w:rPr>
          <w:sz w:val="24"/>
        </w:rPr>
        <w:tab/>
      </w:r>
      <w:r>
        <w:rPr>
          <w:sz w:val="24"/>
        </w:rPr>
        <w:t>20</w:t>
      </w:r>
      <w:r>
        <w:rPr>
          <w:rFonts w:ascii="仿宋" w:hAnsi="仿宋" w:eastAsia="仿宋"/>
          <w:b/>
          <w:sz w:val="24"/>
        </w:rPr>
        <w:br w:type="page"/>
      </w:r>
    </w:p>
    <w:p>
      <w:pPr>
        <w:pStyle w:val="3"/>
        <w:jc w:val="center"/>
        <w:rPr>
          <w:rStyle w:val="22"/>
          <w:rFonts w:ascii="黑体" w:hAnsi="黑体" w:eastAsia="黑体"/>
          <w:b/>
          <w:bCs w:val="0"/>
        </w:rPr>
      </w:pPr>
      <w:r>
        <w:rPr>
          <w:rFonts w:hint="eastAsia" w:ascii="黑体" w:hAnsi="黑体" w:eastAsia="黑体"/>
          <w:b w:val="0"/>
        </w:rPr>
        <w:t>第一部分</w:t>
      </w:r>
      <w:r>
        <w:rPr>
          <w:rFonts w:ascii="黑体" w:hAnsi="黑体" w:eastAsia="黑体"/>
          <w:b w:val="0"/>
        </w:rPr>
        <w:t xml:space="preserve"> </w:t>
      </w:r>
      <w:r>
        <w:rPr>
          <w:rFonts w:hint="eastAsia" w:ascii="黑体" w:hAnsi="黑体" w:eastAsia="黑体"/>
          <w:b w:val="0"/>
        </w:rPr>
        <w:t>单位</w:t>
      </w:r>
      <w:r>
        <w:rPr>
          <w:rStyle w:val="22"/>
          <w:rFonts w:hint="eastAsia" w:ascii="黑体" w:hAnsi="黑体" w:eastAsia="黑体"/>
          <w:b w:val="0"/>
          <w:bCs w:val="0"/>
        </w:rPr>
        <w:t>概况</w:t>
      </w:r>
      <w:bookmarkEnd w:id="12"/>
      <w:bookmarkEnd w:id="13"/>
    </w:p>
    <w:p>
      <w:pPr>
        <w:widowControl/>
        <w:jc w:val="left"/>
        <w:rPr>
          <w:rFonts w:ascii="黑体" w:eastAsia="黑体"/>
          <w:sz w:val="32"/>
          <w:szCs w:val="32"/>
        </w:rPr>
      </w:pPr>
    </w:p>
    <w:p>
      <w:pPr>
        <w:pStyle w:val="4"/>
        <w:numPr>
          <w:ilvl w:val="0"/>
          <w:numId w:val="1"/>
        </w:numPr>
        <w:rPr>
          <w:rStyle w:val="38"/>
          <w:rFonts w:ascii="黑体" w:hAnsi="黑体" w:eastAsia="黑体"/>
          <w:b w:val="0"/>
          <w:bCs w:val="0"/>
        </w:rPr>
      </w:pPr>
      <w:bookmarkStart w:id="14" w:name="_Toc15377197"/>
      <w:bookmarkStart w:id="15" w:name="_Toc15396600"/>
      <w:bookmarkStart w:id="16" w:name="_Toc15396604"/>
      <w:bookmarkStart w:id="17" w:name="_Toc15377206"/>
      <w:bookmarkStart w:id="18" w:name="_Toc15377211"/>
      <w:r>
        <w:rPr>
          <w:rStyle w:val="38"/>
          <w:rFonts w:hint="eastAsia" w:ascii="黑体" w:hAnsi="黑体" w:eastAsia="黑体"/>
          <w:b w:val="0"/>
          <w:bCs w:val="0"/>
        </w:rPr>
        <w:t>职能简介</w:t>
      </w:r>
    </w:p>
    <w:p>
      <w:pPr>
        <w:pStyle w:val="15"/>
        <w:adjustRightInd w:val="0"/>
        <w:spacing w:beforeLines="30" w:line="500" w:lineRule="exact"/>
        <w:ind w:firstLine="640" w:firstLineChars="200"/>
        <w:outlineLvl w:val="2"/>
        <w:rPr>
          <w:rFonts w:ascii="仿宋" w:hAnsi="仿宋" w:eastAsia="仿宋" w:cs="仿宋"/>
          <w:sz w:val="32"/>
          <w:szCs w:val="32"/>
        </w:rPr>
      </w:pPr>
      <w:r>
        <w:rPr>
          <w:rFonts w:ascii="仿宋" w:hAnsi="仿宋" w:eastAsia="仿宋" w:cs="仿宋"/>
          <w:sz w:val="32"/>
          <w:szCs w:val="32"/>
        </w:rPr>
        <w:t>1.</w:t>
      </w:r>
      <w:r>
        <w:rPr>
          <w:rFonts w:hint="eastAsia" w:ascii="仿宋" w:hAnsi="仿宋" w:eastAsia="仿宋" w:cs="仿宋"/>
          <w:sz w:val="32"/>
          <w:szCs w:val="32"/>
        </w:rPr>
        <w:t>贯彻党的教育方针，坚持社会主义办学方向，实行教育与生产劳动相结合，对学生进行德育、智育、体育、美育和劳动等方面的教育。</w:t>
      </w:r>
    </w:p>
    <w:p>
      <w:pPr>
        <w:pStyle w:val="15"/>
        <w:adjustRightInd w:val="0"/>
        <w:spacing w:beforeLines="30" w:line="500" w:lineRule="exact"/>
        <w:ind w:firstLine="640" w:firstLineChars="200"/>
        <w:outlineLvl w:val="2"/>
        <w:rPr>
          <w:rFonts w:ascii="仿宋" w:hAnsi="仿宋" w:eastAsia="仿宋" w:cs="仿宋"/>
          <w:sz w:val="32"/>
          <w:szCs w:val="32"/>
        </w:rPr>
      </w:pPr>
      <w:r>
        <w:rPr>
          <w:rFonts w:ascii="仿宋" w:hAnsi="仿宋" w:eastAsia="仿宋" w:cs="仿宋"/>
          <w:sz w:val="32"/>
          <w:szCs w:val="32"/>
        </w:rPr>
        <w:t>2.</w:t>
      </w:r>
      <w:r>
        <w:rPr>
          <w:rFonts w:hint="eastAsia" w:ascii="仿宋" w:hAnsi="仿宋" w:eastAsia="仿宋" w:cs="仿宋"/>
          <w:sz w:val="32"/>
          <w:szCs w:val="32"/>
        </w:rPr>
        <w:t>负责配合政府依法动员、组织适龄儿童、少年入学，严格控制学生辍学，依法保证适龄儿童、少年接受九年义务教育。</w:t>
      </w:r>
    </w:p>
    <w:p>
      <w:pPr>
        <w:pStyle w:val="15"/>
        <w:adjustRightInd w:val="0"/>
        <w:spacing w:beforeLines="30" w:line="500" w:lineRule="exact"/>
        <w:ind w:firstLine="640" w:firstLineChars="200"/>
        <w:outlineLvl w:val="2"/>
        <w:rPr>
          <w:rFonts w:ascii="仿宋" w:hAnsi="仿宋" w:eastAsia="仿宋" w:cs="仿宋"/>
          <w:sz w:val="32"/>
          <w:szCs w:val="32"/>
        </w:rPr>
      </w:pPr>
      <w:r>
        <w:rPr>
          <w:rFonts w:ascii="仿宋" w:hAnsi="仿宋" w:eastAsia="仿宋" w:cs="仿宋"/>
          <w:sz w:val="32"/>
          <w:szCs w:val="32"/>
        </w:rPr>
        <w:t>3.</w:t>
      </w:r>
      <w:r>
        <w:rPr>
          <w:rFonts w:hint="eastAsia" w:ascii="仿宋" w:hAnsi="仿宋" w:eastAsia="仿宋" w:cs="仿宋"/>
          <w:sz w:val="32"/>
          <w:szCs w:val="32"/>
        </w:rPr>
        <w:t>负责依法制定学校章程，并按照章程自主管理。</w:t>
      </w:r>
    </w:p>
    <w:p>
      <w:pPr>
        <w:pStyle w:val="15"/>
        <w:adjustRightInd w:val="0"/>
        <w:spacing w:beforeLines="30" w:line="500" w:lineRule="exact"/>
        <w:ind w:firstLine="640" w:firstLineChars="200"/>
        <w:outlineLvl w:val="2"/>
        <w:rPr>
          <w:rFonts w:ascii="仿宋" w:hAnsi="仿宋" w:eastAsia="仿宋" w:cs="仿宋"/>
          <w:sz w:val="32"/>
          <w:szCs w:val="32"/>
        </w:rPr>
      </w:pPr>
      <w:r>
        <w:rPr>
          <w:rFonts w:ascii="仿宋" w:hAnsi="仿宋" w:eastAsia="仿宋" w:cs="仿宋"/>
          <w:sz w:val="32"/>
          <w:szCs w:val="32"/>
        </w:rPr>
        <w:t>4.</w:t>
      </w:r>
      <w:r>
        <w:rPr>
          <w:rFonts w:hint="eastAsia" w:ascii="仿宋" w:hAnsi="仿宋" w:eastAsia="仿宋" w:cs="仿宋"/>
          <w:sz w:val="32"/>
          <w:szCs w:val="32"/>
        </w:rPr>
        <w:t>负责制定学校教育发展规划，并抓好组织和实施工作。</w:t>
      </w:r>
    </w:p>
    <w:p>
      <w:pPr>
        <w:pStyle w:val="15"/>
        <w:adjustRightInd w:val="0"/>
        <w:spacing w:beforeLines="30" w:line="500" w:lineRule="exact"/>
        <w:ind w:firstLine="640" w:firstLineChars="200"/>
        <w:outlineLvl w:val="2"/>
        <w:rPr>
          <w:rFonts w:ascii="仿宋" w:hAnsi="仿宋" w:eastAsia="仿宋" w:cs="仿宋"/>
          <w:sz w:val="32"/>
          <w:szCs w:val="32"/>
        </w:rPr>
      </w:pPr>
      <w:r>
        <w:rPr>
          <w:rFonts w:ascii="仿宋" w:hAnsi="仿宋" w:eastAsia="仿宋" w:cs="仿宋"/>
          <w:sz w:val="32"/>
          <w:szCs w:val="32"/>
        </w:rPr>
        <w:t>5.</w:t>
      </w:r>
      <w:r>
        <w:rPr>
          <w:rFonts w:hint="eastAsia" w:ascii="仿宋" w:hAnsi="仿宋" w:eastAsia="仿宋" w:cs="仿宋"/>
          <w:sz w:val="32"/>
          <w:szCs w:val="32"/>
        </w:rPr>
        <w:t>负责按照教育主管部门发布的指导性教学计划、</w:t>
      </w:r>
      <w:r>
        <w:rPr>
          <w:rFonts w:ascii="仿宋" w:hAnsi="仿宋" w:eastAsia="仿宋" w:cs="仿宋"/>
          <w:sz w:val="32"/>
          <w:szCs w:val="32"/>
        </w:rPr>
        <w:t xml:space="preserve"> </w:t>
      </w:r>
      <w:r>
        <w:rPr>
          <w:rFonts w:hint="eastAsia" w:ascii="仿宋" w:hAnsi="仿宋" w:eastAsia="仿宋" w:cs="仿宋"/>
          <w:sz w:val="32"/>
          <w:szCs w:val="32"/>
        </w:rPr>
        <w:t>教学大纲，组织实施教育教学活动。</w:t>
      </w:r>
    </w:p>
    <w:p>
      <w:pPr>
        <w:pStyle w:val="15"/>
        <w:adjustRightInd w:val="0"/>
        <w:spacing w:beforeLines="30" w:line="500" w:lineRule="exact"/>
        <w:ind w:firstLine="640" w:firstLineChars="200"/>
        <w:outlineLvl w:val="2"/>
        <w:rPr>
          <w:rFonts w:ascii="仿宋" w:hAnsi="仿宋" w:eastAsia="仿宋" w:cs="仿宋"/>
          <w:sz w:val="32"/>
          <w:szCs w:val="32"/>
        </w:rPr>
      </w:pPr>
      <w:r>
        <w:rPr>
          <w:rFonts w:ascii="仿宋" w:hAnsi="仿宋" w:eastAsia="仿宋" w:cs="仿宋"/>
          <w:sz w:val="32"/>
          <w:szCs w:val="32"/>
        </w:rPr>
        <w:t>6.</w:t>
      </w:r>
      <w:r>
        <w:rPr>
          <w:rFonts w:hint="eastAsia" w:ascii="仿宋" w:hAnsi="仿宋" w:eastAsia="仿宋" w:cs="仿宋"/>
          <w:sz w:val="32"/>
          <w:szCs w:val="32"/>
        </w:rPr>
        <w:t>负责学籍管理并对学生实施奖励或处分。</w:t>
      </w:r>
    </w:p>
    <w:p>
      <w:pPr>
        <w:pStyle w:val="15"/>
        <w:adjustRightInd w:val="0"/>
        <w:spacing w:beforeLines="30" w:line="500" w:lineRule="exact"/>
        <w:ind w:firstLine="640" w:firstLineChars="200"/>
        <w:outlineLvl w:val="2"/>
        <w:rPr>
          <w:rFonts w:ascii="仿宋" w:hAnsi="仿宋" w:eastAsia="仿宋" w:cs="仿宋"/>
          <w:sz w:val="32"/>
          <w:szCs w:val="32"/>
        </w:rPr>
      </w:pPr>
      <w:r>
        <w:rPr>
          <w:rFonts w:ascii="仿宋" w:hAnsi="仿宋" w:eastAsia="仿宋" w:cs="仿宋"/>
          <w:sz w:val="32"/>
          <w:szCs w:val="32"/>
        </w:rPr>
        <w:t>7.</w:t>
      </w:r>
      <w:r>
        <w:rPr>
          <w:rFonts w:hint="eastAsia" w:ascii="仿宋" w:hAnsi="仿宋" w:eastAsia="仿宋" w:cs="仿宋"/>
          <w:sz w:val="32"/>
          <w:szCs w:val="32"/>
        </w:rPr>
        <w:t>负责依法制定本校教师及其他职工聘任办法并对教师及其他员工实施包括奖励、处分在内的具体管理活动。</w:t>
      </w:r>
    </w:p>
    <w:p>
      <w:pPr>
        <w:pStyle w:val="15"/>
        <w:adjustRightInd w:val="0"/>
        <w:spacing w:beforeLines="30" w:line="500" w:lineRule="exact"/>
        <w:ind w:firstLine="640" w:firstLineChars="200"/>
        <w:outlineLvl w:val="2"/>
        <w:rPr>
          <w:rFonts w:ascii="仿宋" w:hAnsi="仿宋" w:eastAsia="仿宋" w:cs="仿宋"/>
          <w:sz w:val="32"/>
          <w:szCs w:val="32"/>
        </w:rPr>
      </w:pPr>
      <w:r>
        <w:rPr>
          <w:rFonts w:ascii="仿宋" w:hAnsi="仿宋" w:eastAsia="仿宋" w:cs="仿宋"/>
          <w:sz w:val="32"/>
          <w:szCs w:val="32"/>
        </w:rPr>
        <w:t xml:space="preserve">8. </w:t>
      </w:r>
      <w:r>
        <w:rPr>
          <w:rFonts w:hint="eastAsia" w:ascii="仿宋" w:hAnsi="仿宋" w:eastAsia="仿宋" w:cs="仿宋"/>
          <w:sz w:val="32"/>
          <w:szCs w:val="32"/>
        </w:rPr>
        <w:t>负责科学管理、合理使用学校的设施和经费，并积极筹措资金，改善办学条件。</w:t>
      </w:r>
    </w:p>
    <w:p>
      <w:pPr>
        <w:pStyle w:val="15"/>
        <w:adjustRightInd w:val="0"/>
        <w:spacing w:beforeLines="30" w:line="500" w:lineRule="exact"/>
        <w:ind w:firstLine="640" w:firstLineChars="200"/>
        <w:outlineLvl w:val="2"/>
        <w:rPr>
          <w:rFonts w:ascii="仿宋" w:hAnsi="仿宋" w:eastAsia="仿宋" w:cs="仿宋"/>
          <w:sz w:val="32"/>
          <w:szCs w:val="32"/>
        </w:rPr>
      </w:pPr>
      <w:r>
        <w:rPr>
          <w:rFonts w:ascii="仿宋" w:hAnsi="仿宋" w:eastAsia="仿宋" w:cs="仿宋"/>
          <w:sz w:val="32"/>
          <w:szCs w:val="32"/>
        </w:rPr>
        <w:t xml:space="preserve">9. </w:t>
      </w:r>
      <w:r>
        <w:rPr>
          <w:rFonts w:hint="eastAsia" w:ascii="仿宋" w:hAnsi="仿宋" w:eastAsia="仿宋" w:cs="仿宋"/>
          <w:sz w:val="32"/>
          <w:szCs w:val="32"/>
        </w:rPr>
        <w:t>负责维护学校、师生的合法权益，有权拒绝任何组织和个人对教育教学活动的非法干扰。</w:t>
      </w:r>
    </w:p>
    <w:p>
      <w:pPr>
        <w:pStyle w:val="15"/>
        <w:adjustRightInd w:val="0"/>
        <w:spacing w:beforeLines="30" w:line="500" w:lineRule="exact"/>
        <w:ind w:firstLine="640" w:firstLineChars="200"/>
        <w:outlineLvl w:val="2"/>
        <w:rPr>
          <w:rFonts w:ascii="仿宋" w:hAnsi="仿宋" w:eastAsia="仿宋" w:cs="仿宋"/>
          <w:sz w:val="32"/>
          <w:szCs w:val="32"/>
        </w:rPr>
      </w:pPr>
      <w:r>
        <w:rPr>
          <w:rFonts w:ascii="仿宋" w:hAnsi="仿宋" w:eastAsia="仿宋" w:cs="仿宋"/>
          <w:sz w:val="32"/>
          <w:szCs w:val="32"/>
        </w:rPr>
        <w:t>10.</w:t>
      </w:r>
      <w:r>
        <w:rPr>
          <w:rFonts w:hint="eastAsia" w:ascii="仿宋" w:hAnsi="仿宋" w:eastAsia="仿宋" w:cs="仿宋"/>
          <w:sz w:val="32"/>
          <w:szCs w:val="32"/>
        </w:rPr>
        <w:t>依法接受各级教育行政部门的检查指导和人民群众的监督。</w:t>
      </w:r>
    </w:p>
    <w:p>
      <w:pPr>
        <w:ind w:firstLine="640" w:firstLineChars="200"/>
        <w:rPr>
          <w:rFonts w:ascii="仿宋" w:hAnsi="仿宋" w:eastAsia="仿宋" w:cs="仿宋"/>
          <w:sz w:val="32"/>
          <w:szCs w:val="32"/>
        </w:rPr>
      </w:pPr>
      <w:r>
        <w:rPr>
          <w:rFonts w:ascii="仿宋" w:hAnsi="仿宋" w:eastAsia="仿宋" w:cs="仿宋"/>
          <w:sz w:val="32"/>
          <w:szCs w:val="32"/>
        </w:rPr>
        <w:t>11.</w:t>
      </w:r>
      <w:r>
        <w:rPr>
          <w:rFonts w:hint="eastAsia" w:ascii="仿宋" w:hAnsi="仿宋" w:eastAsia="仿宋" w:cs="仿宋"/>
          <w:sz w:val="32"/>
          <w:szCs w:val="32"/>
        </w:rPr>
        <w:t>承办上级交办的其他事项。</w:t>
      </w:r>
    </w:p>
    <w:p>
      <w:pPr>
        <w:pStyle w:val="4"/>
        <w:rPr>
          <w:rFonts w:ascii="黑体" w:hAnsi="黑体" w:eastAsia="黑体"/>
          <w:b w:val="0"/>
        </w:rPr>
      </w:pPr>
      <w:r>
        <w:rPr>
          <w:rFonts w:hint="eastAsia" w:ascii="黑体" w:hAnsi="黑体" w:eastAsia="黑体"/>
          <w:b w:val="0"/>
        </w:rPr>
        <w:t>二、</w:t>
      </w:r>
      <w:r>
        <w:rPr>
          <w:rFonts w:ascii="黑体" w:hAnsi="黑体" w:eastAsia="黑体"/>
          <w:b w:val="0"/>
        </w:rPr>
        <w:t>2021</w:t>
      </w:r>
      <w:r>
        <w:rPr>
          <w:rFonts w:hint="eastAsia" w:ascii="黑体" w:hAnsi="黑体" w:eastAsia="黑体"/>
          <w:b w:val="0"/>
        </w:rPr>
        <w:t>年重点工作</w:t>
      </w:r>
      <w:bookmarkEnd w:id="14"/>
      <w:bookmarkEnd w:id="15"/>
      <w:r>
        <w:rPr>
          <w:rFonts w:hint="eastAsia" w:ascii="黑体" w:hAnsi="黑体" w:eastAsia="黑体"/>
          <w:b w:val="0"/>
        </w:rPr>
        <w:t>完成情况</w:t>
      </w:r>
    </w:p>
    <w:p>
      <w:pPr>
        <w:spacing w:line="576" w:lineRule="exact"/>
        <w:ind w:firstLine="320" w:firstLineChars="100"/>
        <w:rPr>
          <w:rFonts w:ascii="黑体" w:hAnsi="黑体" w:eastAsia="黑体" w:cs="黑体"/>
          <w:color w:val="000000"/>
          <w:sz w:val="32"/>
          <w:szCs w:val="32"/>
        </w:rPr>
      </w:pPr>
      <w:r>
        <w:rPr>
          <w:rFonts w:hint="eastAsia" w:ascii="黑体" w:hAnsi="黑体" w:eastAsia="黑体" w:cs="黑体"/>
          <w:color w:val="000000"/>
          <w:sz w:val="32"/>
          <w:szCs w:val="32"/>
        </w:rPr>
        <w:t>（一）、</w:t>
      </w:r>
      <w:r>
        <w:rPr>
          <w:rFonts w:ascii="黑体" w:hAnsi="黑体" w:eastAsia="黑体" w:cs="黑体"/>
          <w:color w:val="000000"/>
          <w:sz w:val="32"/>
          <w:szCs w:val="32"/>
        </w:rPr>
        <w:t>2021</w:t>
      </w:r>
      <w:r>
        <w:rPr>
          <w:rFonts w:hint="eastAsia" w:ascii="黑体" w:hAnsi="黑体" w:eastAsia="黑体" w:cs="黑体"/>
          <w:color w:val="000000"/>
          <w:sz w:val="32"/>
          <w:szCs w:val="32"/>
        </w:rPr>
        <w:t>年的工作回顾</w:t>
      </w:r>
    </w:p>
    <w:p>
      <w:pPr>
        <w:numPr>
          <w:ilvl w:val="0"/>
          <w:numId w:val="2"/>
        </w:numPr>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坚持了依法治校，保证了办学方面与党的防治政策保持一致。</w:t>
      </w:r>
      <w:r>
        <w:rPr>
          <w:rFonts w:hint="eastAsia" w:eastAsia="仿宋_GB2312"/>
          <w:sz w:val="32"/>
          <w:szCs w:val="32"/>
        </w:rPr>
        <w:t>按照全区中小学党组织领导下的校长负责制改革部署，配强支部副书记，积极在工作机制、议事决策规则、管理运行等方面进行探索。以</w:t>
      </w:r>
      <w:r>
        <w:rPr>
          <w:rFonts w:eastAsia="仿宋_GB2312"/>
          <w:sz w:val="32"/>
          <w:szCs w:val="32"/>
        </w:rPr>
        <w:t>“</w:t>
      </w:r>
      <w:r>
        <w:rPr>
          <w:rFonts w:hint="eastAsia" w:eastAsia="仿宋_GB2312"/>
          <w:sz w:val="32"/>
          <w:szCs w:val="32"/>
        </w:rPr>
        <w:t>不忘初心、牢记使命</w:t>
      </w:r>
      <w:r>
        <w:rPr>
          <w:rFonts w:eastAsia="仿宋_GB2312"/>
          <w:sz w:val="32"/>
          <w:szCs w:val="32"/>
        </w:rPr>
        <w:t>”</w:t>
      </w:r>
      <w:r>
        <w:rPr>
          <w:rFonts w:hint="eastAsia" w:eastAsia="仿宋_GB2312"/>
          <w:sz w:val="32"/>
          <w:szCs w:val="32"/>
        </w:rPr>
        <w:t>主题教育为契机，积极开展</w:t>
      </w:r>
      <w:r>
        <w:rPr>
          <w:rFonts w:eastAsia="仿宋_GB2312"/>
          <w:sz w:val="32"/>
          <w:szCs w:val="32"/>
        </w:rPr>
        <w:t>“</w:t>
      </w:r>
      <w:r>
        <w:rPr>
          <w:rFonts w:hint="eastAsia" w:eastAsia="仿宋_GB2312"/>
          <w:sz w:val="32"/>
          <w:szCs w:val="32"/>
        </w:rPr>
        <w:t>两会一课</w:t>
      </w:r>
      <w:r>
        <w:rPr>
          <w:rFonts w:eastAsia="仿宋_GB2312"/>
          <w:sz w:val="32"/>
          <w:szCs w:val="32"/>
        </w:rPr>
        <w:t>”</w:t>
      </w:r>
      <w:r>
        <w:rPr>
          <w:rFonts w:hint="eastAsia" w:eastAsia="仿宋_GB2312"/>
          <w:sz w:val="32"/>
          <w:szCs w:val="32"/>
        </w:rPr>
        <w:t>、党员志愿者服务活动、红色星期五、创建党员示范岗等活动，提高党员干部政治站位，发挥党员教师在学校的先锋模范作用，特别是今年的疫情防控工作，汛期的值班值守工作，党员教师身先士卒。在</w:t>
      </w:r>
      <w:r>
        <w:rPr>
          <w:rFonts w:eastAsia="仿宋_GB2312"/>
          <w:sz w:val="32"/>
          <w:szCs w:val="32"/>
        </w:rPr>
        <w:t>2021</w:t>
      </w:r>
      <w:r>
        <w:rPr>
          <w:rFonts w:hint="eastAsia" w:eastAsia="仿宋_GB2312"/>
          <w:sz w:val="32"/>
          <w:szCs w:val="32"/>
        </w:rPr>
        <w:t>年开展的学党史学习教育中，我校全体师生参与学习，以主题报告会、主题党课、主题宣讲、集中学习等多种方式强化学习。在党风廉政建设工作中，我校全面履行党风廉政建设主体责任，进行廉政警示教育</w:t>
      </w:r>
      <w:r>
        <w:rPr>
          <w:rFonts w:eastAsia="仿宋_GB2312"/>
          <w:sz w:val="32"/>
          <w:szCs w:val="32"/>
        </w:rPr>
        <w:t>4</w:t>
      </w:r>
      <w:r>
        <w:rPr>
          <w:rFonts w:hint="eastAsia" w:eastAsia="仿宋_GB2312"/>
          <w:sz w:val="32"/>
          <w:szCs w:val="32"/>
        </w:rPr>
        <w:t>次，对分管扶贫、项目的班子成员进行重点教育。每学期开学全体教师进行师德师风宣誓，签订师德师风责任书，每学期定期开展师德师风集中教育学习，一年来，全校无教师违规违纪事件发生。</w:t>
      </w:r>
    </w:p>
    <w:p>
      <w:pPr>
        <w:spacing w:line="576" w:lineRule="exact"/>
        <w:ind w:firstLine="640" w:firstLineChars="200"/>
        <w:rPr>
          <w:rFonts w:ascii="仿宋_GB2312" w:hAnsi="仿宋_GB2312" w:eastAsia="仿宋_GB2312" w:cs="仿宋_GB2312"/>
          <w:color w:val="000000"/>
          <w:sz w:val="32"/>
          <w:szCs w:val="32"/>
        </w:rPr>
      </w:pPr>
      <w:r>
        <w:rPr>
          <w:rFonts w:ascii="仿宋_GB2312" w:hAnsi="仿宋_GB2312" w:eastAsia="仿宋_GB2312" w:cs="仿宋_GB2312"/>
          <w:color w:val="000000"/>
          <w:sz w:val="32"/>
          <w:szCs w:val="32"/>
        </w:rPr>
        <w:t>2.</w:t>
      </w:r>
      <w:r>
        <w:rPr>
          <w:rFonts w:hint="eastAsia" w:ascii="仿宋_GB2312" w:hAnsi="仿宋_GB2312" w:eastAsia="仿宋_GB2312" w:cs="仿宋_GB2312"/>
          <w:color w:val="000000"/>
          <w:sz w:val="32"/>
          <w:szCs w:val="32"/>
        </w:rPr>
        <w:t>班子团结，务实高效。班子成员能严格要求自己，讲政治，顾大局，凝聚力强。敢于碰真较硬，对老师敢于响亮喊出“什么是标准，我就是标准”。校长与每位行政领导签订了岗位目标责任书，定期检查，纳入行政领导的绩效考核。</w:t>
      </w:r>
    </w:p>
    <w:p>
      <w:pPr>
        <w:spacing w:line="576" w:lineRule="exact"/>
        <w:ind w:firstLine="640" w:firstLineChars="200"/>
        <w:rPr>
          <w:rFonts w:ascii="仿宋_GB2312" w:hAnsi="仿宋_GB2312" w:eastAsia="仿宋_GB2312" w:cs="仿宋_GB2312"/>
          <w:color w:val="000000"/>
          <w:sz w:val="32"/>
          <w:szCs w:val="32"/>
        </w:rPr>
      </w:pPr>
      <w:r>
        <w:rPr>
          <w:rFonts w:ascii="仿宋_GB2312" w:hAnsi="仿宋_GB2312" w:eastAsia="仿宋_GB2312" w:cs="仿宋_GB2312"/>
          <w:color w:val="000000"/>
          <w:sz w:val="32"/>
          <w:szCs w:val="32"/>
        </w:rPr>
        <w:t>3.</w:t>
      </w:r>
      <w:r>
        <w:rPr>
          <w:rFonts w:hint="eastAsia" w:ascii="仿宋_GB2312" w:hAnsi="仿宋_GB2312" w:eastAsia="仿宋_GB2312" w:cs="仿宋_GB2312"/>
          <w:color w:val="000000"/>
          <w:sz w:val="32"/>
          <w:szCs w:val="32"/>
        </w:rPr>
        <w:t>教师队伍素质明显提升，学校组织学习了《教师专业标准》、《常规管理</w:t>
      </w:r>
      <w:r>
        <w:rPr>
          <w:rFonts w:ascii="仿宋_GB2312" w:hAnsi="仿宋_GB2312" w:eastAsia="仿宋_GB2312" w:cs="仿宋_GB2312"/>
          <w:color w:val="000000"/>
          <w:sz w:val="32"/>
          <w:szCs w:val="32"/>
        </w:rPr>
        <w:t>50</w:t>
      </w:r>
      <w:r>
        <w:rPr>
          <w:rFonts w:hint="eastAsia" w:ascii="仿宋_GB2312" w:hAnsi="仿宋_GB2312" w:eastAsia="仿宋_GB2312" w:cs="仿宋_GB2312"/>
          <w:color w:val="000000"/>
          <w:sz w:val="32"/>
          <w:szCs w:val="32"/>
        </w:rPr>
        <w:t>条》、《绩效考核方案》、《教师岗位晋级方案》、《学校年度考核办法》、《未成年人保护法》等。目的一个“树正气，争先进”打造了一支高素质的教师队伍；同时加强年轻教师和老教师的结对帮扶，促使年轻教师进步。</w:t>
      </w:r>
    </w:p>
    <w:p>
      <w:pPr>
        <w:spacing w:line="576" w:lineRule="exact"/>
        <w:ind w:firstLine="640" w:firstLineChars="200"/>
        <w:rPr>
          <w:rFonts w:ascii="仿宋_GB2312" w:hAnsi="仿宋_GB2312" w:eastAsia="仿宋_GB2312" w:cs="仿宋_GB2312"/>
          <w:color w:val="000000"/>
          <w:sz w:val="32"/>
          <w:szCs w:val="32"/>
        </w:rPr>
      </w:pPr>
      <w:r>
        <w:rPr>
          <w:rFonts w:ascii="仿宋_GB2312" w:hAnsi="仿宋_GB2312" w:eastAsia="仿宋_GB2312" w:cs="仿宋_GB2312"/>
          <w:color w:val="000000"/>
          <w:sz w:val="32"/>
          <w:szCs w:val="32"/>
        </w:rPr>
        <w:t>4.</w:t>
      </w:r>
      <w:r>
        <w:rPr>
          <w:rFonts w:hint="eastAsia" w:ascii="仿宋_GB2312" w:hAnsi="仿宋_GB2312" w:eastAsia="仿宋_GB2312" w:cs="仿宋_GB2312"/>
          <w:color w:val="000000"/>
          <w:sz w:val="32"/>
          <w:szCs w:val="32"/>
        </w:rPr>
        <w:t>今年的疫情防控工作，学校支部、行政一班人上下一心，积极应对，统筹协调做好了防控工作。信息及时上报、下传，我们的老师个个都是招之即战，战之必胜。</w:t>
      </w:r>
    </w:p>
    <w:p>
      <w:pPr>
        <w:spacing w:line="576" w:lineRule="exact"/>
        <w:ind w:firstLine="640" w:firstLineChars="200"/>
        <w:rPr>
          <w:rFonts w:ascii="仿宋_GB2312" w:hAnsi="仿宋_GB2312" w:eastAsia="仿宋_GB2312" w:cs="仿宋_GB2312"/>
          <w:color w:val="000000"/>
          <w:sz w:val="32"/>
          <w:szCs w:val="32"/>
        </w:rPr>
      </w:pPr>
      <w:r>
        <w:rPr>
          <w:rFonts w:ascii="仿宋_GB2312" w:hAnsi="仿宋_GB2312" w:eastAsia="仿宋_GB2312" w:cs="仿宋_GB2312"/>
          <w:color w:val="000000"/>
          <w:sz w:val="32"/>
          <w:szCs w:val="32"/>
        </w:rPr>
        <w:t>5.</w:t>
      </w:r>
      <w:r>
        <w:rPr>
          <w:rFonts w:hint="eastAsia" w:ascii="仿宋_GB2312" w:hAnsi="仿宋_GB2312" w:eastAsia="仿宋_GB2312" w:cs="仿宋_GB2312"/>
          <w:color w:val="000000"/>
          <w:sz w:val="32"/>
          <w:szCs w:val="32"/>
        </w:rPr>
        <w:t>我校德育处和少先队大队部紧密围绕“传承红军精神，争做时代新人”这一办学理念开展了一系列的主题教育活动，清明节扫墓，</w:t>
      </w:r>
      <w:r>
        <w:rPr>
          <w:rFonts w:ascii="仿宋_GB2312" w:hAnsi="仿宋_GB2312" w:eastAsia="仿宋_GB2312" w:cs="仿宋_GB2312"/>
          <w:color w:val="000000"/>
          <w:sz w:val="32"/>
          <w:szCs w:val="32"/>
        </w:rPr>
        <w:t>9.30</w:t>
      </w:r>
      <w:r>
        <w:rPr>
          <w:rFonts w:hint="eastAsia" w:ascii="仿宋_GB2312" w:hAnsi="仿宋_GB2312" w:eastAsia="仿宋_GB2312" w:cs="仿宋_GB2312"/>
          <w:color w:val="000000"/>
          <w:sz w:val="32"/>
          <w:szCs w:val="32"/>
        </w:rPr>
        <w:t>的祭奠烈士活动，国庆节的“诵读红色经典”，“一·二九的唱红歌比赛”师生全动员等活动，努力培养学生的爱国主义情感。春季疫情期间开展了心理辅导课、体育课，教育学生从身边做起，从小事做起，积极锻炼身体。</w:t>
      </w:r>
      <w:r>
        <w:rPr>
          <w:rFonts w:ascii="仿宋_GB2312" w:hAnsi="仿宋_GB2312" w:eastAsia="仿宋_GB2312" w:cs="仿宋_GB2312"/>
          <w:color w:val="000000"/>
          <w:sz w:val="32"/>
          <w:szCs w:val="32"/>
        </w:rPr>
        <w:t>2021</w:t>
      </w:r>
      <w:r>
        <w:rPr>
          <w:rFonts w:hint="eastAsia" w:ascii="仿宋_GB2312" w:hAnsi="仿宋_GB2312" w:eastAsia="仿宋_GB2312" w:cs="仿宋_GB2312"/>
          <w:color w:val="000000"/>
          <w:sz w:val="32"/>
          <w:szCs w:val="32"/>
        </w:rPr>
        <w:t>年春季开展了消防演练、森林防火教育、防溺水教育、道路安全教育、地质灾害演练等帮助他们养成良好的行为习惯。认真准备千名教师访万家，努力做好生源稳控和生源回流工作，并纳入教师目标考核。</w:t>
      </w:r>
    </w:p>
    <w:p>
      <w:pPr>
        <w:spacing w:line="576" w:lineRule="exact"/>
        <w:ind w:firstLine="640" w:firstLineChars="200"/>
        <w:rPr>
          <w:rFonts w:ascii="仿宋_GB2312" w:hAnsi="仿宋_GB2312" w:eastAsia="仿宋_GB2312" w:cs="仿宋_GB2312"/>
          <w:color w:val="000000"/>
          <w:sz w:val="32"/>
          <w:szCs w:val="32"/>
        </w:rPr>
      </w:pPr>
      <w:r>
        <w:rPr>
          <w:rFonts w:ascii="仿宋_GB2312" w:hAnsi="仿宋_GB2312" w:eastAsia="仿宋_GB2312" w:cs="仿宋_GB2312"/>
          <w:color w:val="000000"/>
          <w:sz w:val="32"/>
          <w:szCs w:val="32"/>
        </w:rPr>
        <w:t>6.</w:t>
      </w:r>
      <w:r>
        <w:rPr>
          <w:rFonts w:hint="eastAsia" w:ascii="仿宋_GB2312" w:hAnsi="仿宋_GB2312" w:eastAsia="仿宋_GB2312" w:cs="仿宋_GB2312"/>
          <w:color w:val="000000"/>
          <w:sz w:val="32"/>
          <w:szCs w:val="32"/>
        </w:rPr>
        <w:t>我校教导处结合校园文化建设，出台了一系列的制度，教师上课不能带手机，吸烟。一位领导联挂一个年级，年级质量与行政绩效考核挂钩，同时每月教导处组织学生对教师的工作、纪律（上课）进行测评，纳入教师每月份考核，最终归到绩效考核中去。常规检查不放松，目的一个，促使学校的教学质量提升。学生中开展了无记名调查，学校与教师签订了目标责任书，针对</w:t>
      </w:r>
      <w:r>
        <w:rPr>
          <w:rFonts w:ascii="仿宋_GB2312" w:hAnsi="仿宋_GB2312" w:eastAsia="仿宋_GB2312" w:cs="仿宋_GB2312"/>
          <w:color w:val="000000"/>
          <w:sz w:val="32"/>
          <w:szCs w:val="32"/>
        </w:rPr>
        <w:t>2020</w:t>
      </w:r>
      <w:r>
        <w:rPr>
          <w:rFonts w:hint="eastAsia" w:ascii="仿宋_GB2312" w:hAnsi="仿宋_GB2312" w:eastAsia="仿宋_GB2312" w:cs="仿宋_GB2312"/>
          <w:color w:val="000000"/>
          <w:sz w:val="32"/>
          <w:szCs w:val="32"/>
        </w:rPr>
        <w:t>年春季的成绩做了细致的分析个别教师作了表态发言。促使年轻教师教育教学行为的规范和自律，展示我们太公小学老师的教学风采“让爱心充满课堂，让微笑溢满校园”。制定了切实可行的保生保学方案，任务分担，积极动员，群策群力，成效显著。</w:t>
      </w:r>
    </w:p>
    <w:p>
      <w:pPr>
        <w:spacing w:line="576" w:lineRule="exact"/>
        <w:ind w:firstLine="640" w:firstLineChars="200"/>
        <w:rPr>
          <w:rFonts w:ascii="仿宋_GB2312" w:hAnsi="仿宋_GB2312" w:eastAsia="仿宋_GB2312" w:cs="仿宋_GB2312"/>
          <w:color w:val="000000"/>
          <w:sz w:val="32"/>
          <w:szCs w:val="32"/>
        </w:rPr>
      </w:pPr>
      <w:r>
        <w:rPr>
          <w:rFonts w:ascii="仿宋_GB2312" w:hAnsi="仿宋_GB2312" w:eastAsia="仿宋_GB2312" w:cs="仿宋_GB2312"/>
          <w:color w:val="000000"/>
          <w:sz w:val="32"/>
          <w:szCs w:val="32"/>
        </w:rPr>
        <w:t>7.</w:t>
      </w:r>
      <w:r>
        <w:rPr>
          <w:rFonts w:hint="eastAsia" w:ascii="仿宋_GB2312" w:hAnsi="仿宋_GB2312" w:eastAsia="仿宋_GB2312" w:cs="仿宋_GB2312"/>
          <w:color w:val="000000"/>
          <w:sz w:val="32"/>
          <w:szCs w:val="32"/>
        </w:rPr>
        <w:t>“质量要提高，科研必先导”。我校的教育科研工作校长牵头抓，副校长具体落实，学校与教导处签订了目标责任书，压实责任，落实在行动上。学校的常规教研有条不紊，本学年在我校开展了教学大比武，选派教师参加了区上、市上的微课竞赛，同时学校先后派教导主任和教科室主任参加了区上的小学根刚培训，收获丰富。回校交流心得体会，促进了青年教师成长、教学技艺的提升。</w:t>
      </w:r>
    </w:p>
    <w:p>
      <w:pPr>
        <w:spacing w:line="576" w:lineRule="exact"/>
        <w:ind w:firstLine="640" w:firstLineChars="200"/>
        <w:rPr>
          <w:rFonts w:ascii="仿宋_GB2312" w:hAnsi="仿宋_GB2312" w:eastAsia="仿宋_GB2312" w:cs="仿宋_GB2312"/>
          <w:color w:val="000000"/>
          <w:sz w:val="32"/>
          <w:szCs w:val="32"/>
        </w:rPr>
      </w:pPr>
      <w:r>
        <w:rPr>
          <w:rFonts w:ascii="仿宋_GB2312" w:hAnsi="仿宋_GB2312" w:eastAsia="仿宋_GB2312" w:cs="仿宋_GB2312"/>
          <w:color w:val="000000"/>
          <w:sz w:val="32"/>
          <w:szCs w:val="32"/>
        </w:rPr>
        <w:t>8.</w:t>
      </w:r>
      <w:r>
        <w:rPr>
          <w:rFonts w:hint="eastAsia" w:ascii="仿宋_GB2312" w:hAnsi="仿宋_GB2312" w:eastAsia="仿宋_GB2312" w:cs="仿宋_GB2312"/>
          <w:color w:val="000000"/>
          <w:sz w:val="32"/>
          <w:szCs w:val="32"/>
        </w:rPr>
        <w:t>工会上完善了机构，行使了职权。讨论了学校的各项制度，监督了学校的权利执行，同时也情暖人心，爱洒校园。我们元旦组织老教师教师节回家看看，共谋太公小学的发展。让他们感受到家的温暖。建党</w:t>
      </w:r>
      <w:r>
        <w:rPr>
          <w:rFonts w:ascii="仿宋_GB2312" w:hAnsi="仿宋_GB2312" w:eastAsia="仿宋_GB2312" w:cs="仿宋_GB2312"/>
          <w:color w:val="000000"/>
          <w:sz w:val="32"/>
          <w:szCs w:val="32"/>
        </w:rPr>
        <w:t>100</w:t>
      </w:r>
      <w:r>
        <w:rPr>
          <w:rFonts w:hint="eastAsia" w:ascii="仿宋_GB2312" w:hAnsi="仿宋_GB2312" w:eastAsia="仿宋_GB2312" w:cs="仿宋_GB2312"/>
          <w:color w:val="000000"/>
          <w:sz w:val="32"/>
          <w:szCs w:val="32"/>
        </w:rPr>
        <w:t>周年之际召开退休党员座谈会，七一前慰问了在党</w:t>
      </w:r>
      <w:r>
        <w:rPr>
          <w:rFonts w:ascii="仿宋_GB2312" w:hAnsi="仿宋_GB2312" w:eastAsia="仿宋_GB2312" w:cs="仿宋_GB2312"/>
          <w:color w:val="000000"/>
          <w:sz w:val="32"/>
          <w:szCs w:val="32"/>
        </w:rPr>
        <w:t>50</w:t>
      </w:r>
      <w:r>
        <w:rPr>
          <w:rFonts w:hint="eastAsia" w:ascii="仿宋_GB2312" w:hAnsi="仿宋_GB2312" w:eastAsia="仿宋_GB2312" w:cs="仿宋_GB2312"/>
          <w:color w:val="000000"/>
          <w:sz w:val="32"/>
          <w:szCs w:val="32"/>
        </w:rPr>
        <w:t>年的老党员教师熊大章、李季华老师。在端午节给每位在职教师送了油和粽子，国庆节给老师们买了猕猴桃，中秋节送了月饼，端午节的粽子，礼轻仁义重，让老师们享受幸福，感受集体的关爱，增强了集体的凝聚力。工会做到了教师生病住院、婚丧嫁娶、生活困难等的第一知情人，第一报告人，第一帮扶人。让每一位老师感受到了太公镇小学这个大集体的温暖。</w:t>
      </w:r>
    </w:p>
    <w:p>
      <w:pPr>
        <w:spacing w:line="576" w:lineRule="exact"/>
        <w:ind w:firstLine="640" w:firstLineChars="200"/>
        <w:rPr>
          <w:rFonts w:ascii="仿宋_GB2312" w:hAnsi="仿宋_GB2312" w:eastAsia="仿宋_GB2312" w:cs="仿宋_GB2312"/>
          <w:color w:val="000000"/>
          <w:sz w:val="32"/>
          <w:szCs w:val="32"/>
        </w:rPr>
      </w:pPr>
      <w:r>
        <w:rPr>
          <w:rFonts w:ascii="仿宋_GB2312" w:hAnsi="仿宋_GB2312" w:eastAsia="仿宋_GB2312" w:cs="仿宋_GB2312"/>
          <w:color w:val="000000"/>
          <w:sz w:val="32"/>
          <w:szCs w:val="32"/>
        </w:rPr>
        <w:t>9.</w:t>
      </w:r>
      <w:r>
        <w:rPr>
          <w:rFonts w:hint="eastAsia" w:ascii="仿宋_GB2312" w:hAnsi="仿宋_GB2312" w:eastAsia="仿宋_GB2312" w:cs="仿宋_GB2312"/>
          <w:color w:val="000000"/>
          <w:sz w:val="32"/>
          <w:szCs w:val="32"/>
        </w:rPr>
        <w:t>严肃了财务纪律，做到了无账外账和“小金库”，严控了三公经费了支出。优化了后勤服务，定期开了后勤会，强化了服务意识，安全意识。认真实施了国家的营养餐和昭化区政府免费肉食计划，组织落实了住校生生活补助，幼儿园“三儿”资助。生活费每月结算，一期完了进行清算。做到师生放心伙食，家长学生满意食堂。</w:t>
      </w:r>
    </w:p>
    <w:p>
      <w:pPr>
        <w:spacing w:line="576" w:lineRule="exact"/>
        <w:ind w:firstLine="640" w:firstLineChars="200"/>
        <w:rPr>
          <w:rFonts w:ascii="仿宋_GB2312" w:hAnsi="仿宋_GB2312" w:eastAsia="仿宋_GB2312" w:cs="仿宋_GB2312"/>
          <w:color w:val="000000"/>
          <w:sz w:val="32"/>
          <w:szCs w:val="32"/>
        </w:rPr>
      </w:pPr>
      <w:r>
        <w:rPr>
          <w:rFonts w:ascii="仿宋_GB2312" w:hAnsi="仿宋_GB2312" w:eastAsia="仿宋_GB2312" w:cs="仿宋_GB2312"/>
          <w:color w:val="000000"/>
          <w:sz w:val="32"/>
          <w:szCs w:val="32"/>
        </w:rPr>
        <w:t>10.</w:t>
      </w:r>
      <w:r>
        <w:rPr>
          <w:rFonts w:hint="eastAsia" w:ascii="仿宋_GB2312" w:hAnsi="仿宋_GB2312" w:eastAsia="仿宋_GB2312" w:cs="仿宋_GB2312"/>
          <w:color w:val="000000"/>
          <w:sz w:val="32"/>
          <w:szCs w:val="32"/>
        </w:rPr>
        <w:t>今年是我国建党</w:t>
      </w:r>
      <w:r>
        <w:rPr>
          <w:rFonts w:ascii="仿宋_GB2312" w:hAnsi="仿宋_GB2312" w:eastAsia="仿宋_GB2312" w:cs="仿宋_GB2312"/>
          <w:color w:val="000000"/>
          <w:sz w:val="32"/>
          <w:szCs w:val="32"/>
        </w:rPr>
        <w:t>100</w:t>
      </w:r>
      <w:r>
        <w:rPr>
          <w:rFonts w:hint="eastAsia" w:ascii="仿宋_GB2312" w:hAnsi="仿宋_GB2312" w:eastAsia="仿宋_GB2312" w:cs="仿宋_GB2312"/>
          <w:color w:val="000000"/>
          <w:sz w:val="32"/>
          <w:szCs w:val="32"/>
        </w:rPr>
        <w:t>周年，我校党支部积极开展了三会一课、红色星期五、党史学习、干部纪律作风整顿，统一了思想，规范了工作纪律</w:t>
      </w:r>
    </w:p>
    <w:p>
      <w:pPr>
        <w:spacing w:line="576" w:lineRule="exact"/>
        <w:rPr>
          <w:rFonts w:ascii="黑体" w:hAnsi="黑体" w:eastAsia="黑体" w:cs="黑体"/>
          <w:color w:val="000000"/>
          <w:sz w:val="32"/>
          <w:szCs w:val="32"/>
        </w:rPr>
      </w:pPr>
      <w:r>
        <w:rPr>
          <w:rFonts w:hint="eastAsia" w:ascii="黑体" w:hAnsi="黑体" w:eastAsia="黑体" w:cs="黑体"/>
          <w:color w:val="000000"/>
          <w:sz w:val="32"/>
          <w:szCs w:val="32"/>
        </w:rPr>
        <w:t>（二）、学校特色</w:t>
      </w:r>
    </w:p>
    <w:p>
      <w:pPr>
        <w:spacing w:line="576" w:lineRule="exact"/>
        <w:ind w:firstLine="640" w:firstLineChars="200"/>
        <w:rPr>
          <w:rFonts w:ascii="仿宋_GB2312" w:hAnsi="仿宋_GB2312" w:eastAsia="仿宋_GB2312" w:cs="仿宋_GB2312"/>
          <w:color w:val="000000"/>
          <w:sz w:val="32"/>
          <w:szCs w:val="32"/>
        </w:rPr>
      </w:pPr>
      <w:r>
        <w:rPr>
          <w:rFonts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校园文化建设，宣传了教育扶贫引导总政策及昭化区的教育扶贫打数据，教师对口帮扶，以及食品、交通、防溺水、防火、法制、反邪教宣传栏。</w:t>
      </w:r>
    </w:p>
    <w:p>
      <w:pPr>
        <w:spacing w:line="576" w:lineRule="exact"/>
        <w:ind w:firstLine="640" w:firstLineChars="200"/>
        <w:rPr>
          <w:rFonts w:ascii="仿宋_GB2312" w:hAnsi="仿宋_GB2312" w:eastAsia="仿宋_GB2312" w:cs="仿宋_GB2312"/>
          <w:color w:val="000000"/>
          <w:sz w:val="32"/>
          <w:szCs w:val="32"/>
        </w:rPr>
      </w:pPr>
      <w:r>
        <w:rPr>
          <w:rFonts w:ascii="仿宋_GB2312" w:hAnsi="仿宋_GB2312" w:eastAsia="仿宋_GB2312" w:cs="仿宋_GB2312"/>
          <w:color w:val="000000"/>
          <w:sz w:val="32"/>
          <w:szCs w:val="32"/>
        </w:rPr>
        <w:t>2.</w:t>
      </w:r>
      <w:r>
        <w:rPr>
          <w:rFonts w:hint="eastAsia" w:ascii="仿宋_GB2312" w:hAnsi="仿宋_GB2312" w:eastAsia="仿宋_GB2312" w:cs="仿宋_GB2312"/>
          <w:color w:val="000000"/>
          <w:sz w:val="32"/>
          <w:szCs w:val="32"/>
        </w:rPr>
        <w:t>编写红色校本教材，唱响了红色歌谣，开展了系列的“红色文化进校园”活动，努力让老师和学生都成为红色文化的传播者和践行者。</w:t>
      </w:r>
    </w:p>
    <w:p>
      <w:pPr>
        <w:spacing w:line="576" w:lineRule="exact"/>
        <w:ind w:firstLine="640" w:firstLineChars="200"/>
        <w:rPr>
          <w:rFonts w:ascii="仿宋_GB2312" w:hAnsi="仿宋_GB2312" w:eastAsia="仿宋_GB2312" w:cs="仿宋_GB2312"/>
          <w:color w:val="000000"/>
          <w:sz w:val="32"/>
          <w:szCs w:val="32"/>
        </w:rPr>
      </w:pPr>
      <w:r>
        <w:rPr>
          <w:rFonts w:ascii="仿宋_GB2312" w:hAnsi="仿宋_GB2312" w:eastAsia="仿宋_GB2312" w:cs="仿宋_GB2312"/>
          <w:color w:val="000000"/>
          <w:sz w:val="32"/>
          <w:szCs w:val="32"/>
        </w:rPr>
        <w:t>3.</w:t>
      </w:r>
      <w:r>
        <w:rPr>
          <w:rFonts w:hint="eastAsia" w:ascii="仿宋_GB2312" w:hAnsi="仿宋_GB2312" w:eastAsia="仿宋_GB2312" w:cs="仿宋_GB2312"/>
          <w:color w:val="000000"/>
          <w:sz w:val="32"/>
          <w:szCs w:val="32"/>
        </w:rPr>
        <w:t>少年宫活动课丰富多彩，教师获区级以上指导奖</w:t>
      </w:r>
      <w:r>
        <w:rPr>
          <w:rFonts w:ascii="仿宋_GB2312" w:hAnsi="仿宋_GB2312" w:eastAsia="仿宋_GB2312" w:cs="仿宋_GB2312"/>
          <w:color w:val="000000"/>
          <w:sz w:val="32"/>
          <w:szCs w:val="32"/>
        </w:rPr>
        <w:t>23</w:t>
      </w:r>
      <w:r>
        <w:rPr>
          <w:rFonts w:hint="eastAsia" w:ascii="仿宋_GB2312" w:hAnsi="仿宋_GB2312" w:eastAsia="仿宋_GB2312" w:cs="仿宋_GB2312"/>
          <w:color w:val="000000"/>
          <w:sz w:val="32"/>
          <w:szCs w:val="32"/>
        </w:rPr>
        <w:t>人次，学校足球、乒乓球均获区团体第二名，羽毛球获区团体第三名，足球队代表昭化区参加市上比赛获小学男子甲组亚军、女子甲组第七名和体育道德风尚奖。省第十二届中小学生优秀艺术人才大赛先进单位、《晏子使楚》课本剧参加广元市艺术展演荣获一等奖等奖励。</w:t>
      </w:r>
    </w:p>
    <w:p>
      <w:pPr>
        <w:pStyle w:val="16"/>
        <w:ind w:left="31680" w:firstLine="31680"/>
      </w:pPr>
    </w:p>
    <w:p>
      <w:pPr>
        <w:rPr>
          <w:rFonts w:ascii="黑体" w:hAnsi="黑体" w:eastAsia="黑体"/>
        </w:rPr>
      </w:pPr>
      <w:bookmarkStart w:id="19" w:name="_Toc15396602"/>
      <w:bookmarkStart w:id="20" w:name="_Toc15377204"/>
      <w:r>
        <w:rPr>
          <w:rFonts w:ascii="黑体" w:hAnsi="黑体" w:eastAsia="黑体"/>
        </w:rPr>
        <w:br w:type="page"/>
      </w:r>
    </w:p>
    <w:p>
      <w:pPr>
        <w:pStyle w:val="3"/>
        <w:ind w:right="440"/>
        <w:jc w:val="center"/>
        <w:rPr>
          <w:rStyle w:val="22"/>
          <w:rFonts w:ascii="黑体" w:hAnsi="黑体" w:eastAsia="黑体"/>
          <w:b w:val="0"/>
          <w:bCs/>
        </w:rPr>
      </w:pPr>
      <w:r>
        <w:rPr>
          <w:rFonts w:hint="eastAsia" w:ascii="黑体" w:hAnsi="黑体" w:eastAsia="黑体"/>
          <w:b w:val="0"/>
        </w:rPr>
        <w:t>第二部分</w:t>
      </w:r>
      <w:r>
        <w:rPr>
          <w:rFonts w:ascii="黑体" w:hAnsi="黑体" w:eastAsia="黑体"/>
          <w:b w:val="0"/>
        </w:rPr>
        <w:t xml:space="preserve"> 2021</w:t>
      </w:r>
      <w:r>
        <w:rPr>
          <w:rFonts w:hint="eastAsia" w:ascii="黑体" w:hAnsi="黑体" w:eastAsia="黑体"/>
          <w:b w:val="0"/>
        </w:rPr>
        <w:t>年度</w:t>
      </w:r>
      <w:r>
        <w:rPr>
          <w:rStyle w:val="22"/>
          <w:rFonts w:hint="eastAsia" w:ascii="黑体" w:hAnsi="黑体" w:eastAsia="黑体"/>
          <w:b w:val="0"/>
          <w:bCs/>
        </w:rPr>
        <w:t>单位决算情况说明</w:t>
      </w:r>
      <w:bookmarkEnd w:id="19"/>
      <w:bookmarkEnd w:id="20"/>
    </w:p>
    <w:p/>
    <w:p>
      <w:pPr>
        <w:pStyle w:val="37"/>
        <w:numPr>
          <w:ilvl w:val="0"/>
          <w:numId w:val="3"/>
        </w:numPr>
        <w:spacing w:line="600" w:lineRule="exact"/>
        <w:ind w:firstLineChars="0"/>
        <w:outlineLvl w:val="1"/>
        <w:rPr>
          <w:rStyle w:val="38"/>
          <w:rFonts w:ascii="黑体" w:hAnsi="黑体" w:eastAsia="黑体"/>
          <w:b w:val="0"/>
        </w:rPr>
      </w:pPr>
      <w:bookmarkStart w:id="21" w:name="_Toc15396603"/>
      <w:bookmarkStart w:id="22" w:name="_Toc15377205"/>
      <w:r>
        <w:rPr>
          <w:rFonts w:hint="eastAsia" w:ascii="黑体" w:hAnsi="黑体" w:eastAsia="黑体"/>
          <w:sz w:val="32"/>
          <w:szCs w:val="32"/>
        </w:rPr>
        <w:t>收</w:t>
      </w:r>
      <w:r>
        <w:rPr>
          <w:rStyle w:val="38"/>
          <w:rFonts w:hint="eastAsia" w:ascii="黑体" w:hAnsi="黑体" w:eastAsia="黑体"/>
          <w:b w:val="0"/>
        </w:rPr>
        <w:t>入支出决算总体情况说明</w:t>
      </w:r>
      <w:bookmarkEnd w:id="21"/>
      <w:bookmarkEnd w:id="22"/>
    </w:p>
    <w:p>
      <w:pPr>
        <w:spacing w:line="600" w:lineRule="exact"/>
        <w:ind w:firstLine="640" w:firstLineChars="200"/>
        <w:outlineLvl w:val="1"/>
      </w:pPr>
      <w:r>
        <w:rPr>
          <w:rFonts w:ascii="仿宋" w:hAnsi="仿宋" w:eastAsia="仿宋"/>
          <w:sz w:val="32"/>
          <w:szCs w:val="32"/>
        </w:rPr>
        <w:t>2021</w:t>
      </w:r>
      <w:r>
        <w:rPr>
          <w:rFonts w:hint="eastAsia" w:ascii="仿宋" w:hAnsi="仿宋" w:eastAsia="仿宋"/>
          <w:sz w:val="32"/>
          <w:szCs w:val="32"/>
        </w:rPr>
        <w:t>年度收、支总计</w:t>
      </w:r>
      <w:r>
        <w:rPr>
          <w:rFonts w:ascii="仿宋" w:hAnsi="仿宋" w:eastAsia="仿宋"/>
          <w:sz w:val="32"/>
          <w:szCs w:val="32"/>
        </w:rPr>
        <w:t>1091.52</w:t>
      </w:r>
      <w:r>
        <w:rPr>
          <w:rFonts w:hint="eastAsia" w:ascii="仿宋" w:hAnsi="仿宋" w:eastAsia="仿宋"/>
          <w:sz w:val="32"/>
          <w:szCs w:val="32"/>
        </w:rPr>
        <w:t>万元。与</w:t>
      </w:r>
      <w:r>
        <w:rPr>
          <w:rFonts w:ascii="仿宋" w:hAnsi="仿宋" w:eastAsia="仿宋"/>
          <w:sz w:val="32"/>
          <w:szCs w:val="32"/>
        </w:rPr>
        <w:t>2020</w:t>
      </w:r>
      <w:r>
        <w:rPr>
          <w:rFonts w:hint="eastAsia" w:ascii="仿宋" w:hAnsi="仿宋" w:eastAsia="仿宋"/>
          <w:sz w:val="32"/>
          <w:szCs w:val="32"/>
        </w:rPr>
        <w:t>年相比，收、支总计各减少</w:t>
      </w:r>
      <w:r>
        <w:rPr>
          <w:rFonts w:ascii="仿宋" w:hAnsi="仿宋" w:eastAsia="仿宋"/>
          <w:sz w:val="32"/>
          <w:szCs w:val="32"/>
        </w:rPr>
        <w:t>0.64</w:t>
      </w:r>
      <w:r>
        <w:rPr>
          <w:rFonts w:hint="eastAsia" w:ascii="仿宋" w:hAnsi="仿宋" w:eastAsia="仿宋"/>
          <w:sz w:val="32"/>
          <w:szCs w:val="32"/>
        </w:rPr>
        <w:t>万元，减少</w:t>
      </w:r>
      <w:r>
        <w:rPr>
          <w:rFonts w:ascii="仿宋" w:hAnsi="仿宋" w:eastAsia="仿宋"/>
          <w:sz w:val="32"/>
          <w:szCs w:val="32"/>
        </w:rPr>
        <w:t>0.06%</w:t>
      </w:r>
      <w:r>
        <w:rPr>
          <w:rFonts w:hint="eastAsia" w:ascii="仿宋" w:hAnsi="仿宋" w:eastAsia="仿宋"/>
          <w:sz w:val="32"/>
          <w:szCs w:val="32"/>
        </w:rPr>
        <w:t>。主要变动原因是项目支出减少。</w:t>
      </w:r>
    </w:p>
    <w:p>
      <w:pPr>
        <w:pStyle w:val="37"/>
        <w:numPr>
          <w:ilvl w:val="0"/>
          <w:numId w:val="3"/>
        </w:numPr>
        <w:spacing w:line="600" w:lineRule="exact"/>
        <w:ind w:firstLineChars="0"/>
        <w:outlineLvl w:val="1"/>
        <w:rPr>
          <w:rStyle w:val="38"/>
          <w:rFonts w:ascii="黑体" w:hAnsi="黑体" w:eastAsia="黑体"/>
          <w:b w:val="0"/>
        </w:rPr>
      </w:pPr>
      <w:r>
        <w:pict>
          <v:shape id="_x0000_s1026" o:spid="_x0000_s1026" o:spt="75" type="#_x0000_t75" style="position:absolute;left:0pt;margin-left:15.9pt;margin-top:1.3pt;height:161.55pt;width:380.2pt;mso-wrap-distance-bottom:0pt;mso-wrap-distance-top:0pt;z-index:251660288;mso-width-relative:page;mso-height-relative:page;" o:ole="t" filled="f" o:preferrelative="t" stroked="f" coordsize="21600,21600">
            <v:path/>
            <v:fill on="f" focussize="0,0"/>
            <v:stroke on="f" joinstyle="miter"/>
            <v:imagedata r:id="rId7" o:title=""/>
            <o:lock v:ext="edit" aspectratio="t"/>
            <w10:wrap type="topAndBottom"/>
          </v:shape>
          <o:OLEObject Type="Embed" ProgID="Excel.Chart.8" ShapeID="_x0000_s1026" DrawAspect="Content" ObjectID="_1468075725" r:id="rId6">
            <o:LockedField>false</o:LockedField>
          </o:OLEObject>
        </w:pict>
      </w:r>
      <w:r>
        <w:rPr>
          <w:rFonts w:hint="eastAsia" w:ascii="黑体" w:hAnsi="黑体" w:eastAsia="黑体"/>
          <w:sz w:val="32"/>
          <w:szCs w:val="32"/>
        </w:rPr>
        <w:t>收</w:t>
      </w:r>
      <w:r>
        <w:rPr>
          <w:rStyle w:val="38"/>
          <w:rFonts w:hint="eastAsia" w:ascii="黑体" w:hAnsi="黑体" w:eastAsia="黑体"/>
          <w:b w:val="0"/>
        </w:rPr>
        <w:t>入决算情况说明</w:t>
      </w:r>
      <w:bookmarkEnd w:id="16"/>
      <w:bookmarkEnd w:id="17"/>
    </w:p>
    <w:p>
      <w:pPr>
        <w:spacing w:line="600" w:lineRule="exact"/>
        <w:ind w:firstLine="640" w:firstLineChars="200"/>
        <w:outlineLvl w:val="1"/>
        <w:rPr>
          <w:rFonts w:ascii="仿宋" w:hAnsi="仿宋" w:eastAsia="仿宋"/>
          <w:sz w:val="32"/>
          <w:szCs w:val="32"/>
        </w:rPr>
      </w:pPr>
      <w:r>
        <w:rPr>
          <w:rFonts w:ascii="仿宋" w:hAnsi="仿宋" w:eastAsia="仿宋"/>
          <w:sz w:val="32"/>
          <w:szCs w:val="32"/>
        </w:rPr>
        <w:t>2021</w:t>
      </w:r>
      <w:r>
        <w:rPr>
          <w:rFonts w:hint="eastAsia" w:ascii="仿宋" w:hAnsi="仿宋" w:eastAsia="仿宋"/>
          <w:sz w:val="32"/>
          <w:szCs w:val="32"/>
        </w:rPr>
        <w:t>年本年收入合计</w:t>
      </w:r>
      <w:r>
        <w:rPr>
          <w:rFonts w:ascii="仿宋" w:hAnsi="仿宋" w:eastAsia="仿宋"/>
          <w:sz w:val="32"/>
          <w:szCs w:val="32"/>
        </w:rPr>
        <w:t>1091.52</w:t>
      </w:r>
      <w:r>
        <w:rPr>
          <w:rFonts w:hint="eastAsia" w:ascii="仿宋" w:hAnsi="仿宋" w:eastAsia="仿宋"/>
          <w:sz w:val="32"/>
          <w:szCs w:val="32"/>
        </w:rPr>
        <w:t>万元，其中：一般公共预算财政拨款收入</w:t>
      </w:r>
      <w:r>
        <w:rPr>
          <w:rFonts w:ascii="仿宋" w:hAnsi="仿宋" w:eastAsia="仿宋"/>
          <w:sz w:val="32"/>
          <w:szCs w:val="32"/>
        </w:rPr>
        <w:t>1090</w:t>
      </w:r>
      <w:r>
        <w:rPr>
          <w:rFonts w:hint="eastAsia" w:ascii="仿宋" w:hAnsi="仿宋" w:eastAsia="仿宋"/>
          <w:sz w:val="32"/>
          <w:szCs w:val="32"/>
        </w:rPr>
        <w:t>万元，占</w:t>
      </w:r>
      <w:r>
        <w:rPr>
          <w:rFonts w:ascii="仿宋" w:hAnsi="仿宋" w:eastAsia="仿宋"/>
          <w:sz w:val="32"/>
          <w:szCs w:val="32"/>
        </w:rPr>
        <w:t>99.86%</w:t>
      </w:r>
      <w:r>
        <w:rPr>
          <w:rFonts w:hint="eastAsia" w:ascii="仿宋" w:hAnsi="仿宋" w:eastAsia="仿宋"/>
          <w:sz w:val="32"/>
          <w:szCs w:val="32"/>
        </w:rPr>
        <w:t>；政府性基金预算财政拨款收入</w:t>
      </w:r>
      <w:r>
        <w:rPr>
          <w:rFonts w:ascii="仿宋" w:hAnsi="仿宋" w:eastAsia="仿宋"/>
          <w:sz w:val="32"/>
          <w:szCs w:val="32"/>
        </w:rPr>
        <w:t>1.52</w:t>
      </w:r>
      <w:r>
        <w:rPr>
          <w:rFonts w:hint="eastAsia" w:ascii="仿宋" w:hAnsi="仿宋" w:eastAsia="仿宋"/>
          <w:sz w:val="32"/>
          <w:szCs w:val="32"/>
        </w:rPr>
        <w:t>万元，占</w:t>
      </w:r>
      <w:r>
        <w:rPr>
          <w:rFonts w:ascii="仿宋" w:hAnsi="仿宋" w:eastAsia="仿宋"/>
          <w:sz w:val="32"/>
          <w:szCs w:val="32"/>
        </w:rPr>
        <w:t>0.14%</w:t>
      </w:r>
      <w:r>
        <w:rPr>
          <w:rFonts w:hint="eastAsia" w:ascii="仿宋" w:hAnsi="仿宋" w:eastAsia="仿宋"/>
          <w:sz w:val="32"/>
          <w:szCs w:val="32"/>
        </w:rPr>
        <w:t>。</w:t>
      </w:r>
    </w:p>
    <w:p>
      <w:pPr>
        <w:pStyle w:val="16"/>
        <w:ind w:left="31680" w:firstLine="31680"/>
      </w:pPr>
      <w:r>
        <w:pict>
          <v:shape id="_x0000_s1027" o:spid="_x0000_s1027" o:spt="75" type="#_x0000_t75" style="position:absolute;left:0pt;margin-left:-3.95pt;margin-top:1.65pt;height:175.45pt;width:434.45pt;mso-wrap-distance-bottom:0pt;mso-wrap-distance-top:0pt;z-index:251661312;mso-width-relative:page;mso-height-relative:page;" o:ole="t" filled="f" o:preferrelative="t" stroked="f" coordsize="21600,21600">
            <v:path/>
            <v:fill on="f" focussize="0,0"/>
            <v:stroke on="f" joinstyle="miter"/>
            <v:imagedata r:id="rId9" o:title=""/>
            <o:lock v:ext="edit" aspectratio="t"/>
            <w10:wrap type="topAndBottom"/>
          </v:shape>
          <o:OLEObject Type="Embed" ProgID="Excel.Chart.8" ShapeID="_x0000_s1027" DrawAspect="Content" ObjectID="_1468075726" r:id="rId8">
            <o:LockedField>false</o:LockedField>
          </o:OLEObject>
        </w:pict>
      </w:r>
    </w:p>
    <w:p>
      <w:pPr>
        <w:pStyle w:val="16"/>
        <w:ind w:left="0" w:leftChars="0" w:firstLine="31680"/>
        <w:rPr>
          <w:rStyle w:val="38"/>
          <w:rFonts w:ascii="黑体" w:hAnsi="黑体" w:eastAsia="黑体"/>
          <w:b w:val="0"/>
        </w:rPr>
      </w:pPr>
      <w:bookmarkStart w:id="23" w:name="_Toc15396605"/>
      <w:bookmarkStart w:id="24" w:name="_Toc15377207"/>
      <w:r>
        <w:rPr>
          <w:rFonts w:hint="eastAsia" w:ascii="黑体" w:hAnsi="黑体" w:eastAsia="黑体"/>
          <w:sz w:val="32"/>
          <w:szCs w:val="32"/>
        </w:rPr>
        <w:t>三、支</w:t>
      </w:r>
      <w:r>
        <w:rPr>
          <w:rStyle w:val="38"/>
          <w:rFonts w:hint="eastAsia" w:ascii="黑体" w:hAnsi="黑体" w:eastAsia="黑体"/>
          <w:b w:val="0"/>
        </w:rPr>
        <w:t>出决算情况说明</w:t>
      </w:r>
      <w:bookmarkEnd w:id="23"/>
      <w:bookmarkEnd w:id="24"/>
    </w:p>
    <w:p>
      <w:pPr>
        <w:spacing w:line="600" w:lineRule="exact"/>
        <w:ind w:firstLine="420" w:firstLineChars="200"/>
        <w:outlineLvl w:val="1"/>
        <w:rPr>
          <w:rFonts w:ascii="仿宋" w:hAnsi="仿宋" w:eastAsia="仿宋"/>
          <w:sz w:val="32"/>
          <w:szCs w:val="32"/>
        </w:rPr>
      </w:pPr>
      <w:r>
        <w:pict>
          <v:shape id="_x0000_s1028" o:spid="_x0000_s1028" o:spt="75" type="#_x0000_t75" style="position:absolute;left:0pt;margin-left:2.5pt;margin-top:69.55pt;height:226.6pt;width:420.5pt;mso-wrap-distance-bottom:0pt;mso-wrap-distance-top:0pt;z-index:251659264;mso-width-relative:page;mso-height-relative:page;" o:ole="t" filled="f" o:preferrelative="t" stroked="f" coordsize="21600,21600">
            <v:path/>
            <v:fill on="f" focussize="0,0"/>
            <v:stroke on="f" joinstyle="miter"/>
            <v:imagedata r:id="rId11" o:title=""/>
            <o:lock v:ext="edit" aspectratio="t"/>
            <w10:wrap type="topAndBottom"/>
          </v:shape>
          <o:OLEObject Type="Embed" ProgID="Excel.Chart.8" ShapeID="_x0000_s1028" DrawAspect="Content" ObjectID="_1468075727" r:id="rId10">
            <o:LockedField>false</o:LockedField>
          </o:OLEObject>
        </w:pict>
      </w:r>
      <w:r>
        <w:rPr>
          <w:rFonts w:ascii="仿宋" w:hAnsi="仿宋" w:eastAsia="仿宋"/>
          <w:sz w:val="32"/>
          <w:szCs w:val="32"/>
        </w:rPr>
        <w:t>2021</w:t>
      </w:r>
      <w:r>
        <w:rPr>
          <w:rFonts w:hint="eastAsia" w:ascii="仿宋" w:hAnsi="仿宋" w:eastAsia="仿宋"/>
          <w:sz w:val="32"/>
          <w:szCs w:val="32"/>
        </w:rPr>
        <w:t>年本年支出合计</w:t>
      </w:r>
      <w:r>
        <w:rPr>
          <w:rFonts w:ascii="仿宋" w:hAnsi="仿宋" w:eastAsia="仿宋"/>
          <w:sz w:val="32"/>
          <w:szCs w:val="32"/>
        </w:rPr>
        <w:t>1091.52</w:t>
      </w:r>
      <w:r>
        <w:rPr>
          <w:rFonts w:hint="eastAsia" w:ascii="仿宋" w:hAnsi="仿宋" w:eastAsia="仿宋"/>
          <w:sz w:val="32"/>
          <w:szCs w:val="32"/>
        </w:rPr>
        <w:t>万元，其中：基本支出</w:t>
      </w:r>
      <w:r>
        <w:rPr>
          <w:rFonts w:ascii="仿宋" w:hAnsi="仿宋" w:eastAsia="仿宋"/>
          <w:sz w:val="32"/>
          <w:szCs w:val="32"/>
        </w:rPr>
        <w:t>870</w:t>
      </w:r>
      <w:r>
        <w:rPr>
          <w:rFonts w:hint="eastAsia" w:ascii="仿宋" w:hAnsi="仿宋" w:eastAsia="仿宋"/>
          <w:sz w:val="32"/>
          <w:szCs w:val="32"/>
        </w:rPr>
        <w:t>万元，占</w:t>
      </w:r>
      <w:r>
        <w:rPr>
          <w:rFonts w:ascii="仿宋" w:hAnsi="仿宋" w:eastAsia="仿宋"/>
          <w:sz w:val="32"/>
          <w:szCs w:val="32"/>
        </w:rPr>
        <w:t>79.70%</w:t>
      </w:r>
      <w:r>
        <w:rPr>
          <w:rFonts w:hint="eastAsia" w:ascii="仿宋" w:hAnsi="仿宋" w:eastAsia="仿宋"/>
          <w:sz w:val="32"/>
          <w:szCs w:val="32"/>
        </w:rPr>
        <w:t>；项目支出</w:t>
      </w:r>
      <w:r>
        <w:rPr>
          <w:rFonts w:ascii="仿宋" w:hAnsi="仿宋" w:eastAsia="仿宋"/>
          <w:sz w:val="32"/>
          <w:szCs w:val="32"/>
        </w:rPr>
        <w:t>221.52</w:t>
      </w:r>
      <w:r>
        <w:rPr>
          <w:rFonts w:hint="eastAsia" w:ascii="仿宋" w:hAnsi="仿宋" w:eastAsia="仿宋"/>
          <w:sz w:val="32"/>
          <w:szCs w:val="32"/>
        </w:rPr>
        <w:t>万元，占</w:t>
      </w:r>
      <w:r>
        <w:rPr>
          <w:rFonts w:ascii="仿宋" w:hAnsi="仿宋" w:eastAsia="仿宋"/>
          <w:sz w:val="32"/>
          <w:szCs w:val="32"/>
        </w:rPr>
        <w:t>20.30%</w:t>
      </w:r>
      <w:r>
        <w:rPr>
          <w:rFonts w:hint="eastAsia" w:ascii="仿宋" w:hAnsi="仿宋" w:eastAsia="仿宋"/>
          <w:sz w:val="32"/>
          <w:szCs w:val="32"/>
        </w:rPr>
        <w:t>。</w:t>
      </w:r>
    </w:p>
    <w:p>
      <w:pPr>
        <w:spacing w:line="600" w:lineRule="exact"/>
        <w:ind w:firstLine="640" w:firstLineChars="200"/>
        <w:outlineLvl w:val="1"/>
        <w:rPr>
          <w:rStyle w:val="38"/>
          <w:rFonts w:ascii="黑体" w:hAnsi="黑体" w:eastAsia="黑体"/>
          <w:b w:val="0"/>
        </w:rPr>
      </w:pPr>
      <w:bookmarkStart w:id="25" w:name="_Toc15396606"/>
      <w:bookmarkStart w:id="26" w:name="_Toc15377208"/>
      <w:r>
        <w:rPr>
          <w:rFonts w:hint="eastAsia" w:ascii="黑体" w:hAnsi="黑体" w:eastAsia="黑体"/>
          <w:sz w:val="32"/>
          <w:szCs w:val="32"/>
        </w:rPr>
        <w:t>四、财</w:t>
      </w:r>
      <w:r>
        <w:rPr>
          <w:rStyle w:val="38"/>
          <w:rFonts w:hint="eastAsia" w:ascii="黑体" w:hAnsi="黑体" w:eastAsia="黑体"/>
          <w:b w:val="0"/>
        </w:rPr>
        <w:t>政拨款收入支出决算总体情况说明</w:t>
      </w:r>
      <w:bookmarkEnd w:id="25"/>
      <w:bookmarkEnd w:id="26"/>
    </w:p>
    <w:p>
      <w:pPr>
        <w:spacing w:line="600" w:lineRule="exact"/>
        <w:ind w:firstLine="640"/>
        <w:rPr>
          <w:rFonts w:ascii="仿宋" w:hAnsi="仿宋" w:eastAsia="仿宋"/>
          <w:sz w:val="32"/>
          <w:szCs w:val="32"/>
        </w:rPr>
      </w:pPr>
      <w:r>
        <w:rPr>
          <w:rFonts w:ascii="仿宋" w:hAnsi="仿宋" w:eastAsia="仿宋"/>
          <w:sz w:val="32"/>
          <w:szCs w:val="32"/>
        </w:rPr>
        <w:t>2021</w:t>
      </w:r>
      <w:r>
        <w:rPr>
          <w:rFonts w:hint="eastAsia" w:ascii="仿宋" w:hAnsi="仿宋" w:eastAsia="仿宋"/>
          <w:sz w:val="32"/>
          <w:szCs w:val="32"/>
        </w:rPr>
        <w:t>年财政拨款收、支总计</w:t>
      </w:r>
      <w:r>
        <w:rPr>
          <w:rFonts w:ascii="仿宋" w:hAnsi="仿宋" w:eastAsia="仿宋"/>
          <w:sz w:val="32"/>
          <w:szCs w:val="32"/>
        </w:rPr>
        <w:t>1091.52</w:t>
      </w:r>
      <w:r>
        <w:rPr>
          <w:rFonts w:hint="eastAsia" w:ascii="仿宋" w:hAnsi="仿宋" w:eastAsia="仿宋"/>
          <w:sz w:val="32"/>
          <w:szCs w:val="32"/>
        </w:rPr>
        <w:t>万元。与</w:t>
      </w:r>
      <w:r>
        <w:rPr>
          <w:rFonts w:ascii="仿宋" w:hAnsi="仿宋" w:eastAsia="仿宋"/>
          <w:sz w:val="32"/>
          <w:szCs w:val="32"/>
        </w:rPr>
        <w:t>2020</w:t>
      </w:r>
      <w:r>
        <w:rPr>
          <w:rFonts w:hint="eastAsia" w:ascii="仿宋" w:hAnsi="仿宋" w:eastAsia="仿宋"/>
          <w:sz w:val="32"/>
          <w:szCs w:val="32"/>
        </w:rPr>
        <w:t>年相比，财政拨款收、支总计各减少</w:t>
      </w:r>
      <w:r>
        <w:rPr>
          <w:rFonts w:ascii="仿宋" w:hAnsi="仿宋" w:eastAsia="仿宋"/>
          <w:sz w:val="32"/>
          <w:szCs w:val="32"/>
        </w:rPr>
        <w:t>0.64</w:t>
      </w:r>
      <w:r>
        <w:rPr>
          <w:rFonts w:hint="eastAsia" w:ascii="仿宋" w:hAnsi="仿宋" w:eastAsia="仿宋"/>
          <w:sz w:val="32"/>
          <w:szCs w:val="32"/>
        </w:rPr>
        <w:t>万元，，减少</w:t>
      </w:r>
      <w:r>
        <w:rPr>
          <w:rFonts w:ascii="仿宋" w:hAnsi="仿宋" w:eastAsia="仿宋"/>
          <w:sz w:val="32"/>
          <w:szCs w:val="32"/>
        </w:rPr>
        <w:t>0.06%</w:t>
      </w:r>
      <w:r>
        <w:rPr>
          <w:rFonts w:hint="eastAsia" w:ascii="仿宋" w:hAnsi="仿宋" w:eastAsia="仿宋"/>
          <w:sz w:val="32"/>
          <w:szCs w:val="32"/>
        </w:rPr>
        <w:t>。主要变动原因是项目支出减少。</w:t>
      </w:r>
    </w:p>
    <w:p>
      <w:pPr>
        <w:pStyle w:val="16"/>
        <w:ind w:left="31680" w:firstLine="31680"/>
      </w:pPr>
      <w:r>
        <w:pict>
          <v:shape id="_x0000_s1029" o:spid="_x0000_s1029" o:spt="75" type="#_x0000_t75" style="position:absolute;left:0pt;margin-left:-0.6pt;margin-top:15.9pt;height:216.1pt;width:380.2pt;mso-wrap-distance-bottom:0pt;mso-wrap-distance-top:0pt;z-index:251662336;mso-width-relative:page;mso-height-relative:page;" o:ole="t" filled="f" o:preferrelative="t" stroked="f" coordsize="21600,21600">
            <v:path/>
            <v:fill on="f" focussize="0,0"/>
            <v:stroke on="f" joinstyle="miter"/>
            <v:imagedata r:id="rId13" o:title=""/>
            <o:lock v:ext="edit" aspectratio="t"/>
            <w10:wrap type="topAndBottom"/>
          </v:shape>
          <o:OLEObject Type="Embed" ProgID="Excel.Chart.8" ShapeID="_x0000_s1029" DrawAspect="Content" ObjectID="_1468075728" r:id="rId12">
            <o:LockedField>false</o:LockedField>
          </o:OLEObject>
        </w:pict>
      </w:r>
    </w:p>
    <w:p>
      <w:pPr>
        <w:spacing w:line="600" w:lineRule="exact"/>
        <w:ind w:firstLine="640" w:firstLineChars="200"/>
        <w:outlineLvl w:val="1"/>
        <w:rPr>
          <w:rStyle w:val="38"/>
          <w:rFonts w:ascii="黑体" w:hAnsi="黑体" w:eastAsia="黑体"/>
          <w:b w:val="0"/>
        </w:rPr>
      </w:pPr>
      <w:bookmarkStart w:id="27" w:name="_Toc15396607"/>
      <w:bookmarkStart w:id="28" w:name="_Toc15377209"/>
      <w:r>
        <w:rPr>
          <w:rFonts w:hint="eastAsia" w:ascii="黑体" w:hAnsi="黑体" w:eastAsia="黑体"/>
          <w:sz w:val="32"/>
          <w:szCs w:val="32"/>
        </w:rPr>
        <w:t>五、</w:t>
      </w:r>
      <w:r>
        <w:rPr>
          <w:rFonts w:hint="eastAsia" w:ascii="黑体" w:hAnsi="黑体" w:eastAsia="黑体"/>
          <w:b/>
          <w:sz w:val="32"/>
          <w:szCs w:val="32"/>
        </w:rPr>
        <w:t>一</w:t>
      </w:r>
      <w:r>
        <w:rPr>
          <w:rStyle w:val="38"/>
          <w:rFonts w:hint="eastAsia" w:ascii="黑体" w:hAnsi="黑体" w:eastAsia="黑体"/>
          <w:b w:val="0"/>
        </w:rPr>
        <w:t>般公共预算财政拨款支出决算情况说明</w:t>
      </w:r>
      <w:bookmarkEnd w:id="27"/>
      <w:bookmarkEnd w:id="28"/>
    </w:p>
    <w:p>
      <w:pPr>
        <w:spacing w:line="600" w:lineRule="exact"/>
        <w:ind w:firstLine="643" w:firstLineChars="200"/>
        <w:outlineLvl w:val="2"/>
        <w:rPr>
          <w:rFonts w:ascii="仿宋" w:hAnsi="仿宋" w:eastAsia="仿宋"/>
          <w:b/>
          <w:sz w:val="32"/>
          <w:szCs w:val="32"/>
        </w:rPr>
      </w:pPr>
      <w:bookmarkStart w:id="29" w:name="_Toc15377210"/>
      <w:r>
        <w:rPr>
          <w:rFonts w:hint="eastAsia" w:ascii="仿宋" w:hAnsi="仿宋" w:eastAsia="仿宋"/>
          <w:b/>
          <w:sz w:val="32"/>
          <w:szCs w:val="32"/>
        </w:rPr>
        <w:t>（一）一般公共预算财政拨款支出决算总体情况</w:t>
      </w:r>
      <w:bookmarkEnd w:id="29"/>
    </w:p>
    <w:p>
      <w:pPr>
        <w:spacing w:line="600" w:lineRule="exact"/>
        <w:ind w:firstLine="640"/>
        <w:rPr>
          <w:rFonts w:ascii="仿宋" w:hAnsi="仿宋" w:eastAsia="仿宋"/>
          <w:b/>
          <w:sz w:val="32"/>
          <w:szCs w:val="32"/>
        </w:rPr>
      </w:pPr>
      <w:r>
        <w:rPr>
          <w:rFonts w:ascii="仿宋" w:hAnsi="仿宋" w:eastAsia="仿宋"/>
          <w:sz w:val="32"/>
          <w:szCs w:val="32"/>
        </w:rPr>
        <w:t>2021</w:t>
      </w:r>
      <w:r>
        <w:rPr>
          <w:rFonts w:hint="eastAsia" w:ascii="仿宋" w:hAnsi="仿宋" w:eastAsia="仿宋"/>
          <w:sz w:val="32"/>
          <w:szCs w:val="32"/>
        </w:rPr>
        <w:t>年一般公共预算财政拨款支出</w:t>
      </w:r>
      <w:r>
        <w:rPr>
          <w:rFonts w:ascii="仿宋" w:hAnsi="仿宋" w:eastAsia="仿宋"/>
          <w:sz w:val="32"/>
          <w:szCs w:val="32"/>
        </w:rPr>
        <w:t>1090.00</w:t>
      </w:r>
      <w:r>
        <w:rPr>
          <w:rFonts w:hint="eastAsia" w:ascii="仿宋" w:hAnsi="仿宋" w:eastAsia="仿宋"/>
          <w:sz w:val="32"/>
          <w:szCs w:val="32"/>
        </w:rPr>
        <w:t>万元，占本年支出合计的</w:t>
      </w:r>
      <w:r>
        <w:rPr>
          <w:rFonts w:ascii="仿宋" w:hAnsi="仿宋" w:eastAsia="仿宋"/>
          <w:sz w:val="32"/>
          <w:szCs w:val="32"/>
        </w:rPr>
        <w:t>99.86%</w:t>
      </w:r>
      <w:r>
        <w:rPr>
          <w:rFonts w:hint="eastAsia" w:ascii="仿宋" w:hAnsi="仿宋" w:eastAsia="仿宋"/>
          <w:sz w:val="32"/>
          <w:szCs w:val="32"/>
        </w:rPr>
        <w:t>。与</w:t>
      </w:r>
      <w:r>
        <w:rPr>
          <w:rFonts w:ascii="仿宋" w:hAnsi="仿宋" w:eastAsia="仿宋"/>
          <w:sz w:val="32"/>
          <w:szCs w:val="32"/>
        </w:rPr>
        <w:t>2020</w:t>
      </w:r>
      <w:r>
        <w:rPr>
          <w:rFonts w:hint="eastAsia" w:ascii="仿宋" w:hAnsi="仿宋" w:eastAsia="仿宋"/>
          <w:sz w:val="32"/>
          <w:szCs w:val="32"/>
        </w:rPr>
        <w:t>年</w:t>
      </w:r>
      <w:r>
        <w:rPr>
          <w:rFonts w:ascii="仿宋" w:hAnsi="仿宋" w:eastAsia="仿宋"/>
          <w:sz w:val="32"/>
          <w:szCs w:val="32"/>
        </w:rPr>
        <w:t>1089.16</w:t>
      </w:r>
      <w:r>
        <w:rPr>
          <w:rFonts w:hint="eastAsia" w:ascii="仿宋" w:hAnsi="仿宋" w:eastAsia="仿宋"/>
          <w:sz w:val="32"/>
          <w:szCs w:val="32"/>
        </w:rPr>
        <w:t>万元相比，一般公共预算财政拨款支出增加</w:t>
      </w:r>
      <w:r>
        <w:rPr>
          <w:rFonts w:ascii="仿宋" w:hAnsi="仿宋" w:eastAsia="仿宋"/>
          <w:sz w:val="32"/>
          <w:szCs w:val="32"/>
        </w:rPr>
        <w:t>0.84</w:t>
      </w:r>
      <w:r>
        <w:rPr>
          <w:rFonts w:hint="eastAsia" w:ascii="仿宋" w:hAnsi="仿宋" w:eastAsia="仿宋"/>
          <w:sz w:val="32"/>
          <w:szCs w:val="32"/>
        </w:rPr>
        <w:t>万元，增长</w:t>
      </w:r>
      <w:r>
        <w:rPr>
          <w:rFonts w:ascii="仿宋" w:hAnsi="仿宋" w:eastAsia="仿宋"/>
          <w:sz w:val="32"/>
          <w:szCs w:val="32"/>
        </w:rPr>
        <w:t>0.08%</w:t>
      </w:r>
      <w:r>
        <w:rPr>
          <w:rFonts w:hint="eastAsia" w:ascii="仿宋" w:hAnsi="仿宋" w:eastAsia="仿宋"/>
          <w:sz w:val="32"/>
          <w:szCs w:val="32"/>
        </w:rPr>
        <w:t>。主要变动原因是基本支出增加。</w:t>
      </w:r>
    </w:p>
    <w:p>
      <w:pPr>
        <w:spacing w:line="600" w:lineRule="exact"/>
        <w:ind w:firstLine="420" w:firstLineChars="200"/>
        <w:outlineLvl w:val="2"/>
        <w:rPr>
          <w:rFonts w:ascii="仿宋" w:hAnsi="仿宋" w:eastAsia="仿宋"/>
          <w:b/>
          <w:sz w:val="32"/>
          <w:szCs w:val="32"/>
        </w:rPr>
      </w:pPr>
      <w:r>
        <w:pict>
          <v:shape id="_x0000_s1030" o:spid="_x0000_s1030" o:spt="75" type="#_x0000_t75" style="position:absolute;left:0pt;margin-left:-0.6pt;margin-top:8.8pt;height:188.65pt;width:400.6pt;mso-wrap-distance-bottom:0.1pt;mso-wrap-distance-top:0pt;z-index:251662336;mso-width-relative:page;mso-height-relative:page;" o:ole="t" filled="f" o:preferrelative="t" stroked="f" coordsize="21600,21600">
            <v:path/>
            <v:fill on="f" focussize="0,0"/>
            <v:stroke on="f" joinstyle="miter"/>
            <v:imagedata r:id="rId15" o:title=""/>
            <o:lock v:ext="edit" aspectratio="t"/>
            <w10:wrap type="topAndBottom"/>
          </v:shape>
          <o:OLEObject Type="Embed" ProgID="Excel.Chart.8" ShapeID="_x0000_s1030" DrawAspect="Content" ObjectID="_1468075729" r:id="rId14">
            <o:LockedField>false</o:LockedField>
          </o:OLEObject>
        </w:pict>
      </w:r>
      <w:r>
        <w:rPr>
          <w:rFonts w:hint="eastAsia" w:ascii="仿宋" w:hAnsi="仿宋" w:eastAsia="仿宋"/>
          <w:b/>
          <w:sz w:val="32"/>
          <w:szCs w:val="32"/>
        </w:rPr>
        <w:t>（二）一般公共预算财政拨款支出决算结构情况</w:t>
      </w:r>
      <w:bookmarkEnd w:id="18"/>
    </w:p>
    <w:p>
      <w:pPr>
        <w:spacing w:line="600" w:lineRule="exact"/>
        <w:ind w:firstLine="640"/>
        <w:rPr>
          <w:rFonts w:ascii="仿宋" w:hAnsi="仿宋" w:eastAsia="仿宋"/>
          <w:sz w:val="32"/>
          <w:szCs w:val="32"/>
        </w:rPr>
      </w:pPr>
      <w:r>
        <w:pict>
          <v:shape id="_x0000_s1031" o:spid="_x0000_s1031" o:spt="75" type="#_x0000_t75" style="position:absolute;left:0pt;margin-left:3.15pt;margin-top:74.85pt;height:199.2pt;width:401.3pt;mso-wrap-distance-bottom:0pt;mso-wrap-distance-top:0pt;z-index:251663360;mso-width-relative:page;mso-height-relative:page;" o:ole="t" filled="f" o:preferrelative="t" stroked="f" coordsize="21600,21600">
            <v:path/>
            <v:fill on="f" focussize="0,0"/>
            <v:stroke on="f" joinstyle="miter"/>
            <v:imagedata r:id="rId17" o:title=""/>
            <o:lock v:ext="edit" aspectratio="t"/>
            <w10:wrap type="topAndBottom"/>
          </v:shape>
          <o:OLEObject Type="Embed" ProgID="Excel.Chart.8" ShapeID="_x0000_s1031" DrawAspect="Content" ObjectID="_1468075730" r:id="rId16">
            <o:LockedField>false</o:LockedField>
          </o:OLEObject>
        </w:pict>
      </w:r>
      <w:r>
        <w:rPr>
          <w:rFonts w:ascii="仿宋" w:hAnsi="仿宋" w:eastAsia="仿宋"/>
          <w:sz w:val="32"/>
          <w:szCs w:val="32"/>
        </w:rPr>
        <w:t>2021</w:t>
      </w:r>
      <w:r>
        <w:rPr>
          <w:rFonts w:hint="eastAsia" w:ascii="仿宋" w:hAnsi="仿宋" w:eastAsia="仿宋"/>
          <w:sz w:val="32"/>
          <w:szCs w:val="32"/>
        </w:rPr>
        <w:t>年一般公共预算财政拨款支出</w:t>
      </w:r>
      <w:r>
        <w:rPr>
          <w:rFonts w:ascii="仿宋" w:hAnsi="仿宋" w:eastAsia="仿宋"/>
          <w:sz w:val="32"/>
          <w:szCs w:val="32"/>
        </w:rPr>
        <w:t>1090.00</w:t>
      </w:r>
      <w:r>
        <w:rPr>
          <w:rFonts w:hint="eastAsia" w:ascii="仿宋" w:hAnsi="仿宋" w:eastAsia="仿宋"/>
          <w:sz w:val="32"/>
          <w:szCs w:val="32"/>
        </w:rPr>
        <w:t>万元，主要用于以下方面</w:t>
      </w:r>
      <w:r>
        <w:rPr>
          <w:rFonts w:ascii="仿宋" w:hAnsi="仿宋" w:eastAsia="仿宋"/>
          <w:sz w:val="32"/>
          <w:szCs w:val="32"/>
        </w:rPr>
        <w:t>:</w:t>
      </w:r>
      <w:r>
        <w:rPr>
          <w:rFonts w:hint="eastAsia" w:ascii="仿宋" w:hAnsi="仿宋" w:eastAsia="仿宋"/>
          <w:b/>
          <w:sz w:val="32"/>
          <w:szCs w:val="32"/>
        </w:rPr>
        <w:t>教育支出（类）</w:t>
      </w:r>
      <w:r>
        <w:rPr>
          <w:rFonts w:ascii="仿宋" w:hAnsi="仿宋" w:eastAsia="仿宋"/>
          <w:sz w:val="32"/>
          <w:szCs w:val="32"/>
        </w:rPr>
        <w:t>1090.00</w:t>
      </w:r>
      <w:r>
        <w:rPr>
          <w:rFonts w:hint="eastAsia" w:ascii="仿宋" w:hAnsi="仿宋" w:eastAsia="仿宋"/>
          <w:sz w:val="32"/>
          <w:szCs w:val="32"/>
        </w:rPr>
        <w:t>万元，占</w:t>
      </w:r>
      <w:r>
        <w:rPr>
          <w:rFonts w:ascii="仿宋" w:hAnsi="仿宋" w:eastAsia="仿宋"/>
          <w:sz w:val="32"/>
          <w:szCs w:val="32"/>
        </w:rPr>
        <w:t>100%</w:t>
      </w:r>
      <w:r>
        <w:rPr>
          <w:rFonts w:hint="eastAsia" w:ascii="仿宋" w:hAnsi="仿宋" w:eastAsia="仿宋"/>
          <w:sz w:val="32"/>
          <w:szCs w:val="32"/>
        </w:rPr>
        <w:t>。</w:t>
      </w:r>
    </w:p>
    <w:p>
      <w:pPr>
        <w:spacing w:line="600" w:lineRule="exact"/>
        <w:rPr>
          <w:rFonts w:ascii="仿宋" w:hAnsi="仿宋" w:eastAsia="仿宋"/>
          <w:b/>
          <w:sz w:val="32"/>
          <w:szCs w:val="32"/>
        </w:rPr>
      </w:pPr>
      <w:bookmarkStart w:id="30" w:name="_Toc15377212"/>
      <w:r>
        <w:rPr>
          <w:rFonts w:hint="eastAsia" w:ascii="仿宋" w:hAnsi="仿宋" w:eastAsia="仿宋"/>
          <w:b/>
          <w:sz w:val="32"/>
          <w:szCs w:val="32"/>
        </w:rPr>
        <w:t>（三）一般公共预算财政拨款支出决算具体情况</w:t>
      </w:r>
      <w:bookmarkEnd w:id="30"/>
    </w:p>
    <w:p>
      <w:pPr>
        <w:spacing w:line="600" w:lineRule="exact"/>
        <w:ind w:firstLine="643" w:firstLineChars="200"/>
        <w:outlineLvl w:val="2"/>
        <w:rPr>
          <w:rFonts w:ascii="仿宋" w:hAnsi="仿宋" w:eastAsia="仿宋"/>
          <w:sz w:val="32"/>
          <w:szCs w:val="32"/>
        </w:rPr>
      </w:pPr>
      <w:bookmarkStart w:id="31" w:name="_Toc15378460"/>
      <w:bookmarkStart w:id="32" w:name="_Toc15377444"/>
      <w:bookmarkStart w:id="33" w:name="_Toc15377213"/>
      <w:r>
        <w:rPr>
          <w:rFonts w:ascii="仿宋" w:hAnsi="仿宋" w:eastAsia="仿宋"/>
          <w:b/>
          <w:sz w:val="32"/>
          <w:szCs w:val="32"/>
        </w:rPr>
        <w:t>2021</w:t>
      </w:r>
      <w:r>
        <w:rPr>
          <w:rFonts w:hint="eastAsia" w:ascii="仿宋" w:hAnsi="仿宋" w:eastAsia="仿宋"/>
          <w:b/>
          <w:sz w:val="32"/>
          <w:szCs w:val="32"/>
        </w:rPr>
        <w:t>年一般公共预算支出决算数为</w:t>
      </w:r>
      <w:r>
        <w:rPr>
          <w:rFonts w:ascii="仿宋" w:hAnsi="仿宋" w:eastAsia="仿宋"/>
          <w:b/>
          <w:sz w:val="32"/>
          <w:szCs w:val="32"/>
        </w:rPr>
        <w:t>1090.00</w:t>
      </w:r>
      <w:r>
        <w:rPr>
          <w:rFonts w:hint="eastAsia" w:ascii="仿宋" w:hAnsi="仿宋" w:eastAsia="仿宋"/>
          <w:b/>
          <w:sz w:val="32"/>
          <w:szCs w:val="32"/>
        </w:rPr>
        <w:t>万元</w:t>
      </w:r>
      <w:r>
        <w:rPr>
          <w:rFonts w:hint="eastAsia" w:ascii="仿宋" w:hAnsi="仿宋" w:eastAsia="仿宋"/>
          <w:sz w:val="32"/>
          <w:szCs w:val="32"/>
        </w:rPr>
        <w:t>，</w:t>
      </w:r>
      <w:r>
        <w:rPr>
          <w:rStyle w:val="19"/>
          <w:rFonts w:hint="eastAsia" w:ascii="仿宋" w:hAnsi="仿宋" w:eastAsia="仿宋"/>
          <w:bCs/>
          <w:sz w:val="32"/>
          <w:szCs w:val="32"/>
        </w:rPr>
        <w:t>完成预算</w:t>
      </w:r>
      <w:r>
        <w:rPr>
          <w:rStyle w:val="19"/>
          <w:rFonts w:ascii="仿宋" w:hAnsi="仿宋" w:eastAsia="仿宋"/>
          <w:bCs/>
          <w:sz w:val="32"/>
          <w:szCs w:val="32"/>
        </w:rPr>
        <w:t>100%</w:t>
      </w:r>
      <w:r>
        <w:rPr>
          <w:rStyle w:val="19"/>
          <w:rFonts w:hint="eastAsia" w:ascii="仿宋" w:hAnsi="仿宋" w:eastAsia="仿宋"/>
          <w:bCs/>
          <w:sz w:val="32"/>
          <w:szCs w:val="32"/>
        </w:rPr>
        <w:t>。其中：</w:t>
      </w:r>
      <w:bookmarkEnd w:id="31"/>
      <w:bookmarkEnd w:id="32"/>
      <w:bookmarkEnd w:id="33"/>
    </w:p>
    <w:p>
      <w:pPr>
        <w:spacing w:line="600" w:lineRule="exact"/>
        <w:ind w:firstLine="643" w:firstLineChars="200"/>
        <w:rPr>
          <w:rFonts w:ascii="仿宋" w:hAnsi="仿宋" w:eastAsia="仿宋"/>
          <w:b/>
          <w:sz w:val="32"/>
          <w:szCs w:val="32"/>
        </w:rPr>
      </w:pPr>
      <w:r>
        <w:rPr>
          <w:rStyle w:val="19"/>
          <w:rFonts w:ascii="仿宋" w:hAnsi="仿宋" w:eastAsia="仿宋"/>
          <w:bCs/>
          <w:sz w:val="32"/>
          <w:szCs w:val="32"/>
        </w:rPr>
        <w:t>1.</w:t>
      </w:r>
      <w:r>
        <w:rPr>
          <w:rStyle w:val="19"/>
          <w:rFonts w:hint="eastAsia" w:ascii="仿宋" w:hAnsi="仿宋" w:eastAsia="仿宋"/>
          <w:bCs/>
          <w:sz w:val="32"/>
          <w:szCs w:val="32"/>
        </w:rPr>
        <w:t>教育</w:t>
      </w:r>
      <w:r>
        <w:rPr>
          <w:rStyle w:val="19"/>
          <w:rFonts w:ascii="仿宋" w:hAnsi="仿宋" w:eastAsia="仿宋"/>
          <w:bCs/>
          <w:sz w:val="32"/>
          <w:szCs w:val="32"/>
        </w:rPr>
        <w:t>205</w:t>
      </w:r>
      <w:r>
        <w:rPr>
          <w:rStyle w:val="19"/>
          <w:rFonts w:hint="eastAsia" w:ascii="仿宋" w:hAnsi="仿宋" w:eastAsia="仿宋"/>
          <w:bCs/>
          <w:sz w:val="32"/>
          <w:szCs w:val="32"/>
        </w:rPr>
        <w:t>（类）</w:t>
      </w:r>
      <w:r>
        <w:rPr>
          <w:rStyle w:val="19"/>
          <w:rFonts w:ascii="仿宋" w:hAnsi="仿宋" w:eastAsia="仿宋"/>
          <w:bCs/>
          <w:sz w:val="32"/>
          <w:szCs w:val="32"/>
        </w:rPr>
        <w:t>02</w:t>
      </w:r>
      <w:r>
        <w:rPr>
          <w:rStyle w:val="19"/>
          <w:rFonts w:hint="eastAsia" w:ascii="仿宋" w:hAnsi="仿宋" w:eastAsia="仿宋"/>
          <w:bCs/>
          <w:sz w:val="32"/>
          <w:szCs w:val="32"/>
        </w:rPr>
        <w:t>（款）</w:t>
      </w:r>
      <w:r>
        <w:rPr>
          <w:rStyle w:val="19"/>
          <w:rFonts w:ascii="仿宋" w:hAnsi="仿宋" w:eastAsia="仿宋"/>
          <w:bCs/>
          <w:sz w:val="32"/>
          <w:szCs w:val="32"/>
        </w:rPr>
        <w:t>02</w:t>
      </w:r>
      <w:r>
        <w:rPr>
          <w:rStyle w:val="19"/>
          <w:rFonts w:hint="eastAsia" w:ascii="仿宋" w:hAnsi="仿宋" w:eastAsia="仿宋"/>
          <w:bCs/>
          <w:sz w:val="32"/>
          <w:szCs w:val="32"/>
        </w:rPr>
        <w:t>（项）</w:t>
      </w:r>
      <w:r>
        <w:rPr>
          <w:rStyle w:val="19"/>
          <w:rFonts w:ascii="仿宋" w:hAnsi="仿宋" w:eastAsia="仿宋"/>
          <w:bCs/>
          <w:sz w:val="32"/>
          <w:szCs w:val="32"/>
        </w:rPr>
        <w:t>:</w:t>
      </w:r>
      <w:r>
        <w:rPr>
          <w:rStyle w:val="19"/>
          <w:rFonts w:hint="eastAsia" w:ascii="仿宋" w:hAnsi="仿宋" w:eastAsia="仿宋"/>
          <w:b w:val="0"/>
          <w:bCs/>
          <w:sz w:val="32"/>
          <w:szCs w:val="32"/>
        </w:rPr>
        <w:t>支出决算为</w:t>
      </w:r>
      <w:r>
        <w:rPr>
          <w:rStyle w:val="19"/>
          <w:rFonts w:ascii="仿宋" w:hAnsi="仿宋" w:eastAsia="仿宋"/>
          <w:b w:val="0"/>
          <w:bCs/>
          <w:sz w:val="32"/>
          <w:szCs w:val="32"/>
        </w:rPr>
        <w:t>870</w:t>
      </w:r>
      <w:r>
        <w:rPr>
          <w:rStyle w:val="19"/>
          <w:rFonts w:hint="eastAsia" w:ascii="仿宋" w:hAnsi="仿宋" w:eastAsia="仿宋"/>
          <w:b w:val="0"/>
          <w:bCs/>
          <w:sz w:val="32"/>
          <w:szCs w:val="32"/>
        </w:rPr>
        <w:t>万元，完成预算</w:t>
      </w:r>
      <w:r>
        <w:rPr>
          <w:rStyle w:val="19"/>
          <w:rFonts w:ascii="仿宋" w:hAnsi="仿宋" w:eastAsia="仿宋"/>
          <w:b w:val="0"/>
          <w:bCs/>
          <w:sz w:val="32"/>
          <w:szCs w:val="32"/>
        </w:rPr>
        <w:t>100%</w:t>
      </w:r>
      <w:r>
        <w:rPr>
          <w:rStyle w:val="19"/>
          <w:rFonts w:hint="eastAsia" w:ascii="仿宋" w:hAnsi="仿宋" w:eastAsia="仿宋"/>
          <w:b w:val="0"/>
          <w:bCs/>
          <w:sz w:val="32"/>
          <w:szCs w:val="32"/>
        </w:rPr>
        <w:t>，决算数等于预算数。</w:t>
      </w:r>
    </w:p>
    <w:p>
      <w:pPr>
        <w:spacing w:line="600" w:lineRule="exact"/>
        <w:ind w:firstLine="643" w:firstLineChars="200"/>
        <w:rPr>
          <w:rFonts w:ascii="仿宋" w:hAnsi="仿宋" w:eastAsia="仿宋"/>
          <w:bCs/>
          <w:sz w:val="32"/>
          <w:szCs w:val="32"/>
        </w:rPr>
      </w:pPr>
      <w:r>
        <w:rPr>
          <w:rStyle w:val="19"/>
          <w:rFonts w:ascii="仿宋" w:hAnsi="仿宋" w:eastAsia="仿宋"/>
          <w:bCs/>
          <w:sz w:val="32"/>
          <w:szCs w:val="32"/>
        </w:rPr>
        <w:t>2.</w:t>
      </w:r>
      <w:r>
        <w:rPr>
          <w:rStyle w:val="19"/>
          <w:rFonts w:hint="eastAsia" w:ascii="仿宋" w:hAnsi="仿宋" w:eastAsia="仿宋"/>
          <w:bCs/>
          <w:sz w:val="32"/>
          <w:szCs w:val="32"/>
        </w:rPr>
        <w:t>教育</w:t>
      </w:r>
      <w:r>
        <w:rPr>
          <w:rStyle w:val="19"/>
          <w:rFonts w:ascii="仿宋" w:hAnsi="仿宋" w:eastAsia="仿宋"/>
          <w:bCs/>
          <w:sz w:val="32"/>
          <w:szCs w:val="32"/>
        </w:rPr>
        <w:t>205</w:t>
      </w:r>
      <w:r>
        <w:rPr>
          <w:rStyle w:val="19"/>
          <w:rFonts w:hint="eastAsia" w:ascii="仿宋" w:hAnsi="仿宋" w:eastAsia="仿宋"/>
          <w:bCs/>
          <w:sz w:val="32"/>
          <w:szCs w:val="32"/>
        </w:rPr>
        <w:t>（类）</w:t>
      </w:r>
      <w:r>
        <w:rPr>
          <w:rStyle w:val="19"/>
          <w:rFonts w:ascii="仿宋" w:hAnsi="仿宋" w:eastAsia="仿宋"/>
          <w:bCs/>
          <w:sz w:val="32"/>
          <w:szCs w:val="32"/>
        </w:rPr>
        <w:t>99</w:t>
      </w:r>
      <w:r>
        <w:rPr>
          <w:rStyle w:val="19"/>
          <w:rFonts w:hint="eastAsia" w:ascii="仿宋" w:hAnsi="仿宋" w:eastAsia="仿宋"/>
          <w:bCs/>
          <w:sz w:val="32"/>
          <w:szCs w:val="32"/>
        </w:rPr>
        <w:t>（款）</w:t>
      </w:r>
      <w:r>
        <w:rPr>
          <w:rStyle w:val="19"/>
          <w:rFonts w:ascii="仿宋" w:hAnsi="仿宋" w:eastAsia="仿宋"/>
          <w:bCs/>
          <w:sz w:val="32"/>
          <w:szCs w:val="32"/>
        </w:rPr>
        <w:t>99</w:t>
      </w:r>
      <w:r>
        <w:rPr>
          <w:rStyle w:val="19"/>
          <w:rFonts w:hint="eastAsia" w:ascii="仿宋" w:hAnsi="仿宋" w:eastAsia="仿宋"/>
          <w:bCs/>
          <w:sz w:val="32"/>
          <w:szCs w:val="32"/>
        </w:rPr>
        <w:t>（项）</w:t>
      </w:r>
      <w:r>
        <w:rPr>
          <w:rStyle w:val="19"/>
          <w:rFonts w:ascii="仿宋" w:hAnsi="仿宋" w:eastAsia="仿宋"/>
          <w:bCs/>
          <w:sz w:val="32"/>
          <w:szCs w:val="32"/>
        </w:rPr>
        <w:t>:</w:t>
      </w:r>
      <w:r>
        <w:rPr>
          <w:rStyle w:val="19"/>
          <w:rFonts w:hint="eastAsia" w:ascii="仿宋" w:hAnsi="仿宋" w:eastAsia="仿宋"/>
          <w:b w:val="0"/>
          <w:bCs/>
          <w:sz w:val="32"/>
          <w:szCs w:val="32"/>
        </w:rPr>
        <w:t>支出决算为</w:t>
      </w:r>
      <w:r>
        <w:rPr>
          <w:rStyle w:val="19"/>
          <w:rFonts w:ascii="仿宋" w:hAnsi="仿宋" w:eastAsia="仿宋"/>
          <w:b w:val="0"/>
          <w:bCs/>
          <w:sz w:val="32"/>
          <w:szCs w:val="32"/>
        </w:rPr>
        <w:t>220</w:t>
      </w:r>
      <w:r>
        <w:rPr>
          <w:rStyle w:val="19"/>
          <w:rFonts w:hint="eastAsia" w:ascii="仿宋" w:hAnsi="仿宋" w:eastAsia="仿宋"/>
          <w:b w:val="0"/>
          <w:bCs/>
          <w:sz w:val="32"/>
          <w:szCs w:val="32"/>
        </w:rPr>
        <w:t>万元，完成预算</w:t>
      </w:r>
      <w:r>
        <w:rPr>
          <w:rStyle w:val="19"/>
          <w:rFonts w:ascii="仿宋" w:hAnsi="仿宋" w:eastAsia="仿宋"/>
          <w:b w:val="0"/>
          <w:bCs/>
          <w:sz w:val="32"/>
          <w:szCs w:val="32"/>
        </w:rPr>
        <w:t>100%</w:t>
      </w:r>
      <w:r>
        <w:rPr>
          <w:rStyle w:val="19"/>
          <w:rFonts w:hint="eastAsia" w:ascii="仿宋" w:hAnsi="仿宋" w:eastAsia="仿宋"/>
          <w:b w:val="0"/>
          <w:bCs/>
          <w:sz w:val="32"/>
          <w:szCs w:val="32"/>
        </w:rPr>
        <w:t>，决算数等于预算数。</w:t>
      </w:r>
    </w:p>
    <w:p>
      <w:pPr>
        <w:tabs>
          <w:tab w:val="right" w:pos="8306"/>
        </w:tabs>
        <w:spacing w:line="600" w:lineRule="exact"/>
        <w:ind w:firstLine="640"/>
        <w:outlineLvl w:val="1"/>
        <w:rPr>
          <w:rStyle w:val="38"/>
        </w:rPr>
      </w:pPr>
      <w:bookmarkStart w:id="34" w:name="_Toc15377214"/>
      <w:bookmarkStart w:id="35" w:name="_Toc15396608"/>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38"/>
          <w:rFonts w:hint="eastAsia" w:ascii="黑体" w:hAnsi="黑体" w:eastAsia="黑体"/>
          <w:b w:val="0"/>
        </w:rPr>
        <w:t>般公共预算财政拨款基本支出决算情况说明</w:t>
      </w:r>
      <w:bookmarkEnd w:id="34"/>
      <w:bookmarkEnd w:id="35"/>
      <w:r>
        <w:rPr>
          <w:rStyle w:val="38"/>
          <w:rFonts w:ascii="黑体" w:hAnsi="黑体" w:eastAsia="黑体"/>
          <w:b w:val="0"/>
        </w:rPr>
        <w:tab/>
      </w:r>
    </w:p>
    <w:p>
      <w:pPr>
        <w:spacing w:line="600" w:lineRule="exact"/>
        <w:ind w:firstLine="645"/>
        <w:rPr>
          <w:rFonts w:ascii="仿宋" w:hAnsi="仿宋" w:eastAsia="仿宋"/>
          <w:sz w:val="32"/>
          <w:szCs w:val="32"/>
        </w:rPr>
      </w:pPr>
      <w:r>
        <w:rPr>
          <w:rFonts w:ascii="仿宋" w:hAnsi="仿宋" w:eastAsia="仿宋"/>
          <w:sz w:val="32"/>
          <w:szCs w:val="32"/>
        </w:rPr>
        <w:t>2021</w:t>
      </w:r>
      <w:r>
        <w:rPr>
          <w:rFonts w:hint="eastAsia" w:ascii="仿宋" w:hAnsi="仿宋" w:eastAsia="仿宋"/>
          <w:sz w:val="32"/>
          <w:szCs w:val="32"/>
        </w:rPr>
        <w:t>年一般公共预算财政拨款基本支出</w:t>
      </w:r>
      <w:r>
        <w:rPr>
          <w:rFonts w:ascii="仿宋" w:hAnsi="仿宋" w:eastAsia="仿宋"/>
          <w:sz w:val="32"/>
          <w:szCs w:val="32"/>
        </w:rPr>
        <w:t>870.00</w:t>
      </w:r>
      <w:r>
        <w:rPr>
          <w:rFonts w:hint="eastAsia" w:ascii="仿宋" w:hAnsi="仿宋" w:eastAsia="仿宋"/>
          <w:sz w:val="32"/>
          <w:szCs w:val="32"/>
        </w:rPr>
        <w:t>万元，其中：</w:t>
      </w:r>
    </w:p>
    <w:p>
      <w:pPr>
        <w:spacing w:line="600" w:lineRule="exact"/>
        <w:ind w:firstLine="645"/>
        <w:rPr>
          <w:rFonts w:ascii="仿宋" w:hAnsi="仿宋" w:eastAsia="仿宋"/>
          <w:sz w:val="32"/>
          <w:szCs w:val="32"/>
        </w:rPr>
      </w:pPr>
      <w:r>
        <w:rPr>
          <w:rFonts w:hint="eastAsia" w:ascii="仿宋" w:hAnsi="仿宋" w:eastAsia="仿宋"/>
          <w:sz w:val="32"/>
          <w:szCs w:val="32"/>
        </w:rPr>
        <w:t>人员经费</w:t>
      </w:r>
      <w:r>
        <w:rPr>
          <w:rFonts w:ascii="仿宋" w:hAnsi="仿宋" w:eastAsia="仿宋"/>
          <w:sz w:val="32"/>
          <w:szCs w:val="32"/>
        </w:rPr>
        <w:t>753.99</w:t>
      </w:r>
      <w:r>
        <w:rPr>
          <w:rFonts w:hint="eastAsia" w:ascii="仿宋" w:hAnsi="仿宋" w:eastAsia="仿宋"/>
          <w:sz w:val="32"/>
          <w:szCs w:val="32"/>
        </w:rPr>
        <w:t>万元，主要包括：基本工资、津贴补贴、绩效工资、机关事业单位基本养老保险缴费、职业年金缴费、职工基本医疗保险缴费、其他社会保障缴费、住房公积金、其他工资福利支出、生活补助、助学金、奖励金、其他对个人和家庭的补助支出等。</w:t>
      </w:r>
    </w:p>
    <w:p>
      <w:pPr>
        <w:spacing w:line="600" w:lineRule="exact"/>
        <w:ind w:firstLine="645"/>
        <w:rPr>
          <w:rFonts w:ascii="仿宋" w:hAnsi="仿宋" w:eastAsia="仿宋"/>
          <w:b/>
          <w:sz w:val="32"/>
          <w:szCs w:val="32"/>
        </w:rPr>
      </w:pPr>
      <w:r>
        <w:rPr>
          <w:rFonts w:hint="eastAsia" w:ascii="仿宋" w:hAnsi="仿宋" w:eastAsia="仿宋"/>
          <w:sz w:val="32"/>
          <w:szCs w:val="32"/>
        </w:rPr>
        <w:t>公用经费</w:t>
      </w:r>
      <w:r>
        <w:rPr>
          <w:rFonts w:ascii="仿宋" w:hAnsi="仿宋" w:eastAsia="仿宋"/>
          <w:sz w:val="32"/>
          <w:szCs w:val="32"/>
        </w:rPr>
        <w:t>94.69</w:t>
      </w:r>
      <w:r>
        <w:rPr>
          <w:rFonts w:hint="eastAsia" w:ascii="仿宋" w:hAnsi="仿宋" w:eastAsia="仿宋"/>
          <w:sz w:val="32"/>
          <w:szCs w:val="32"/>
        </w:rPr>
        <w:t>万元，主要包括：办公费、印刷费、手续费、水费、电费、邮电费、差旅费、维修（护）费、培训费、公务接待费、工会经费等。</w:t>
      </w:r>
    </w:p>
    <w:p>
      <w:pPr>
        <w:spacing w:line="600" w:lineRule="exact"/>
        <w:ind w:firstLine="640"/>
        <w:outlineLvl w:val="1"/>
        <w:rPr>
          <w:rStyle w:val="38"/>
          <w:rFonts w:ascii="黑体" w:hAnsi="黑体" w:eastAsia="黑体"/>
          <w:b w:val="0"/>
        </w:rPr>
      </w:pPr>
      <w:bookmarkStart w:id="36" w:name="_Toc15396609"/>
      <w:bookmarkStart w:id="37" w:name="_Toc15377215"/>
      <w:r>
        <w:rPr>
          <w:rFonts w:hint="eastAsia" w:ascii="黑体" w:eastAsia="黑体"/>
          <w:sz w:val="32"/>
          <w:szCs w:val="32"/>
        </w:rPr>
        <w:t>七、</w:t>
      </w:r>
      <w:r>
        <w:rPr>
          <w:rStyle w:val="38"/>
          <w:rFonts w:hint="eastAsia" w:ascii="黑体" w:hAnsi="黑体" w:eastAsia="黑体"/>
        </w:rPr>
        <w:t>“</w:t>
      </w:r>
      <w:r>
        <w:rPr>
          <w:rStyle w:val="38"/>
          <w:rFonts w:hint="eastAsia" w:ascii="黑体" w:hAnsi="黑体" w:eastAsia="黑体"/>
          <w:b w:val="0"/>
        </w:rPr>
        <w:t>三公”经费财政拨款支出决算情况说明</w:t>
      </w:r>
      <w:bookmarkEnd w:id="36"/>
      <w:bookmarkEnd w:id="37"/>
    </w:p>
    <w:p>
      <w:pPr>
        <w:spacing w:line="600" w:lineRule="exact"/>
        <w:ind w:firstLine="640"/>
        <w:outlineLvl w:val="2"/>
        <w:rPr>
          <w:rFonts w:ascii="仿宋" w:hAnsi="仿宋" w:eastAsia="仿宋"/>
          <w:b/>
          <w:sz w:val="32"/>
          <w:szCs w:val="32"/>
        </w:rPr>
      </w:pPr>
      <w:bookmarkStart w:id="38" w:name="_Toc15377216"/>
      <w:r>
        <w:rPr>
          <w:rFonts w:hint="eastAsia" w:ascii="仿宋" w:hAnsi="仿宋" w:eastAsia="仿宋"/>
          <w:b/>
          <w:sz w:val="32"/>
          <w:szCs w:val="32"/>
        </w:rPr>
        <w:t>（一）“三公”经费财政拨款支出决算总体情况说明</w:t>
      </w:r>
      <w:bookmarkEnd w:id="38"/>
    </w:p>
    <w:p>
      <w:pPr>
        <w:spacing w:line="600" w:lineRule="exact"/>
        <w:ind w:firstLine="640"/>
        <w:rPr>
          <w:rFonts w:ascii="仿宋" w:hAnsi="仿宋" w:eastAsia="仿宋"/>
          <w:sz w:val="32"/>
          <w:szCs w:val="32"/>
        </w:rPr>
      </w:pPr>
      <w:r>
        <w:rPr>
          <w:rFonts w:ascii="仿宋" w:hAnsi="仿宋" w:eastAsia="仿宋"/>
          <w:sz w:val="32"/>
          <w:szCs w:val="32"/>
        </w:rPr>
        <w:t>2021</w:t>
      </w:r>
      <w:r>
        <w:rPr>
          <w:rFonts w:hint="eastAsia" w:ascii="仿宋" w:hAnsi="仿宋" w:eastAsia="仿宋"/>
          <w:sz w:val="32"/>
          <w:szCs w:val="32"/>
        </w:rPr>
        <w:t>年“三公”经费财政拨款支出决算为</w:t>
      </w:r>
      <w:r>
        <w:rPr>
          <w:rFonts w:ascii="仿宋" w:hAnsi="仿宋" w:eastAsia="仿宋"/>
          <w:sz w:val="32"/>
          <w:szCs w:val="32"/>
        </w:rPr>
        <w:t>1.10</w:t>
      </w:r>
      <w:r>
        <w:rPr>
          <w:rFonts w:hint="eastAsia" w:ascii="仿宋" w:hAnsi="仿宋" w:eastAsia="仿宋"/>
          <w:sz w:val="32"/>
          <w:szCs w:val="32"/>
        </w:rPr>
        <w:t>万元，完成预算</w:t>
      </w:r>
      <w:r>
        <w:rPr>
          <w:rFonts w:ascii="仿宋" w:hAnsi="仿宋" w:eastAsia="仿宋"/>
          <w:sz w:val="32"/>
          <w:szCs w:val="32"/>
        </w:rPr>
        <w:t>94.83%%</w:t>
      </w:r>
      <w:r>
        <w:rPr>
          <w:rFonts w:hint="eastAsia" w:ascii="仿宋" w:hAnsi="仿宋" w:eastAsia="仿宋"/>
          <w:sz w:val="32"/>
          <w:szCs w:val="32"/>
        </w:rPr>
        <w:t>，决算数小于预算数的主要原因是</w:t>
      </w:r>
      <w:r>
        <w:rPr>
          <w:rFonts w:hint="eastAsia" w:ascii="仿宋" w:hAnsi="仿宋" w:eastAsia="仿宋"/>
          <w:color w:val="000000"/>
          <w:sz w:val="32"/>
          <w:szCs w:val="32"/>
        </w:rPr>
        <w:t>认真贯彻落实中央八项规定精神，采取有效措施严格控制接待范围和接待标准。</w:t>
      </w:r>
    </w:p>
    <w:p>
      <w:pPr>
        <w:spacing w:line="600" w:lineRule="exact"/>
        <w:ind w:firstLine="640"/>
        <w:outlineLvl w:val="2"/>
        <w:rPr>
          <w:rFonts w:ascii="仿宋" w:hAnsi="仿宋" w:eastAsia="仿宋"/>
          <w:b/>
          <w:sz w:val="32"/>
          <w:szCs w:val="32"/>
        </w:rPr>
      </w:pPr>
      <w:bookmarkStart w:id="39" w:name="_Toc15377217"/>
      <w:r>
        <w:rPr>
          <w:rFonts w:hint="eastAsia" w:ascii="仿宋" w:hAnsi="仿宋" w:eastAsia="仿宋"/>
          <w:b/>
          <w:sz w:val="32"/>
          <w:szCs w:val="32"/>
        </w:rPr>
        <w:t>（二）“三公”经费财政拨款支出决算具体情况说明</w:t>
      </w:r>
      <w:bookmarkEnd w:id="39"/>
    </w:p>
    <w:p>
      <w:pPr>
        <w:spacing w:line="600" w:lineRule="exact"/>
        <w:ind w:firstLine="640" w:firstLineChars="200"/>
        <w:rPr>
          <w:rFonts w:ascii="仿宋" w:hAnsi="仿宋" w:eastAsia="仿宋"/>
          <w:b/>
          <w:sz w:val="32"/>
          <w:szCs w:val="32"/>
        </w:rPr>
      </w:pPr>
      <w:r>
        <w:rPr>
          <w:rFonts w:ascii="仿宋" w:hAnsi="仿宋" w:eastAsia="仿宋"/>
          <w:sz w:val="32"/>
          <w:szCs w:val="32"/>
        </w:rPr>
        <w:t>2021</w:t>
      </w:r>
      <w:r>
        <w:rPr>
          <w:rFonts w:hint="eastAsia" w:ascii="仿宋" w:hAnsi="仿宋" w:eastAsia="仿宋"/>
          <w:sz w:val="32"/>
          <w:szCs w:val="32"/>
        </w:rPr>
        <w:t>年“三公”经费财政拨款支出决算中，因公出国（境）费支出决算</w:t>
      </w:r>
      <w:r>
        <w:rPr>
          <w:rFonts w:ascii="仿宋" w:hAnsi="仿宋" w:eastAsia="仿宋"/>
          <w:sz w:val="32"/>
          <w:szCs w:val="32"/>
        </w:rPr>
        <w:t>0</w:t>
      </w:r>
      <w:r>
        <w:rPr>
          <w:rFonts w:hint="eastAsia" w:ascii="仿宋" w:hAnsi="仿宋" w:eastAsia="仿宋"/>
          <w:sz w:val="32"/>
          <w:szCs w:val="32"/>
        </w:rPr>
        <w:t>万元，当年未安排预算</w:t>
      </w:r>
      <w:r>
        <w:rPr>
          <w:rFonts w:hint="eastAsia" w:eastAsia="仿宋"/>
          <w:sz w:val="32"/>
          <w:szCs w:val="32"/>
        </w:rPr>
        <w:t>，与上年持平；</w:t>
      </w:r>
      <w:r>
        <w:rPr>
          <w:rFonts w:hint="eastAsia" w:ascii="仿宋" w:hAnsi="仿宋" w:eastAsia="仿宋"/>
          <w:sz w:val="32"/>
          <w:szCs w:val="32"/>
        </w:rPr>
        <w:t>公务用车购置及运行维护费支出决算</w:t>
      </w:r>
      <w:r>
        <w:rPr>
          <w:rFonts w:ascii="仿宋" w:hAnsi="仿宋" w:eastAsia="仿宋"/>
          <w:sz w:val="32"/>
          <w:szCs w:val="32"/>
        </w:rPr>
        <w:t>0</w:t>
      </w:r>
      <w:r>
        <w:rPr>
          <w:rFonts w:hint="eastAsia" w:ascii="仿宋" w:hAnsi="仿宋" w:eastAsia="仿宋"/>
          <w:sz w:val="32"/>
          <w:szCs w:val="32"/>
        </w:rPr>
        <w:t>万元，当年未安排预算</w:t>
      </w:r>
      <w:r>
        <w:rPr>
          <w:rFonts w:hint="eastAsia" w:eastAsia="仿宋"/>
          <w:sz w:val="32"/>
          <w:szCs w:val="32"/>
        </w:rPr>
        <w:t>，与上年持平；</w:t>
      </w:r>
      <w:r>
        <w:rPr>
          <w:rFonts w:hint="eastAsia" w:ascii="仿宋" w:hAnsi="仿宋" w:eastAsia="仿宋"/>
          <w:sz w:val="32"/>
          <w:szCs w:val="32"/>
        </w:rPr>
        <w:t>公务接待费支出决算</w:t>
      </w:r>
      <w:r>
        <w:rPr>
          <w:rFonts w:ascii="仿宋" w:hAnsi="仿宋" w:eastAsia="仿宋"/>
          <w:sz w:val="32"/>
          <w:szCs w:val="32"/>
        </w:rPr>
        <w:t>1.10</w:t>
      </w:r>
      <w:r>
        <w:rPr>
          <w:rFonts w:hint="eastAsia" w:ascii="仿宋" w:hAnsi="仿宋" w:eastAsia="仿宋"/>
          <w:sz w:val="32"/>
          <w:szCs w:val="32"/>
        </w:rPr>
        <w:t>万元，占</w:t>
      </w:r>
      <w:r>
        <w:rPr>
          <w:rFonts w:ascii="仿宋" w:hAnsi="仿宋" w:eastAsia="仿宋"/>
          <w:sz w:val="32"/>
          <w:szCs w:val="32"/>
        </w:rPr>
        <w:t>100%</w:t>
      </w:r>
      <w:r>
        <w:rPr>
          <w:rFonts w:hint="eastAsia" w:ascii="仿宋" w:hAnsi="仿宋" w:eastAsia="仿宋"/>
          <w:sz w:val="32"/>
          <w:szCs w:val="32"/>
        </w:rPr>
        <w:t>。具体情况如下：</w:t>
      </w:r>
    </w:p>
    <w:p>
      <w:pPr>
        <w:spacing w:line="600" w:lineRule="exact"/>
        <w:ind w:firstLine="640"/>
        <w:rPr>
          <w:rFonts w:ascii="仿宋_GB2312" w:eastAsia="仿宋_GB2312" w:cs="仿宋_GB2312"/>
          <w:b/>
          <w:sz w:val="32"/>
          <w:szCs w:val="32"/>
        </w:rPr>
      </w:pPr>
      <w:r>
        <w:pict>
          <v:shape id="_x0000_s1032" o:spid="_x0000_s1032" o:spt="75" type="#_x0000_t75" style="position:absolute;left:0pt;margin-left:-0.85pt;margin-top:18.6pt;height:218.9pt;width:401.3pt;mso-wrap-distance-bottom:0pt;mso-wrap-distance-top:0pt;z-index:251664384;mso-width-relative:page;mso-height-relative:page;" o:ole="t" filled="f" o:preferrelative="t" stroked="f" coordsize="21600,21600">
            <v:path/>
            <v:fill on="f" focussize="0,0"/>
            <v:stroke on="f" joinstyle="miter"/>
            <v:imagedata r:id="rId19" o:title=""/>
            <o:lock v:ext="edit" aspectratio="t"/>
            <w10:wrap type="topAndBottom"/>
          </v:shape>
          <o:OLEObject Type="Embed" ProgID="Excel.Chart.8" ShapeID="_x0000_s1032" DrawAspect="Content" ObjectID="_1468075731" r:id="rId18">
            <o:LockedField>false</o:LockedField>
          </o:OLEObject>
        </w:pict>
      </w:r>
      <w:r>
        <w:rPr>
          <w:rFonts w:ascii="仿宋_GB2312" w:eastAsia="仿宋_GB2312" w:cs="仿宋_GB2312"/>
          <w:b/>
          <w:color w:val="000000"/>
          <w:sz w:val="32"/>
          <w:szCs w:val="32"/>
        </w:rPr>
        <w:t>1.</w:t>
      </w:r>
      <w:r>
        <w:rPr>
          <w:rFonts w:hint="eastAsia" w:ascii="仿宋_GB2312" w:eastAsia="仿宋_GB2312" w:cs="仿宋_GB2312"/>
          <w:b/>
          <w:color w:val="000000"/>
          <w:sz w:val="32"/>
          <w:szCs w:val="32"/>
        </w:rPr>
        <w:t>因公出国（境）经费支出</w:t>
      </w:r>
      <w:r>
        <w:rPr>
          <w:rFonts w:ascii="仿宋_GB2312" w:eastAsia="仿宋_GB2312" w:cs="仿宋_GB2312"/>
          <w:color w:val="000000"/>
          <w:sz w:val="32"/>
          <w:szCs w:val="32"/>
        </w:rPr>
        <w:t>0</w:t>
      </w:r>
      <w:r>
        <w:rPr>
          <w:rFonts w:hint="eastAsia" w:ascii="仿宋_GB2312" w:eastAsia="仿宋_GB2312" w:cs="仿宋_GB2312"/>
          <w:color w:val="000000"/>
          <w:sz w:val="32"/>
          <w:szCs w:val="32"/>
        </w:rPr>
        <w:t>万元，</w:t>
      </w:r>
      <w:r>
        <w:rPr>
          <w:rStyle w:val="19"/>
          <w:rFonts w:hint="eastAsia" w:ascii="仿宋" w:hAnsi="仿宋" w:eastAsia="仿宋" w:cs="仿宋"/>
          <w:b w:val="0"/>
          <w:bCs/>
          <w:sz w:val="32"/>
          <w:szCs w:val="32"/>
        </w:rPr>
        <w:t>年初未安排预算，与上年数持平。</w:t>
      </w:r>
    </w:p>
    <w:p>
      <w:pPr>
        <w:spacing w:line="600" w:lineRule="exact"/>
        <w:ind w:firstLine="640"/>
        <w:rPr>
          <w:rFonts w:ascii="仿宋_GB2312" w:eastAsia="仿宋_GB2312" w:cs="仿宋_GB2312"/>
          <w:b/>
          <w:sz w:val="32"/>
          <w:szCs w:val="32"/>
        </w:rPr>
      </w:pPr>
      <w:r>
        <w:rPr>
          <w:rFonts w:ascii="仿宋_GB2312" w:eastAsia="仿宋_GB2312" w:cs="仿宋_GB2312"/>
          <w:b/>
          <w:sz w:val="32"/>
          <w:szCs w:val="32"/>
        </w:rPr>
        <w:t>2.</w:t>
      </w:r>
      <w:r>
        <w:rPr>
          <w:rFonts w:hint="eastAsia" w:ascii="仿宋_GB2312" w:eastAsia="仿宋_GB2312" w:cs="仿宋_GB2312"/>
          <w:b/>
          <w:sz w:val="32"/>
          <w:szCs w:val="32"/>
        </w:rPr>
        <w:t>公务用车购置及运行维护费支出</w:t>
      </w:r>
      <w:r>
        <w:rPr>
          <w:rFonts w:ascii="仿宋_GB2312" w:eastAsia="仿宋_GB2312" w:cs="仿宋_GB2312"/>
          <w:sz w:val="32"/>
          <w:szCs w:val="32"/>
        </w:rPr>
        <w:t>0</w:t>
      </w:r>
      <w:r>
        <w:rPr>
          <w:rFonts w:hint="eastAsia" w:ascii="仿宋_GB2312" w:eastAsia="仿宋_GB2312" w:cs="仿宋_GB2312"/>
          <w:sz w:val="32"/>
          <w:szCs w:val="32"/>
        </w:rPr>
        <w:t>万元</w:t>
      </w:r>
      <w:r>
        <w:rPr>
          <w:rFonts w:ascii="仿宋_GB2312" w:eastAsia="仿宋_GB2312" w:cs="仿宋_GB2312"/>
          <w:sz w:val="32"/>
          <w:szCs w:val="32"/>
        </w:rPr>
        <w:t>,</w:t>
      </w:r>
      <w:r>
        <w:rPr>
          <w:rStyle w:val="19"/>
          <w:rFonts w:hint="eastAsia" w:ascii="仿宋" w:hAnsi="仿宋" w:eastAsia="仿宋" w:cs="仿宋"/>
          <w:b w:val="0"/>
          <w:bCs/>
          <w:sz w:val="32"/>
          <w:szCs w:val="32"/>
        </w:rPr>
        <w:t>年初未安排预算，与上年数持平。</w:t>
      </w:r>
    </w:p>
    <w:p>
      <w:pPr>
        <w:spacing w:line="600" w:lineRule="exact"/>
        <w:ind w:firstLine="643" w:firstLineChars="200"/>
        <w:rPr>
          <w:rFonts w:ascii="仿宋_GB2312" w:eastAsia="仿宋_GB2312" w:cs="仿宋_GB2312"/>
          <w:bCs/>
          <w:color w:val="000000"/>
          <w:sz w:val="32"/>
          <w:szCs w:val="32"/>
        </w:rPr>
      </w:pPr>
      <w:r>
        <w:rPr>
          <w:rFonts w:hint="eastAsia" w:ascii="仿宋_GB2312" w:eastAsia="仿宋_GB2312" w:cs="仿宋_GB2312"/>
          <w:b/>
          <w:bCs/>
          <w:color w:val="000000"/>
          <w:sz w:val="32"/>
          <w:szCs w:val="32"/>
        </w:rPr>
        <w:t>其中：</w:t>
      </w:r>
      <w:r>
        <w:rPr>
          <w:rFonts w:hint="eastAsia" w:ascii="仿宋_GB2312" w:eastAsia="仿宋_GB2312" w:cs="仿宋_GB2312"/>
          <w:b/>
          <w:color w:val="000000"/>
          <w:sz w:val="32"/>
          <w:szCs w:val="32"/>
        </w:rPr>
        <w:t>公务用车购置支出</w:t>
      </w:r>
      <w:r>
        <w:rPr>
          <w:rFonts w:ascii="仿宋_GB2312" w:eastAsia="仿宋_GB2312" w:cs="仿宋_GB2312"/>
          <w:bCs/>
          <w:color w:val="000000"/>
          <w:sz w:val="32"/>
          <w:szCs w:val="32"/>
        </w:rPr>
        <w:t>0</w:t>
      </w:r>
      <w:r>
        <w:rPr>
          <w:rFonts w:hint="eastAsia" w:ascii="仿宋_GB2312" w:eastAsia="仿宋_GB2312" w:cs="仿宋_GB2312"/>
          <w:bCs/>
          <w:color w:val="000000"/>
          <w:sz w:val="32"/>
          <w:szCs w:val="32"/>
        </w:rPr>
        <w:t>万元。全年按规定更新购置公务用车</w:t>
      </w:r>
      <w:r>
        <w:rPr>
          <w:rFonts w:ascii="仿宋_GB2312" w:eastAsia="仿宋_GB2312" w:cs="仿宋_GB2312"/>
          <w:bCs/>
          <w:color w:val="000000"/>
          <w:sz w:val="32"/>
          <w:szCs w:val="32"/>
        </w:rPr>
        <w:t>0</w:t>
      </w:r>
      <w:r>
        <w:rPr>
          <w:rFonts w:hint="eastAsia" w:ascii="仿宋_GB2312" w:eastAsia="仿宋_GB2312" w:cs="仿宋_GB2312"/>
          <w:bCs/>
          <w:color w:val="000000"/>
          <w:sz w:val="32"/>
          <w:szCs w:val="32"/>
        </w:rPr>
        <w:t>辆，</w:t>
      </w:r>
      <w:r>
        <w:rPr>
          <w:rFonts w:hint="eastAsia" w:ascii="仿宋_GB2312" w:eastAsia="仿宋_GB2312" w:cs="仿宋_GB2312"/>
          <w:color w:val="000000"/>
          <w:sz w:val="32"/>
          <w:szCs w:val="32"/>
        </w:rPr>
        <w:t>主要原因是我单位未购置公务用车。</w:t>
      </w:r>
      <w:r>
        <w:rPr>
          <w:rFonts w:hint="eastAsia" w:ascii="仿宋_GB2312" w:eastAsia="仿宋_GB2312" w:cs="仿宋_GB2312"/>
          <w:bCs/>
          <w:color w:val="000000"/>
          <w:sz w:val="32"/>
          <w:szCs w:val="32"/>
        </w:rPr>
        <w:t>截止</w:t>
      </w:r>
      <w:r>
        <w:rPr>
          <w:rFonts w:ascii="仿宋_GB2312" w:eastAsia="仿宋_GB2312" w:cs="仿宋_GB2312"/>
          <w:bCs/>
          <w:color w:val="000000"/>
          <w:sz w:val="32"/>
          <w:szCs w:val="32"/>
        </w:rPr>
        <w:t>2021</w:t>
      </w:r>
      <w:r>
        <w:rPr>
          <w:rFonts w:hint="eastAsia" w:ascii="仿宋_GB2312" w:eastAsia="仿宋_GB2312" w:cs="仿宋_GB2312"/>
          <w:bCs/>
          <w:color w:val="000000"/>
          <w:sz w:val="32"/>
          <w:szCs w:val="32"/>
        </w:rPr>
        <w:t>年</w:t>
      </w:r>
      <w:r>
        <w:rPr>
          <w:rFonts w:ascii="仿宋_GB2312" w:eastAsia="仿宋_GB2312" w:cs="仿宋_GB2312"/>
          <w:bCs/>
          <w:color w:val="000000"/>
          <w:sz w:val="32"/>
          <w:szCs w:val="32"/>
        </w:rPr>
        <w:t>12</w:t>
      </w:r>
      <w:r>
        <w:rPr>
          <w:rFonts w:hint="eastAsia" w:ascii="仿宋_GB2312" w:eastAsia="仿宋_GB2312" w:cs="仿宋_GB2312"/>
          <w:bCs/>
          <w:color w:val="000000"/>
          <w:sz w:val="32"/>
          <w:szCs w:val="32"/>
        </w:rPr>
        <w:t>月底，单位共有公务用车</w:t>
      </w:r>
      <w:r>
        <w:rPr>
          <w:rFonts w:ascii="仿宋_GB2312" w:eastAsia="仿宋_GB2312" w:cs="仿宋_GB2312"/>
          <w:bCs/>
          <w:color w:val="000000"/>
          <w:sz w:val="32"/>
          <w:szCs w:val="32"/>
        </w:rPr>
        <w:t>0</w:t>
      </w:r>
      <w:r>
        <w:rPr>
          <w:rFonts w:hint="eastAsia" w:ascii="仿宋_GB2312" w:eastAsia="仿宋_GB2312" w:cs="仿宋_GB2312"/>
          <w:bCs/>
          <w:color w:val="000000"/>
          <w:sz w:val="32"/>
          <w:szCs w:val="32"/>
        </w:rPr>
        <w:t>辆。</w:t>
      </w:r>
    </w:p>
    <w:p>
      <w:pPr>
        <w:spacing w:line="600" w:lineRule="exact"/>
        <w:ind w:firstLine="643" w:firstLineChars="200"/>
      </w:pPr>
      <w:r>
        <w:rPr>
          <w:rFonts w:hint="eastAsia" w:ascii="仿宋_GB2312" w:eastAsia="仿宋_GB2312" w:cs="仿宋_GB2312"/>
          <w:b/>
          <w:color w:val="000000"/>
          <w:sz w:val="32"/>
          <w:szCs w:val="32"/>
        </w:rPr>
        <w:t>公务用车运行维护费支出</w:t>
      </w:r>
      <w:r>
        <w:rPr>
          <w:rFonts w:ascii="仿宋_GB2312" w:eastAsia="仿宋_GB2312" w:cs="仿宋_GB2312"/>
          <w:color w:val="000000"/>
          <w:sz w:val="32"/>
          <w:szCs w:val="32"/>
        </w:rPr>
        <w:t>0</w:t>
      </w:r>
      <w:r>
        <w:rPr>
          <w:rFonts w:hint="eastAsia" w:ascii="仿宋_GB2312" w:eastAsia="仿宋_GB2312" w:cs="仿宋_GB2312"/>
          <w:color w:val="000000"/>
          <w:sz w:val="32"/>
          <w:szCs w:val="32"/>
        </w:rPr>
        <w:t>万元。主要原因是我单位无公务用车。</w:t>
      </w:r>
    </w:p>
    <w:p>
      <w:pPr>
        <w:spacing w:line="600" w:lineRule="exact"/>
        <w:ind w:firstLine="640"/>
        <w:rPr>
          <w:rFonts w:eastAsia="仿宋"/>
          <w:sz w:val="32"/>
          <w:szCs w:val="32"/>
        </w:rPr>
      </w:pPr>
      <w:r>
        <w:rPr>
          <w:rFonts w:ascii="仿宋_GB2312" w:eastAsia="仿宋_GB2312"/>
          <w:b/>
          <w:sz w:val="32"/>
          <w:szCs w:val="32"/>
        </w:rPr>
        <w:t>3.</w:t>
      </w:r>
      <w:r>
        <w:rPr>
          <w:rFonts w:hint="eastAsia" w:eastAsia="仿宋"/>
          <w:b/>
          <w:sz w:val="32"/>
          <w:szCs w:val="32"/>
        </w:rPr>
        <w:t>公务接待费支出</w:t>
      </w:r>
      <w:r>
        <w:rPr>
          <w:rFonts w:ascii="仿宋" w:hAnsi="仿宋" w:eastAsia="仿宋"/>
          <w:sz w:val="32"/>
          <w:szCs w:val="32"/>
        </w:rPr>
        <w:t>1.10</w:t>
      </w:r>
      <w:r>
        <w:rPr>
          <w:rFonts w:hint="eastAsia" w:ascii="仿宋" w:hAnsi="仿宋" w:eastAsia="仿宋"/>
          <w:sz w:val="32"/>
          <w:szCs w:val="32"/>
        </w:rPr>
        <w:t>万元，完成预算</w:t>
      </w:r>
      <w:r>
        <w:rPr>
          <w:rFonts w:ascii="仿宋" w:hAnsi="仿宋" w:eastAsia="仿宋"/>
          <w:sz w:val="32"/>
          <w:szCs w:val="32"/>
        </w:rPr>
        <w:t>94.83%</w:t>
      </w:r>
      <w:r>
        <w:rPr>
          <w:rFonts w:hint="eastAsia" w:eastAsia="仿宋"/>
          <w:sz w:val="32"/>
          <w:szCs w:val="32"/>
        </w:rPr>
        <w:t>。公务接待费支出决算</w:t>
      </w:r>
      <w:r>
        <w:rPr>
          <w:rFonts w:hint="eastAsia" w:ascii="仿宋_GB2312" w:eastAsia="仿宋_GB2312"/>
          <w:sz w:val="32"/>
          <w:szCs w:val="32"/>
        </w:rPr>
        <w:t>与</w:t>
      </w:r>
      <w:r>
        <w:rPr>
          <w:rFonts w:ascii="仿宋_GB2312" w:eastAsia="仿宋_GB2312"/>
          <w:sz w:val="32"/>
          <w:szCs w:val="32"/>
        </w:rPr>
        <w:t>2020</w:t>
      </w:r>
      <w:r>
        <w:rPr>
          <w:rFonts w:hint="eastAsia" w:ascii="仿宋_GB2312" w:eastAsia="仿宋_GB2312"/>
          <w:sz w:val="32"/>
          <w:szCs w:val="32"/>
        </w:rPr>
        <w:t>年减少</w:t>
      </w:r>
      <w:r>
        <w:rPr>
          <w:rFonts w:ascii="仿宋_GB2312" w:eastAsia="仿宋_GB2312"/>
          <w:sz w:val="32"/>
          <w:szCs w:val="32"/>
        </w:rPr>
        <w:t>0.06</w:t>
      </w:r>
      <w:r>
        <w:rPr>
          <w:rFonts w:hint="eastAsia" w:ascii="仿宋_GB2312" w:eastAsia="仿宋_GB2312"/>
          <w:sz w:val="32"/>
          <w:szCs w:val="32"/>
        </w:rPr>
        <w:t>万元</w:t>
      </w:r>
      <w:r>
        <w:rPr>
          <w:rFonts w:hint="eastAsia" w:eastAsia="仿宋"/>
          <w:sz w:val="32"/>
          <w:szCs w:val="32"/>
        </w:rPr>
        <w:t>。主要原因是</w:t>
      </w:r>
      <w:r>
        <w:rPr>
          <w:rFonts w:hint="eastAsia" w:ascii="仿宋" w:hAnsi="仿宋" w:eastAsia="仿宋"/>
          <w:sz w:val="32"/>
          <w:szCs w:val="32"/>
        </w:rPr>
        <w:t>认真</w:t>
      </w:r>
      <w:r>
        <w:rPr>
          <w:rFonts w:hint="eastAsia" w:ascii="仿宋" w:hAnsi="仿宋" w:eastAsia="仿宋"/>
          <w:color w:val="000000"/>
          <w:sz w:val="32"/>
          <w:szCs w:val="32"/>
        </w:rPr>
        <w:t>贯彻落实中央八项规定精神，采取有效措施严格控制接待范围和接待标准。</w:t>
      </w:r>
      <w:r>
        <w:rPr>
          <w:rFonts w:hint="eastAsia" w:eastAsia="仿宋"/>
          <w:sz w:val="32"/>
          <w:szCs w:val="32"/>
        </w:rPr>
        <w:t>其中：</w:t>
      </w:r>
    </w:p>
    <w:p>
      <w:pPr>
        <w:spacing w:line="600" w:lineRule="exact"/>
        <w:ind w:firstLine="640"/>
        <w:rPr>
          <w:rFonts w:eastAsia="仿宋"/>
          <w:sz w:val="32"/>
          <w:szCs w:val="32"/>
        </w:rPr>
      </w:pPr>
      <w:r>
        <w:rPr>
          <w:rFonts w:hint="eastAsia" w:eastAsia="仿宋"/>
          <w:b/>
          <w:bCs/>
          <w:sz w:val="32"/>
          <w:szCs w:val="32"/>
        </w:rPr>
        <w:t>国内公务接待支出</w:t>
      </w:r>
      <w:r>
        <w:rPr>
          <w:rFonts w:eastAsia="仿宋"/>
          <w:sz w:val="32"/>
          <w:szCs w:val="32"/>
        </w:rPr>
        <w:t>1.10</w:t>
      </w:r>
      <w:r>
        <w:rPr>
          <w:rFonts w:hint="eastAsia" w:eastAsia="仿宋"/>
          <w:sz w:val="32"/>
          <w:szCs w:val="32"/>
        </w:rPr>
        <w:t>万元，主要用于接待上级来访、</w:t>
      </w:r>
      <w:r>
        <w:rPr>
          <w:rFonts w:hint="eastAsia" w:ascii="仿宋_GB2312" w:eastAsia="仿宋_GB2312"/>
          <w:color w:val="000000"/>
          <w:sz w:val="32"/>
          <w:szCs w:val="32"/>
        </w:rPr>
        <w:t>教育教学活动交流、</w:t>
      </w:r>
      <w:r>
        <w:rPr>
          <w:rFonts w:hint="eastAsia" w:ascii="仿宋_GB2312" w:eastAsia="仿宋_GB2312"/>
          <w:sz w:val="32"/>
          <w:szCs w:val="32"/>
        </w:rPr>
        <w:t>学生活动费及运动会学生用餐、交通费、体检费等</w:t>
      </w:r>
      <w:r>
        <w:rPr>
          <w:rFonts w:hint="eastAsia" w:eastAsia="仿宋"/>
          <w:sz w:val="32"/>
          <w:szCs w:val="32"/>
        </w:rPr>
        <w:t>。国内公务接待</w:t>
      </w:r>
      <w:r>
        <w:rPr>
          <w:rFonts w:eastAsia="仿宋"/>
          <w:sz w:val="32"/>
          <w:szCs w:val="32"/>
        </w:rPr>
        <w:t>74</w:t>
      </w:r>
      <w:r>
        <w:rPr>
          <w:rFonts w:hint="eastAsia" w:eastAsia="仿宋"/>
          <w:sz w:val="32"/>
          <w:szCs w:val="32"/>
        </w:rPr>
        <w:t>批次，</w:t>
      </w:r>
      <w:r>
        <w:rPr>
          <w:rFonts w:eastAsia="仿宋"/>
          <w:sz w:val="32"/>
          <w:szCs w:val="32"/>
        </w:rPr>
        <w:t>198</w:t>
      </w:r>
      <w:r>
        <w:rPr>
          <w:rFonts w:hint="eastAsia" w:eastAsia="仿宋"/>
          <w:sz w:val="32"/>
          <w:szCs w:val="32"/>
        </w:rPr>
        <w:t>人次（不包括陪同人员），共计支出</w:t>
      </w:r>
      <w:r>
        <w:rPr>
          <w:rFonts w:eastAsia="仿宋"/>
          <w:sz w:val="32"/>
          <w:szCs w:val="32"/>
        </w:rPr>
        <w:t>1.10</w:t>
      </w:r>
      <w:r>
        <w:rPr>
          <w:rFonts w:hint="eastAsia" w:eastAsia="仿宋"/>
          <w:sz w:val="32"/>
          <w:szCs w:val="32"/>
        </w:rPr>
        <w:t>万元，具体内容包括接待上级来访</w:t>
      </w:r>
      <w:r>
        <w:rPr>
          <w:rFonts w:eastAsia="仿宋"/>
          <w:sz w:val="32"/>
          <w:szCs w:val="32"/>
        </w:rPr>
        <w:t>0.2</w:t>
      </w:r>
      <w:r>
        <w:rPr>
          <w:rFonts w:hint="eastAsia" w:eastAsia="仿宋"/>
          <w:sz w:val="32"/>
          <w:szCs w:val="32"/>
        </w:rPr>
        <w:t>万元、</w:t>
      </w:r>
      <w:r>
        <w:rPr>
          <w:rFonts w:hint="eastAsia" w:ascii="仿宋_GB2312" w:eastAsia="仿宋_GB2312"/>
          <w:color w:val="000000"/>
          <w:sz w:val="32"/>
          <w:szCs w:val="32"/>
        </w:rPr>
        <w:t>教育教学活动交流</w:t>
      </w:r>
      <w:r>
        <w:rPr>
          <w:rFonts w:ascii="仿宋_GB2312" w:eastAsia="仿宋_GB2312"/>
          <w:color w:val="000000"/>
          <w:sz w:val="32"/>
          <w:szCs w:val="32"/>
        </w:rPr>
        <w:t>0.1</w:t>
      </w:r>
      <w:r>
        <w:rPr>
          <w:rFonts w:hint="eastAsia" w:ascii="仿宋_GB2312" w:eastAsia="仿宋_GB2312"/>
          <w:color w:val="000000"/>
          <w:sz w:val="32"/>
          <w:szCs w:val="32"/>
        </w:rPr>
        <w:t>万元、</w:t>
      </w:r>
      <w:r>
        <w:rPr>
          <w:rFonts w:hint="eastAsia" w:ascii="仿宋_GB2312" w:eastAsia="仿宋_GB2312"/>
          <w:sz w:val="32"/>
          <w:szCs w:val="32"/>
        </w:rPr>
        <w:t>学生活动费及运动会学生用餐、交通费、体检费等</w:t>
      </w:r>
      <w:r>
        <w:rPr>
          <w:rFonts w:ascii="仿宋_GB2312" w:eastAsia="仿宋_GB2312"/>
          <w:sz w:val="32"/>
          <w:szCs w:val="32"/>
        </w:rPr>
        <w:t>0.80</w:t>
      </w:r>
      <w:r>
        <w:rPr>
          <w:rFonts w:hint="eastAsia" w:ascii="仿宋_GB2312" w:eastAsia="仿宋_GB2312"/>
          <w:sz w:val="32"/>
          <w:szCs w:val="32"/>
        </w:rPr>
        <w:t>万元。</w:t>
      </w:r>
    </w:p>
    <w:p>
      <w:pPr>
        <w:spacing w:line="600" w:lineRule="exact"/>
        <w:ind w:firstLine="640" w:firstLineChars="200"/>
        <w:rPr>
          <w:rFonts w:eastAsia="仿宋"/>
          <w:sz w:val="32"/>
          <w:szCs w:val="32"/>
        </w:rPr>
      </w:pPr>
      <w:r>
        <w:rPr>
          <w:rFonts w:hint="eastAsia" w:eastAsia="仿宋"/>
          <w:sz w:val="32"/>
          <w:szCs w:val="32"/>
        </w:rPr>
        <w:t>外事接待支出</w:t>
      </w:r>
      <w:r>
        <w:rPr>
          <w:rFonts w:ascii="仿宋" w:hAnsi="仿宋" w:eastAsia="仿宋"/>
          <w:sz w:val="32"/>
          <w:szCs w:val="32"/>
        </w:rPr>
        <w:t>0</w:t>
      </w:r>
      <w:r>
        <w:rPr>
          <w:rFonts w:hint="eastAsia" w:ascii="仿宋_GB2312" w:eastAsia="仿宋_GB2312"/>
          <w:sz w:val="32"/>
          <w:szCs w:val="32"/>
        </w:rPr>
        <w:t>万元，外事接待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人，共计支出</w:t>
      </w:r>
      <w:r>
        <w:rPr>
          <w:rFonts w:ascii="仿宋_GB2312" w:eastAsia="仿宋_GB2312"/>
          <w:sz w:val="32"/>
          <w:szCs w:val="32"/>
        </w:rPr>
        <w:t>0</w:t>
      </w:r>
      <w:r>
        <w:rPr>
          <w:rFonts w:hint="eastAsia" w:ascii="仿宋_GB2312" w:eastAsia="仿宋_GB2312"/>
          <w:sz w:val="32"/>
          <w:szCs w:val="32"/>
        </w:rPr>
        <w:t>万元。</w:t>
      </w:r>
      <w:r>
        <w:rPr>
          <w:rFonts w:hint="eastAsia" w:eastAsia="仿宋"/>
          <w:sz w:val="32"/>
          <w:szCs w:val="32"/>
        </w:rPr>
        <w:t>外事接待支出</w:t>
      </w:r>
      <w:r>
        <w:rPr>
          <w:rFonts w:hint="eastAsia" w:ascii="仿宋_GB2312" w:eastAsia="仿宋_GB2312" w:cs="仿宋_GB2312"/>
          <w:color w:val="000000"/>
          <w:sz w:val="32"/>
          <w:szCs w:val="32"/>
        </w:rPr>
        <w:t>决算与</w:t>
      </w:r>
      <w:r>
        <w:rPr>
          <w:rFonts w:ascii="仿宋_GB2312" w:eastAsia="仿宋_GB2312" w:cs="仿宋_GB2312"/>
          <w:color w:val="000000"/>
          <w:sz w:val="32"/>
          <w:szCs w:val="32"/>
        </w:rPr>
        <w:t>2020</w:t>
      </w:r>
      <w:r>
        <w:rPr>
          <w:rFonts w:hint="eastAsia" w:ascii="仿宋_GB2312" w:eastAsia="仿宋_GB2312" w:cs="仿宋_GB2312"/>
          <w:color w:val="000000"/>
          <w:sz w:val="32"/>
          <w:szCs w:val="32"/>
        </w:rPr>
        <w:t>年持平</w:t>
      </w:r>
      <w:r>
        <w:rPr>
          <w:rFonts w:hint="eastAsia" w:eastAsia="仿宋"/>
          <w:sz w:val="32"/>
          <w:szCs w:val="32"/>
        </w:rPr>
        <w:t>。</w:t>
      </w:r>
      <w:bookmarkStart w:id="40" w:name="_Toc15396610"/>
      <w:bookmarkStart w:id="41" w:name="_Toc15377218"/>
    </w:p>
    <w:p>
      <w:pPr>
        <w:spacing w:line="600" w:lineRule="exact"/>
        <w:ind w:firstLine="640"/>
        <w:outlineLvl w:val="1"/>
        <w:rPr>
          <w:rStyle w:val="38"/>
          <w:rFonts w:ascii="黑体" w:hAnsi="黑体" w:eastAsia="黑体"/>
        </w:rPr>
      </w:pPr>
      <w:r>
        <w:rPr>
          <w:rFonts w:hint="eastAsia" w:ascii="黑体" w:eastAsia="黑体"/>
          <w:sz w:val="32"/>
          <w:szCs w:val="32"/>
        </w:rPr>
        <w:t>八、</w:t>
      </w:r>
      <w:r>
        <w:rPr>
          <w:rStyle w:val="38"/>
          <w:rFonts w:hint="eastAsia" w:ascii="黑体" w:hAnsi="黑体" w:eastAsia="黑体"/>
          <w:b w:val="0"/>
        </w:rPr>
        <w:t>政府性基金预算支出决算情况说明</w:t>
      </w:r>
      <w:bookmarkEnd w:id="40"/>
      <w:bookmarkEnd w:id="41"/>
    </w:p>
    <w:p>
      <w:pPr>
        <w:spacing w:line="600" w:lineRule="exact"/>
        <w:ind w:firstLine="640"/>
        <w:rPr>
          <w:rFonts w:ascii="仿宋_GB2312" w:eastAsia="仿宋_GB2312"/>
          <w:color w:val="000000"/>
          <w:sz w:val="32"/>
          <w:szCs w:val="32"/>
        </w:rPr>
      </w:pPr>
      <w:r>
        <w:rPr>
          <w:rFonts w:ascii="仿宋_GB2312" w:eastAsia="仿宋_GB2312"/>
          <w:color w:val="000000"/>
          <w:sz w:val="32"/>
          <w:szCs w:val="32"/>
        </w:rPr>
        <w:t>2021</w:t>
      </w:r>
      <w:r>
        <w:rPr>
          <w:rFonts w:hint="eastAsia" w:ascii="仿宋_GB2312" w:eastAsia="仿宋_GB2312"/>
          <w:color w:val="000000"/>
          <w:sz w:val="32"/>
          <w:szCs w:val="32"/>
        </w:rPr>
        <w:t>年政府性基金预算财政拨款支出</w:t>
      </w:r>
      <w:r>
        <w:rPr>
          <w:rFonts w:ascii="仿宋_GB2312" w:eastAsia="仿宋_GB2312"/>
          <w:color w:val="000000"/>
          <w:sz w:val="32"/>
          <w:szCs w:val="32"/>
        </w:rPr>
        <w:t>1.52</w:t>
      </w:r>
      <w:r>
        <w:rPr>
          <w:rFonts w:hint="eastAsia" w:ascii="仿宋_GB2312" w:eastAsia="仿宋_GB2312"/>
          <w:color w:val="000000"/>
          <w:sz w:val="32"/>
          <w:szCs w:val="32"/>
        </w:rPr>
        <w:t>万元。</w:t>
      </w:r>
      <w:r>
        <w:rPr>
          <w:rFonts w:ascii="仿宋_GB2312" w:eastAsia="仿宋_GB2312"/>
          <w:color w:val="000000"/>
          <w:sz w:val="32"/>
          <w:szCs w:val="32"/>
        </w:rPr>
        <w:t>2021</w:t>
      </w:r>
      <w:r>
        <w:rPr>
          <w:rFonts w:hint="eastAsia" w:ascii="仿宋_GB2312" w:eastAsia="仿宋_GB2312"/>
          <w:color w:val="000000"/>
          <w:sz w:val="32"/>
          <w:szCs w:val="32"/>
        </w:rPr>
        <w:t>年本单位未在政府性基金预算拨款安排“三公”经费支出。</w:t>
      </w:r>
    </w:p>
    <w:p>
      <w:pPr>
        <w:numPr>
          <w:ilvl w:val="0"/>
          <w:numId w:val="4"/>
        </w:numPr>
        <w:spacing w:line="600" w:lineRule="exact"/>
        <w:ind w:firstLine="640"/>
        <w:outlineLvl w:val="1"/>
        <w:rPr>
          <w:rStyle w:val="38"/>
          <w:rFonts w:ascii="黑体" w:hAnsi="黑体" w:eastAsia="黑体"/>
          <w:b w:val="0"/>
        </w:rPr>
      </w:pPr>
      <w:bookmarkStart w:id="42" w:name="_Toc15377219"/>
      <w:bookmarkStart w:id="43" w:name="_Toc15396611"/>
      <w:r>
        <w:rPr>
          <w:rStyle w:val="38"/>
          <w:rFonts w:hint="eastAsia" w:ascii="黑体" w:hAnsi="黑体" w:eastAsia="黑体"/>
          <w:b w:val="0"/>
        </w:rPr>
        <w:t>国有资本经营预算支出决算情况说明</w:t>
      </w:r>
      <w:bookmarkEnd w:id="42"/>
      <w:bookmarkEnd w:id="43"/>
    </w:p>
    <w:p>
      <w:pPr>
        <w:spacing w:line="600" w:lineRule="exact"/>
        <w:ind w:firstLine="64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年国有资本经营预算财政拨款支出</w:t>
      </w:r>
      <w:r>
        <w:rPr>
          <w:rFonts w:ascii="仿宋_GB2312" w:eastAsia="仿宋_GB2312"/>
          <w:sz w:val="32"/>
          <w:szCs w:val="32"/>
        </w:rPr>
        <w:t>0</w:t>
      </w:r>
      <w:r>
        <w:rPr>
          <w:rFonts w:hint="eastAsia" w:ascii="仿宋_GB2312" w:eastAsia="仿宋_GB2312"/>
          <w:sz w:val="32"/>
          <w:szCs w:val="32"/>
        </w:rPr>
        <w:t>万元，年初未安排预算。</w:t>
      </w:r>
    </w:p>
    <w:p>
      <w:pPr>
        <w:numPr>
          <w:ilvl w:val="0"/>
          <w:numId w:val="4"/>
        </w:numPr>
        <w:spacing w:line="600" w:lineRule="exact"/>
        <w:ind w:firstLine="640"/>
        <w:outlineLvl w:val="1"/>
        <w:rPr>
          <w:rStyle w:val="38"/>
          <w:rFonts w:ascii="黑体" w:hAnsi="黑体" w:eastAsia="黑体"/>
          <w:b w:val="0"/>
        </w:rPr>
      </w:pPr>
      <w:bookmarkStart w:id="44" w:name="_Toc15396612"/>
      <w:bookmarkStart w:id="45" w:name="_Toc15377221"/>
      <w:r>
        <w:rPr>
          <w:rStyle w:val="38"/>
          <w:rFonts w:hint="eastAsia" w:ascii="黑体" w:hAnsi="黑体" w:eastAsia="黑体"/>
          <w:b w:val="0"/>
        </w:rPr>
        <w:t>预算绩效管理情况</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根据预算绩效管理要求，本单位在</w:t>
      </w:r>
      <w:r>
        <w:rPr>
          <w:rFonts w:ascii="仿宋_GB2312" w:hAnsi="仿宋_GB2312" w:eastAsia="仿宋_GB2312" w:cs="仿宋_GB2312"/>
          <w:sz w:val="32"/>
          <w:szCs w:val="32"/>
        </w:rPr>
        <w:t>2021</w:t>
      </w:r>
      <w:r>
        <w:rPr>
          <w:rFonts w:hint="eastAsia" w:ascii="仿宋_GB2312" w:hAnsi="仿宋_GB2312" w:eastAsia="仿宋_GB2312" w:cs="仿宋_GB2312"/>
          <w:sz w:val="32"/>
          <w:szCs w:val="32"/>
        </w:rPr>
        <w:t>年度预算编制阶段，因无项目支出，故不涉及事前评估和项目绩效目标，预算执行过程中，对追加预算乡村少年宫运行经费项目和校舍维修项目编制了绩效目标，并开展了绩效运行监控，年终执行完毕后，对</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个项目开展了绩效自评，</w:t>
      </w:r>
      <w:r>
        <w:rPr>
          <w:rFonts w:ascii="仿宋_GB2312" w:hAnsi="仿宋_GB2312" w:eastAsia="仿宋_GB2312" w:cs="仿宋_GB2312"/>
          <w:sz w:val="32"/>
          <w:szCs w:val="32"/>
        </w:rPr>
        <w:t>2021</w:t>
      </w:r>
      <w:r>
        <w:rPr>
          <w:rFonts w:hint="eastAsia" w:ascii="仿宋_GB2312" w:hAnsi="仿宋_GB2312" w:eastAsia="仿宋_GB2312" w:cs="仿宋_GB2312"/>
          <w:sz w:val="32"/>
          <w:szCs w:val="32"/>
        </w:rPr>
        <w:t>年部门预算项目绩效目标自评表见附件（第四部分）。</w:t>
      </w:r>
    </w:p>
    <w:p>
      <w:pPr>
        <w:pStyle w:val="2"/>
        <w:spacing w:before="93"/>
      </w:pPr>
    </w:p>
    <w:p>
      <w:pPr>
        <w:numPr>
          <w:ilvl w:val="0"/>
          <w:numId w:val="4"/>
        </w:numPr>
        <w:spacing w:line="600" w:lineRule="exact"/>
        <w:ind w:firstLine="640"/>
        <w:outlineLvl w:val="1"/>
        <w:rPr>
          <w:rStyle w:val="38"/>
          <w:rFonts w:ascii="黑体" w:hAnsi="黑体" w:eastAsia="黑体"/>
          <w:b w:val="0"/>
        </w:rPr>
      </w:pPr>
      <w:r>
        <w:rPr>
          <w:rStyle w:val="38"/>
          <w:rFonts w:hint="eastAsia" w:ascii="黑体" w:hAnsi="黑体" w:eastAsia="黑体"/>
          <w:b w:val="0"/>
        </w:rPr>
        <w:t>其他重要事项的情况说明</w:t>
      </w:r>
      <w:bookmarkEnd w:id="44"/>
      <w:bookmarkEnd w:id="45"/>
    </w:p>
    <w:p>
      <w:pPr>
        <w:spacing w:line="600" w:lineRule="exact"/>
        <w:ind w:firstLine="643" w:firstLineChars="200"/>
        <w:outlineLvl w:val="2"/>
        <w:rPr>
          <w:rFonts w:ascii="仿宋" w:hAnsi="仿宋" w:eastAsia="仿宋"/>
          <w:sz w:val="32"/>
          <w:szCs w:val="32"/>
        </w:rPr>
      </w:pPr>
      <w:bookmarkStart w:id="46" w:name="_Toc15377222"/>
      <w:r>
        <w:rPr>
          <w:rFonts w:hint="eastAsia" w:ascii="仿宋" w:hAnsi="仿宋" w:eastAsia="仿宋"/>
          <w:b/>
          <w:sz w:val="32"/>
          <w:szCs w:val="32"/>
        </w:rPr>
        <w:t>（一）机关运行经费支出情况</w:t>
      </w:r>
      <w:bookmarkEnd w:id="46"/>
    </w:p>
    <w:p>
      <w:pPr>
        <w:spacing w:line="600" w:lineRule="exact"/>
        <w:ind w:firstLine="640"/>
        <w:rPr>
          <w:rFonts w:ascii="仿宋_GB2312" w:eastAsia="仿宋_GB2312" w:cs="仿宋_GB2312"/>
          <w:color w:val="000000"/>
          <w:sz w:val="32"/>
          <w:szCs w:val="32"/>
        </w:rPr>
      </w:pPr>
      <w:bookmarkStart w:id="47" w:name="_Toc15377223"/>
      <w:r>
        <w:rPr>
          <w:rFonts w:ascii="仿宋_GB2312" w:eastAsia="仿宋_GB2312" w:cs="仿宋_GB2312"/>
          <w:color w:val="000000"/>
          <w:sz w:val="32"/>
          <w:szCs w:val="32"/>
        </w:rPr>
        <w:t>2021</w:t>
      </w:r>
      <w:r>
        <w:rPr>
          <w:rFonts w:hint="eastAsia" w:ascii="仿宋_GB2312" w:eastAsia="仿宋_GB2312" w:cs="仿宋_GB2312"/>
          <w:color w:val="000000"/>
          <w:sz w:val="32"/>
          <w:szCs w:val="32"/>
        </w:rPr>
        <w:t>年，</w:t>
      </w:r>
      <w:r>
        <w:rPr>
          <w:rFonts w:hint="eastAsia" w:ascii="仿宋_GB2312" w:eastAsia="仿宋_GB2312" w:cs="仿宋_GB2312"/>
          <w:sz w:val="32"/>
          <w:szCs w:val="32"/>
        </w:rPr>
        <w:t>我部门机关</w:t>
      </w:r>
      <w:r>
        <w:rPr>
          <w:rFonts w:hint="eastAsia" w:ascii="仿宋_GB2312" w:eastAsia="仿宋_GB2312" w:cs="仿宋_GB2312"/>
          <w:color w:val="000000"/>
          <w:sz w:val="32"/>
          <w:szCs w:val="32"/>
        </w:rPr>
        <w:t>运行经费支出</w:t>
      </w:r>
      <w:r>
        <w:rPr>
          <w:rFonts w:ascii="仿宋_GB2312" w:eastAsia="仿宋_GB2312" w:cs="仿宋_GB2312"/>
          <w:color w:val="000000"/>
          <w:sz w:val="32"/>
          <w:szCs w:val="32"/>
        </w:rPr>
        <w:t>0</w:t>
      </w:r>
      <w:r>
        <w:rPr>
          <w:rFonts w:hint="eastAsia" w:ascii="仿宋_GB2312" w:eastAsia="仿宋_GB2312" w:cs="仿宋_GB2312"/>
          <w:color w:val="000000"/>
          <w:sz w:val="32"/>
          <w:szCs w:val="32"/>
        </w:rPr>
        <w:t>元，与</w:t>
      </w:r>
      <w:r>
        <w:rPr>
          <w:rFonts w:ascii="仿宋_GB2312" w:eastAsia="仿宋_GB2312"/>
          <w:sz w:val="32"/>
          <w:szCs w:val="32"/>
        </w:rPr>
        <w:t>2020</w:t>
      </w:r>
      <w:r>
        <w:rPr>
          <w:rFonts w:hint="eastAsia" w:ascii="仿宋_GB2312" w:eastAsia="仿宋_GB2312"/>
          <w:sz w:val="32"/>
          <w:szCs w:val="32"/>
        </w:rPr>
        <w:t>年决算数持平</w:t>
      </w:r>
      <w:r>
        <w:rPr>
          <w:rFonts w:hint="eastAsia" w:ascii="仿宋_GB2312" w:eastAsia="仿宋_GB2312" w:cs="仿宋_GB2312"/>
          <w:color w:val="000000"/>
          <w:sz w:val="32"/>
          <w:szCs w:val="32"/>
        </w:rPr>
        <w:t>。主要原因是本单位为事业单位，未发生机关运行经费支出。</w:t>
      </w:r>
    </w:p>
    <w:p>
      <w:pPr>
        <w:autoSpaceDE w:val="0"/>
        <w:autoSpaceDN w:val="0"/>
        <w:adjustRightInd w:val="0"/>
        <w:spacing w:line="600" w:lineRule="exact"/>
        <w:ind w:firstLine="643" w:firstLineChars="200"/>
        <w:jc w:val="left"/>
        <w:outlineLvl w:val="2"/>
        <w:rPr>
          <w:rFonts w:ascii="仿宋" w:hAnsi="仿宋" w:eastAsia="仿宋"/>
          <w:b/>
          <w:sz w:val="32"/>
          <w:szCs w:val="32"/>
        </w:rPr>
      </w:pPr>
      <w:r>
        <w:rPr>
          <w:rFonts w:hint="eastAsia" w:ascii="仿宋" w:hAnsi="仿宋" w:eastAsia="仿宋"/>
          <w:b/>
          <w:sz w:val="32"/>
          <w:szCs w:val="32"/>
        </w:rPr>
        <w:t>（二）政府采购支出情况</w:t>
      </w:r>
      <w:bookmarkEnd w:id="47"/>
    </w:p>
    <w:p>
      <w:pPr>
        <w:spacing w:line="600" w:lineRule="exact"/>
        <w:ind w:firstLine="640" w:firstLineChars="200"/>
        <w:rPr>
          <w:rFonts w:ascii="仿宋_GB2312" w:eastAsia="仿宋_GB2312"/>
          <w:sz w:val="32"/>
          <w:szCs w:val="32"/>
          <w:highlight w:val="yellow"/>
        </w:rPr>
      </w:pPr>
      <w:r>
        <w:rPr>
          <w:rFonts w:ascii="仿宋_GB2312" w:eastAsia="仿宋_GB2312"/>
          <w:sz w:val="32"/>
          <w:szCs w:val="32"/>
        </w:rPr>
        <w:t>2021</w:t>
      </w:r>
      <w:r>
        <w:rPr>
          <w:rFonts w:hint="eastAsia" w:ascii="仿宋_GB2312" w:eastAsia="仿宋_GB2312"/>
          <w:sz w:val="32"/>
          <w:szCs w:val="32"/>
        </w:rPr>
        <w:t>年，我单位政府采购支出</w:t>
      </w:r>
      <w:r>
        <w:rPr>
          <w:rFonts w:hint="eastAsia" w:ascii="仿宋_GB2312" w:eastAsia="仿宋_GB2312"/>
          <w:color w:val="000000"/>
          <w:sz w:val="32"/>
          <w:szCs w:val="32"/>
        </w:rPr>
        <w:t>年初未预算采购经费，</w:t>
      </w:r>
      <w:r>
        <w:rPr>
          <w:rFonts w:hint="eastAsia" w:ascii="仿宋_GB2312" w:eastAsia="仿宋_GB2312"/>
          <w:sz w:val="32"/>
          <w:szCs w:val="32"/>
        </w:rPr>
        <w:t>政府采购支出总额</w:t>
      </w:r>
      <w:r>
        <w:rPr>
          <w:rFonts w:ascii="仿宋_GB2312" w:eastAsia="仿宋_GB2312"/>
          <w:sz w:val="32"/>
          <w:szCs w:val="32"/>
        </w:rPr>
        <w:t>0</w:t>
      </w:r>
      <w:r>
        <w:rPr>
          <w:rFonts w:hint="eastAsia" w:ascii="仿宋_GB2312" w:eastAsia="仿宋_GB2312"/>
          <w:sz w:val="32"/>
          <w:szCs w:val="32"/>
        </w:rPr>
        <w:t>万元。</w:t>
      </w:r>
      <w:r>
        <w:rPr>
          <w:rFonts w:hint="eastAsia" w:ascii="仿宋_GB2312" w:eastAsia="仿宋_GB2312" w:cs="仿宋_GB2312"/>
          <w:color w:val="000000"/>
          <w:sz w:val="32"/>
          <w:szCs w:val="32"/>
        </w:rPr>
        <w:t>与</w:t>
      </w:r>
      <w:r>
        <w:rPr>
          <w:rFonts w:ascii="仿宋_GB2312" w:eastAsia="仿宋_GB2312"/>
          <w:sz w:val="32"/>
          <w:szCs w:val="32"/>
        </w:rPr>
        <w:t>2020</w:t>
      </w:r>
      <w:r>
        <w:rPr>
          <w:rFonts w:hint="eastAsia" w:ascii="仿宋_GB2312" w:eastAsia="仿宋_GB2312"/>
          <w:sz w:val="32"/>
          <w:szCs w:val="32"/>
        </w:rPr>
        <w:t>年决算数持平</w:t>
      </w:r>
      <w:r>
        <w:rPr>
          <w:rFonts w:hint="eastAsia" w:ascii="仿宋_GB2312" w:eastAsia="仿宋_GB2312" w:cs="仿宋_GB2312"/>
          <w:color w:val="000000"/>
          <w:sz w:val="32"/>
          <w:szCs w:val="32"/>
        </w:rPr>
        <w:t>。</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48" w:name="_Toc15377224"/>
      <w:r>
        <w:rPr>
          <w:rFonts w:hint="eastAsia" w:ascii="仿宋" w:hAnsi="仿宋" w:eastAsia="仿宋"/>
          <w:b/>
          <w:sz w:val="32"/>
          <w:szCs w:val="32"/>
        </w:rPr>
        <w:t>（三）国有资产占有使用情况</w:t>
      </w:r>
      <w:bookmarkEnd w:id="48"/>
    </w:p>
    <w:p>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2021</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日，我单位共有车辆</w:t>
      </w:r>
      <w:r>
        <w:rPr>
          <w:rFonts w:ascii="仿宋_GB2312" w:eastAsia="仿宋_GB2312"/>
          <w:sz w:val="32"/>
          <w:szCs w:val="32"/>
        </w:rPr>
        <w:t>0</w:t>
      </w:r>
      <w:r>
        <w:rPr>
          <w:rFonts w:hint="eastAsia" w:ascii="仿宋_GB2312" w:eastAsia="仿宋_GB2312"/>
          <w:sz w:val="32"/>
          <w:szCs w:val="32"/>
        </w:rPr>
        <w:t>辆，其中：主要领导干部用车</w:t>
      </w:r>
      <w:r>
        <w:rPr>
          <w:rFonts w:ascii="仿宋_GB2312" w:eastAsia="仿宋_GB2312"/>
          <w:sz w:val="32"/>
          <w:szCs w:val="32"/>
        </w:rPr>
        <w:t>0</w:t>
      </w:r>
      <w:r>
        <w:rPr>
          <w:rFonts w:hint="eastAsia" w:ascii="仿宋_GB2312" w:eastAsia="仿宋_GB2312"/>
          <w:sz w:val="32"/>
          <w:szCs w:val="32"/>
        </w:rPr>
        <w:t>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0</w:t>
      </w:r>
      <w:r>
        <w:rPr>
          <w:rFonts w:hint="eastAsia" w:ascii="仿宋_GB2312" w:eastAsia="仿宋_GB2312"/>
          <w:sz w:val="32"/>
          <w:szCs w:val="32"/>
        </w:rPr>
        <w:t>辆，单价</w:t>
      </w:r>
      <w:r>
        <w:rPr>
          <w:rFonts w:ascii="仿宋_GB2312" w:eastAsia="仿宋_GB2312"/>
          <w:sz w:val="32"/>
          <w:szCs w:val="32"/>
        </w:rPr>
        <w:t>50</w:t>
      </w:r>
      <w:r>
        <w:rPr>
          <w:rFonts w:hint="eastAsia" w:ascii="仿宋_GB2312" w:eastAsia="仿宋_GB2312"/>
          <w:sz w:val="32"/>
          <w:szCs w:val="32"/>
        </w:rPr>
        <w:t>万元以上通用设备</w:t>
      </w:r>
      <w:r>
        <w:rPr>
          <w:rFonts w:ascii="仿宋_GB2312" w:eastAsia="仿宋_GB2312"/>
          <w:sz w:val="32"/>
          <w:szCs w:val="32"/>
        </w:rPr>
        <w:t>,0</w:t>
      </w:r>
      <w:r>
        <w:rPr>
          <w:rFonts w:hint="eastAsia" w:ascii="仿宋_GB2312" w:eastAsia="仿宋_GB2312"/>
          <w:sz w:val="32"/>
          <w:szCs w:val="32"/>
        </w:rPr>
        <w:t>台（套），单价</w:t>
      </w:r>
      <w:r>
        <w:rPr>
          <w:rFonts w:ascii="仿宋_GB2312" w:eastAsia="仿宋_GB2312"/>
          <w:sz w:val="32"/>
          <w:szCs w:val="32"/>
        </w:rPr>
        <w:t>100</w:t>
      </w:r>
      <w:r>
        <w:rPr>
          <w:rFonts w:hint="eastAsia" w:ascii="仿宋_GB2312" w:eastAsia="仿宋_GB2312"/>
          <w:sz w:val="32"/>
          <w:szCs w:val="32"/>
        </w:rPr>
        <w:t>万元以上专用设备</w:t>
      </w:r>
      <w:r>
        <w:rPr>
          <w:rFonts w:ascii="仿宋_GB2312" w:eastAsia="仿宋_GB2312"/>
          <w:sz w:val="32"/>
          <w:szCs w:val="32"/>
        </w:rPr>
        <w:t>0</w:t>
      </w:r>
      <w:r>
        <w:rPr>
          <w:rFonts w:hint="eastAsia" w:ascii="仿宋_GB2312" w:eastAsia="仿宋_GB2312"/>
          <w:sz w:val="32"/>
          <w:szCs w:val="32"/>
        </w:rPr>
        <w:t>台（套）。</w:t>
      </w:r>
    </w:p>
    <w:p>
      <w:pPr>
        <w:pStyle w:val="2"/>
        <w:spacing w:before="93"/>
        <w:rPr>
          <w:highlight w:val="yellow"/>
        </w:rPr>
      </w:pPr>
    </w:p>
    <w:p>
      <w:pPr>
        <w:widowControl/>
        <w:jc w:val="left"/>
        <w:rPr>
          <w:rFonts w:ascii="仿宋_GB2312" w:eastAsia="仿宋_GB2312"/>
          <w:b/>
          <w:sz w:val="32"/>
          <w:szCs w:val="32"/>
        </w:rPr>
      </w:pPr>
    </w:p>
    <w:p>
      <w:pPr>
        <w:pStyle w:val="2"/>
        <w:rPr>
          <w:rFonts w:ascii="仿宋_GB2312" w:eastAsia="仿宋_GB2312"/>
          <w:b/>
          <w:sz w:val="32"/>
          <w:szCs w:val="32"/>
        </w:rPr>
      </w:pPr>
    </w:p>
    <w:p>
      <w:pPr>
        <w:pStyle w:val="2"/>
        <w:rPr>
          <w:rFonts w:ascii="仿宋_GB2312" w:eastAsia="仿宋_GB2312"/>
          <w:b/>
          <w:sz w:val="32"/>
          <w:szCs w:val="32"/>
        </w:rPr>
      </w:pPr>
    </w:p>
    <w:p>
      <w:pPr>
        <w:pStyle w:val="2"/>
        <w:rPr>
          <w:rFonts w:ascii="仿宋_GB2312" w:eastAsia="仿宋_GB2312"/>
          <w:b/>
          <w:sz w:val="32"/>
          <w:szCs w:val="32"/>
        </w:rPr>
      </w:pPr>
    </w:p>
    <w:p>
      <w:pPr>
        <w:spacing w:line="600" w:lineRule="exact"/>
        <w:outlineLvl w:val="0"/>
        <w:rPr>
          <w:rFonts w:ascii="黑体" w:hAnsi="黑体" w:eastAsia="黑体"/>
          <w:bCs/>
          <w:kern w:val="44"/>
          <w:sz w:val="44"/>
          <w:szCs w:val="44"/>
        </w:rPr>
      </w:pPr>
      <w:bookmarkStart w:id="49" w:name="_Toc15396613"/>
      <w:bookmarkStart w:id="50" w:name="_Toc15377225"/>
    </w:p>
    <w:p>
      <w:pPr>
        <w:numPr>
          <w:ilvl w:val="0"/>
          <w:numId w:val="5"/>
        </w:numPr>
        <w:spacing w:line="600" w:lineRule="exact"/>
        <w:ind w:firstLine="660" w:firstLineChars="150"/>
        <w:outlineLvl w:val="0"/>
        <w:rPr>
          <w:rFonts w:ascii="黑体" w:hAnsi="黑体" w:eastAsia="黑体"/>
          <w:bCs/>
          <w:kern w:val="44"/>
          <w:sz w:val="44"/>
          <w:szCs w:val="44"/>
        </w:rPr>
      </w:pPr>
      <w:r>
        <w:rPr>
          <w:rFonts w:hint="eastAsia" w:ascii="黑体" w:hAnsi="黑体" w:eastAsia="黑体"/>
          <w:sz w:val="44"/>
          <w:szCs w:val="44"/>
        </w:rPr>
        <w:t>名</w:t>
      </w:r>
      <w:r>
        <w:rPr>
          <w:rStyle w:val="22"/>
          <w:rFonts w:hint="eastAsia" w:ascii="黑体" w:hAnsi="黑体" w:eastAsia="黑体"/>
          <w:b w:val="0"/>
        </w:rPr>
        <w:t>词解释</w:t>
      </w:r>
      <w:bookmarkEnd w:id="49"/>
      <w:bookmarkEnd w:id="50"/>
    </w:p>
    <w:p>
      <w:pPr>
        <w:pStyle w:val="3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p>
    <w:p>
      <w:pPr>
        <w:pStyle w:val="3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2.</w:t>
      </w:r>
      <w:r>
        <w:rPr>
          <w:rFonts w:hint="eastAsia" w:ascii="仿宋_GB2312" w:eastAsia="仿宋_GB2312"/>
          <w:color w:val="auto"/>
          <w:sz w:val="32"/>
          <w:szCs w:val="32"/>
        </w:rPr>
        <w:t>使用非财政拨款结余：指事业单位使用以前年度积累的非财政拨款结余弥补当年收支差额的金额。</w:t>
      </w:r>
    </w:p>
    <w:p>
      <w:pPr>
        <w:pStyle w:val="3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3.</w:t>
      </w:r>
      <w:r>
        <w:rPr>
          <w:rFonts w:hint="eastAsia" w:ascii="仿宋_GB2312" w:eastAsia="仿宋_GB2312"/>
          <w:color w:val="auto"/>
          <w:sz w:val="32"/>
          <w:szCs w:val="32"/>
        </w:rPr>
        <w:t>年初结转和结余：指以前年度尚未完成、结转到本年按有关规定继续使用的资金。</w:t>
      </w:r>
    </w:p>
    <w:p>
      <w:pPr>
        <w:pStyle w:val="3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4.</w:t>
      </w:r>
      <w:r>
        <w:rPr>
          <w:rFonts w:hint="eastAsia" w:ascii="仿宋_GB2312" w:eastAsia="仿宋_GB2312"/>
          <w:color w:val="auto"/>
          <w:sz w:val="32"/>
          <w:szCs w:val="32"/>
        </w:rPr>
        <w:t>结余分配：指事业单位按照会计制度规定缴纳的所得税、提取的专用结余以及转入非财政拨款结余的金额等。</w:t>
      </w:r>
    </w:p>
    <w:p>
      <w:pPr>
        <w:pStyle w:val="3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5.</w:t>
      </w:r>
      <w:r>
        <w:rPr>
          <w:rFonts w:hint="eastAsia" w:ascii="仿宋_GB2312" w:eastAsia="仿宋_GB2312"/>
          <w:color w:val="auto"/>
          <w:sz w:val="32"/>
          <w:szCs w:val="32"/>
        </w:rPr>
        <w:t>年末结转和结余：指单位按有关规定结转到下年或以后年度继续使用的资金。</w:t>
      </w:r>
    </w:p>
    <w:p>
      <w:pPr>
        <w:ind w:firstLine="640" w:firstLineChars="200"/>
        <w:rPr>
          <w:rFonts w:ascii="仿宋_GB2312" w:eastAsia="仿宋_GB2312"/>
          <w:sz w:val="32"/>
          <w:szCs w:val="32"/>
        </w:rPr>
      </w:pPr>
      <w:r>
        <w:rPr>
          <w:rFonts w:ascii="仿宋_GB2312" w:eastAsia="仿宋_GB2312"/>
          <w:sz w:val="32"/>
          <w:szCs w:val="32"/>
        </w:rPr>
        <w:t>6.</w:t>
      </w:r>
      <w:r>
        <w:rPr>
          <w:rFonts w:hint="eastAsia" w:ascii="仿宋_GB2312" w:eastAsia="仿宋_GB2312"/>
          <w:sz w:val="32"/>
          <w:szCs w:val="32"/>
        </w:rPr>
        <w:t>教育（类）普通教育（款）小学教育（项）：指小学教育。</w:t>
      </w:r>
    </w:p>
    <w:p>
      <w:pPr>
        <w:ind w:firstLine="640" w:firstLineChars="200"/>
        <w:rPr>
          <w:rFonts w:ascii="仿宋_GB2312" w:eastAsia="仿宋_GB2312"/>
          <w:sz w:val="32"/>
          <w:szCs w:val="32"/>
        </w:rPr>
      </w:pPr>
      <w:r>
        <w:rPr>
          <w:rFonts w:ascii="仿宋_GB2312" w:eastAsia="仿宋_GB2312"/>
          <w:sz w:val="32"/>
          <w:szCs w:val="32"/>
        </w:rPr>
        <w:t xml:space="preserve">7. </w:t>
      </w:r>
      <w:r>
        <w:rPr>
          <w:rFonts w:hint="eastAsia" w:ascii="仿宋_GB2312" w:eastAsia="仿宋_GB2312"/>
          <w:sz w:val="32"/>
          <w:szCs w:val="32"/>
        </w:rPr>
        <w:t>教育（类）普通教育（款）小学教育（项）：指其他普通教育支出。</w:t>
      </w:r>
    </w:p>
    <w:p>
      <w:pPr>
        <w:ind w:firstLine="640" w:firstLineChars="200"/>
        <w:rPr>
          <w:rFonts w:ascii="仿宋_GB2312" w:eastAsia="仿宋_GB2312"/>
          <w:sz w:val="32"/>
          <w:szCs w:val="32"/>
        </w:rPr>
      </w:pPr>
      <w:r>
        <w:rPr>
          <w:rFonts w:ascii="仿宋_GB2312" w:eastAsia="仿宋_GB2312"/>
          <w:sz w:val="32"/>
          <w:szCs w:val="32"/>
        </w:rPr>
        <w:t>8.</w:t>
      </w:r>
      <w:r>
        <w:rPr>
          <w:rFonts w:hint="eastAsia" w:ascii="仿宋_GB2312" w:hAnsi="Calibri" w:eastAsia="仿宋_GB2312" w:cs="仿宋"/>
          <w:color w:val="000000"/>
          <w:kern w:val="0"/>
          <w:sz w:val="32"/>
          <w:szCs w:val="32"/>
        </w:rPr>
        <w:t>其他支出（类）彩票公益金安排的支出（款）用于体育事业的彩票公益金支出（项）：指用于体育事业的彩票公益金支出。</w:t>
      </w:r>
    </w:p>
    <w:p>
      <w:pPr>
        <w:spacing w:line="600" w:lineRule="exact"/>
        <w:ind w:firstLine="640" w:firstLineChars="200"/>
        <w:rPr>
          <w:rFonts w:ascii="仿宋_GB2312" w:hAnsi="Calibri" w:eastAsia="仿宋_GB2312" w:cs="仿宋"/>
          <w:color w:val="000000"/>
          <w:kern w:val="0"/>
          <w:sz w:val="32"/>
          <w:szCs w:val="32"/>
        </w:rPr>
      </w:pPr>
      <w:r>
        <w:rPr>
          <w:rFonts w:ascii="仿宋_GB2312" w:hAnsi="Calibri" w:eastAsia="仿宋_GB2312" w:cs="仿宋"/>
          <w:color w:val="000000"/>
          <w:kern w:val="0"/>
          <w:sz w:val="32"/>
          <w:szCs w:val="32"/>
        </w:rPr>
        <w:t>9.</w:t>
      </w:r>
      <w:r>
        <w:rPr>
          <w:rFonts w:hint="eastAsia" w:ascii="仿宋_GB2312" w:hAnsi="Calibri" w:eastAsia="仿宋_GB2312" w:cs="仿宋"/>
          <w:color w:val="000000"/>
          <w:kern w:val="0"/>
          <w:sz w:val="32"/>
          <w:szCs w:val="32"/>
        </w:rPr>
        <w:t>社会保障和就业支出（类）行政事业单位养老支出（款）机关事业单位基本养老保险缴费支出（项）</w:t>
      </w:r>
      <w:r>
        <w:rPr>
          <w:rFonts w:ascii="仿宋_GB2312" w:hAnsi="Calibri" w:eastAsia="仿宋_GB2312" w:cs="仿宋"/>
          <w:color w:val="000000"/>
          <w:kern w:val="0"/>
          <w:sz w:val="32"/>
          <w:szCs w:val="32"/>
        </w:rPr>
        <w:t xml:space="preserve">: </w:t>
      </w:r>
      <w:r>
        <w:rPr>
          <w:rFonts w:hint="eastAsia" w:ascii="仿宋_GB2312" w:hAnsi="Calibri" w:eastAsia="仿宋_GB2312" w:cs="仿宋"/>
          <w:color w:val="000000"/>
          <w:kern w:val="0"/>
          <w:sz w:val="32"/>
          <w:szCs w:val="32"/>
        </w:rPr>
        <w:t>指机关事业单位实施养老保险制度由单位缴纳的基本养老保险费支出。</w:t>
      </w:r>
    </w:p>
    <w:p>
      <w:pPr>
        <w:pStyle w:val="16"/>
        <w:ind w:left="0" w:leftChars="0" w:firstLine="31680"/>
      </w:pPr>
      <w:r>
        <w:rPr>
          <w:rFonts w:ascii="仿宋_GB2312" w:hAnsi="Calibri" w:eastAsia="仿宋_GB2312" w:cs="仿宋"/>
          <w:color w:val="000000"/>
          <w:kern w:val="0"/>
          <w:sz w:val="32"/>
          <w:szCs w:val="32"/>
        </w:rPr>
        <w:t>10.</w:t>
      </w:r>
      <w:r>
        <w:rPr>
          <w:rFonts w:hint="eastAsia" w:ascii="仿宋_GB2312" w:hAnsi="Calibri" w:eastAsia="仿宋_GB2312" w:cs="仿宋"/>
          <w:color w:val="000000"/>
          <w:kern w:val="0"/>
          <w:sz w:val="32"/>
          <w:szCs w:val="32"/>
        </w:rPr>
        <w:t>社会保障和就业支出（类）其他社会保障和就业支出（款）其他社会保障和就业支出（项）</w:t>
      </w:r>
      <w:r>
        <w:rPr>
          <w:rFonts w:ascii="仿宋_GB2312" w:hAnsi="Calibri" w:eastAsia="仿宋_GB2312" w:cs="仿宋"/>
          <w:color w:val="000000"/>
          <w:kern w:val="0"/>
          <w:sz w:val="32"/>
          <w:szCs w:val="32"/>
        </w:rPr>
        <w:t xml:space="preserve">: </w:t>
      </w:r>
      <w:r>
        <w:rPr>
          <w:rFonts w:hint="eastAsia" w:ascii="仿宋_GB2312" w:hAnsi="Calibri" w:eastAsia="仿宋_GB2312" w:cs="仿宋"/>
          <w:color w:val="000000"/>
          <w:kern w:val="0"/>
          <w:sz w:val="32"/>
          <w:szCs w:val="32"/>
        </w:rPr>
        <w:t>指其他用于社会保障和就业方面的支出。</w:t>
      </w:r>
    </w:p>
    <w:p>
      <w:pPr>
        <w:pStyle w:val="2"/>
        <w:spacing w:before="93"/>
        <w:ind w:firstLine="640" w:firstLineChars="200"/>
      </w:pPr>
      <w:r>
        <w:rPr>
          <w:rFonts w:hAnsi="Calibri" w:cs="仿宋"/>
          <w:color w:val="000000"/>
          <w:sz w:val="32"/>
          <w:szCs w:val="32"/>
        </w:rPr>
        <w:t>11.</w:t>
      </w:r>
      <w:r>
        <w:rPr>
          <w:rFonts w:hint="eastAsia" w:hAnsi="Calibri" w:cs="仿宋"/>
          <w:color w:val="000000"/>
          <w:sz w:val="32"/>
          <w:szCs w:val="32"/>
        </w:rPr>
        <w:t>卫生健康（类）行政事业单位医疗（款）事业单位医疗（项）：指财政部门安排的事业单位基本医疗保险缴费经费，未参加医疗保险的事业单位的公费医疗经费，按国家规定享受离休人员待遇的医疗保险。</w:t>
      </w:r>
    </w:p>
    <w:p>
      <w:pPr>
        <w:pStyle w:val="2"/>
        <w:spacing w:before="93"/>
        <w:ind w:firstLine="640" w:firstLineChars="200"/>
      </w:pPr>
      <w:r>
        <w:rPr>
          <w:rFonts w:hAnsi="Calibri" w:cs="仿宋"/>
          <w:color w:val="000000"/>
          <w:sz w:val="32"/>
          <w:szCs w:val="32"/>
        </w:rPr>
        <w:t>12.</w:t>
      </w:r>
      <w:r>
        <w:rPr>
          <w:rFonts w:hint="eastAsia" w:hAnsi="Calibri" w:cs="仿宋"/>
          <w:color w:val="000000"/>
          <w:sz w:val="32"/>
          <w:szCs w:val="32"/>
        </w:rPr>
        <w:t>住房保障支出（类）住房改革支出（款）住房公积金（项）：指行政事业单位按人力资源和社会保障部、财政部规定的基本工资和津贴补贴以及规定比例为职工缴纳的住房公积金。</w:t>
      </w:r>
    </w:p>
    <w:p>
      <w:pPr>
        <w:ind w:firstLine="640" w:firstLineChars="200"/>
        <w:rPr>
          <w:rFonts w:ascii="仿宋_GB2312" w:eastAsia="仿宋_GB2312"/>
          <w:sz w:val="32"/>
          <w:szCs w:val="32"/>
        </w:rPr>
      </w:pPr>
      <w:r>
        <w:rPr>
          <w:rFonts w:ascii="仿宋_GB2312" w:eastAsia="仿宋_GB2312"/>
          <w:sz w:val="32"/>
          <w:szCs w:val="32"/>
        </w:rPr>
        <w:t>13.</w:t>
      </w:r>
      <w:r>
        <w:rPr>
          <w:rFonts w:hint="eastAsia" w:ascii="仿宋_GB2312" w:eastAsia="仿宋_GB2312"/>
          <w:sz w:val="32"/>
          <w:szCs w:val="32"/>
        </w:rPr>
        <w:t>基本支出：指为保障机构正常运转、完成日常工作任务而发生的人员支出和公用支出。</w:t>
      </w:r>
    </w:p>
    <w:p>
      <w:pPr>
        <w:ind w:firstLine="640" w:firstLineChars="200"/>
        <w:rPr>
          <w:rFonts w:ascii="仿宋_GB2312" w:eastAsia="仿宋_GB2312"/>
          <w:sz w:val="32"/>
          <w:szCs w:val="32"/>
        </w:rPr>
      </w:pPr>
      <w:r>
        <w:rPr>
          <w:rFonts w:ascii="仿宋_GB2312" w:eastAsia="仿宋_GB2312"/>
          <w:sz w:val="32"/>
          <w:szCs w:val="32"/>
        </w:rPr>
        <w:t>14.</w:t>
      </w:r>
      <w:r>
        <w:rPr>
          <w:rFonts w:hint="eastAsia" w:ascii="仿宋_GB2312" w:eastAsia="仿宋_GB2312"/>
          <w:sz w:val="32"/>
          <w:szCs w:val="32"/>
        </w:rPr>
        <w:t>项目支出：指在基本支出之外为完成特定行政任务和事业发展目标所发生的支出。</w:t>
      </w:r>
    </w:p>
    <w:p>
      <w:pPr>
        <w:pStyle w:val="3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15.</w:t>
      </w:r>
      <w:r>
        <w:rPr>
          <w:rFonts w:hint="eastAsia" w:ascii="仿宋_GB2312" w:eastAsia="仿宋_GB2312"/>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bookmarkStart w:id="51" w:name="_Toc15377226"/>
    </w:p>
    <w:p>
      <w:pPr>
        <w:pStyle w:val="36"/>
        <w:spacing w:line="560" w:lineRule="exact"/>
        <w:ind w:firstLine="883" w:firstLineChars="200"/>
        <w:jc w:val="center"/>
        <w:rPr>
          <w:rStyle w:val="22"/>
          <w:rFonts w:ascii="黑体" w:hAnsi="黑体" w:eastAsia="黑体" w:cs="仿宋"/>
          <w:b w:val="0"/>
          <w:color w:val="auto"/>
        </w:rPr>
      </w:pPr>
      <w:r>
        <w:rPr>
          <w:rFonts w:ascii="宋体"/>
          <w:b/>
          <w:color w:val="auto"/>
          <w:sz w:val="44"/>
          <w:szCs w:val="44"/>
        </w:rPr>
        <w:br w:type="page"/>
      </w:r>
      <w:bookmarkStart w:id="52" w:name="_Toc15396614"/>
      <w:r>
        <w:rPr>
          <w:rFonts w:hint="eastAsia" w:ascii="黑体" w:hAnsi="黑体" w:eastAsia="黑体"/>
          <w:color w:val="auto"/>
          <w:sz w:val="44"/>
          <w:szCs w:val="44"/>
        </w:rPr>
        <w:t>第</w:t>
      </w:r>
      <w:r>
        <w:rPr>
          <w:rStyle w:val="22"/>
          <w:rFonts w:hint="eastAsia" w:ascii="黑体" w:hAnsi="黑体" w:eastAsia="黑体" w:cs="仿宋"/>
          <w:b w:val="0"/>
          <w:color w:val="auto"/>
        </w:rPr>
        <w:t>四部分</w:t>
      </w:r>
      <w:r>
        <w:rPr>
          <w:rStyle w:val="22"/>
          <w:rFonts w:ascii="黑体" w:hAnsi="黑体" w:eastAsia="黑体" w:cs="仿宋"/>
          <w:b w:val="0"/>
          <w:color w:val="auto"/>
        </w:rPr>
        <w:t xml:space="preserve"> </w:t>
      </w:r>
      <w:r>
        <w:rPr>
          <w:rStyle w:val="22"/>
          <w:rFonts w:hint="eastAsia" w:ascii="黑体" w:hAnsi="黑体" w:eastAsia="黑体" w:cs="仿宋"/>
          <w:b w:val="0"/>
          <w:color w:val="auto"/>
        </w:rPr>
        <w:t>附件</w:t>
      </w:r>
      <w:bookmarkEnd w:id="52"/>
    </w:p>
    <w:p>
      <w:pPr>
        <w:spacing w:line="572" w:lineRule="exact"/>
        <w:jc w:val="left"/>
        <w:outlineLvl w:val="0"/>
        <w:rPr>
          <w:rFonts w:ascii="仿宋_GB2312" w:hAnsi="仿宋_GB2312" w:eastAsia="黑体" w:cs="仿宋_GB2312"/>
          <w:sz w:val="32"/>
          <w:szCs w:val="32"/>
        </w:rPr>
      </w:pPr>
      <w:r>
        <w:rPr>
          <w:rFonts w:hint="eastAsia" w:ascii="黑体" w:hAnsi="黑体" w:eastAsia="黑体" w:cs="黑体"/>
          <w:sz w:val="32"/>
          <w:szCs w:val="32"/>
        </w:rPr>
        <w:t>附件</w:t>
      </w:r>
      <w:r>
        <w:rPr>
          <w:rFonts w:ascii="黑体" w:hAnsi="黑体" w:eastAsia="黑体" w:cs="黑体"/>
          <w:sz w:val="32"/>
          <w:szCs w:val="32"/>
        </w:rPr>
        <w:t>1</w:t>
      </w:r>
    </w:p>
    <w:tbl>
      <w:tblPr>
        <w:tblStyle w:val="17"/>
        <w:tblpPr w:leftFromText="180" w:rightFromText="180" w:vertAnchor="text" w:horzAnchor="page" w:tblpX="1702" w:tblpY="109"/>
        <w:tblOverlap w:val="never"/>
        <w:tblW w:w="9454" w:type="dxa"/>
        <w:tblInd w:w="0" w:type="dxa"/>
        <w:tblLayout w:type="fixed"/>
        <w:tblCellMar>
          <w:top w:w="0" w:type="dxa"/>
          <w:left w:w="108" w:type="dxa"/>
          <w:bottom w:w="0" w:type="dxa"/>
          <w:right w:w="108" w:type="dxa"/>
        </w:tblCellMar>
      </w:tblPr>
      <w:tblGrid>
        <w:gridCol w:w="1113"/>
        <w:gridCol w:w="1005"/>
        <w:gridCol w:w="1215"/>
        <w:gridCol w:w="2385"/>
        <w:gridCol w:w="1178"/>
        <w:gridCol w:w="2322"/>
        <w:gridCol w:w="236"/>
      </w:tblGrid>
      <w:tr>
        <w:tblPrEx>
          <w:tblCellMar>
            <w:top w:w="0" w:type="dxa"/>
            <w:left w:w="108" w:type="dxa"/>
            <w:bottom w:w="0" w:type="dxa"/>
            <w:right w:w="108" w:type="dxa"/>
          </w:tblCellMar>
        </w:tblPrEx>
        <w:trPr>
          <w:trHeight w:val="739" w:hRule="atLeast"/>
        </w:trPr>
        <w:tc>
          <w:tcPr>
            <w:tcW w:w="9218" w:type="dxa"/>
            <w:gridSpan w:val="6"/>
            <w:tcBorders>
              <w:top w:val="nil"/>
              <w:left w:val="nil"/>
              <w:bottom w:val="nil"/>
              <w:right w:val="nil"/>
            </w:tcBorders>
            <w:vAlign w:val="center"/>
          </w:tcPr>
          <w:p>
            <w:pPr>
              <w:widowControl/>
              <w:jc w:val="center"/>
              <w:textAlignment w:val="center"/>
              <w:rPr>
                <w:rFonts w:ascii="宋体" w:cs="宋体"/>
                <w:b/>
                <w:sz w:val="32"/>
                <w:szCs w:val="32"/>
              </w:rPr>
            </w:pPr>
            <w:bookmarkStart w:id="53" w:name="_Toc15396618"/>
            <w:r>
              <w:rPr>
                <w:rFonts w:ascii="宋体" w:hAnsi="宋体" w:cs="宋体"/>
                <w:b/>
                <w:sz w:val="32"/>
                <w:szCs w:val="32"/>
              </w:rPr>
              <w:t>2021</w:t>
            </w:r>
            <w:r>
              <w:rPr>
                <w:rFonts w:hint="eastAsia" w:ascii="宋体" w:hAnsi="宋体" w:cs="宋体"/>
                <w:b/>
                <w:sz w:val="32"/>
                <w:szCs w:val="32"/>
              </w:rPr>
              <w:t>年部门预算项目绩效目标自评（乡村少年宫运行经费）</w:t>
            </w:r>
          </w:p>
        </w:tc>
        <w:tc>
          <w:tcPr>
            <w:tcW w:w="236" w:type="dxa"/>
            <w:tcBorders>
              <w:top w:val="nil"/>
              <w:left w:val="nil"/>
              <w:bottom w:val="nil"/>
              <w:right w:val="nil"/>
            </w:tcBorders>
            <w:vAlign w:val="center"/>
          </w:tcPr>
          <w:p>
            <w:pPr>
              <w:widowControl/>
              <w:jc w:val="center"/>
              <w:textAlignment w:val="center"/>
              <w:rPr>
                <w:rFonts w:ascii="宋体" w:cs="宋体"/>
                <w:b/>
                <w:kern w:val="0"/>
                <w:sz w:val="32"/>
                <w:szCs w:val="32"/>
              </w:rPr>
            </w:pPr>
          </w:p>
        </w:tc>
      </w:tr>
      <w:tr>
        <w:tblPrEx>
          <w:tblCellMar>
            <w:top w:w="0" w:type="dxa"/>
            <w:left w:w="108" w:type="dxa"/>
            <w:bottom w:w="0" w:type="dxa"/>
            <w:right w:w="108" w:type="dxa"/>
          </w:tblCellMar>
        </w:tblPrEx>
        <w:trPr>
          <w:gridAfter w:val="1"/>
          <w:wAfter w:w="236" w:type="dxa"/>
          <w:trHeight w:val="391" w:hRule="atLeast"/>
        </w:trPr>
        <w:tc>
          <w:tcPr>
            <w:tcW w:w="2118"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cs="宋体"/>
                <w:sz w:val="24"/>
              </w:rPr>
            </w:pPr>
            <w:r>
              <w:rPr>
                <w:rFonts w:hint="eastAsia" w:ascii="宋体" w:hAnsi="宋体" w:cs="宋体"/>
                <w:kern w:val="0"/>
                <w:sz w:val="24"/>
              </w:rPr>
              <w:t>主管部门及代码</w:t>
            </w:r>
          </w:p>
        </w:tc>
        <w:tc>
          <w:tcPr>
            <w:tcW w:w="360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320" w:lineRule="exact"/>
              <w:textAlignment w:val="center"/>
              <w:rPr>
                <w:rFonts w:ascii="宋体" w:cs="宋体"/>
                <w:sz w:val="24"/>
              </w:rPr>
            </w:pPr>
            <w:r>
              <w:rPr>
                <w:rFonts w:ascii="宋体" w:hAnsi="宋体" w:cs="宋体"/>
                <w:sz w:val="24"/>
              </w:rPr>
              <w:t>360322</w:t>
            </w:r>
          </w:p>
        </w:tc>
        <w:tc>
          <w:tcPr>
            <w:tcW w:w="1178"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cs="宋体"/>
                <w:sz w:val="24"/>
              </w:rPr>
            </w:pPr>
            <w:r>
              <w:rPr>
                <w:rFonts w:hint="eastAsia" w:ascii="宋体" w:hAnsi="宋体" w:cs="宋体"/>
                <w:kern w:val="0"/>
                <w:sz w:val="24"/>
              </w:rPr>
              <w:t>实施单位</w:t>
            </w:r>
          </w:p>
        </w:tc>
        <w:tc>
          <w:tcPr>
            <w:tcW w:w="2322"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textAlignment w:val="center"/>
              <w:rPr>
                <w:rFonts w:ascii="宋体" w:cs="宋体"/>
                <w:sz w:val="24"/>
              </w:rPr>
            </w:pPr>
            <w:r>
              <w:rPr>
                <w:rFonts w:hint="eastAsia" w:ascii="宋体" w:hAnsi="宋体" w:cs="宋体"/>
                <w:sz w:val="24"/>
              </w:rPr>
              <w:t>广元市昭化区太公镇小学</w:t>
            </w:r>
          </w:p>
        </w:tc>
      </w:tr>
      <w:tr>
        <w:trPr>
          <w:gridAfter w:val="1"/>
          <w:wAfter w:w="236" w:type="dxa"/>
          <w:trHeight w:val="415" w:hRule="atLeast"/>
        </w:trPr>
        <w:tc>
          <w:tcPr>
            <w:tcW w:w="2118"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cs="宋体"/>
                <w:kern w:val="0"/>
                <w:sz w:val="24"/>
              </w:rPr>
            </w:pPr>
            <w:r>
              <w:rPr>
                <w:rFonts w:hint="eastAsia" w:ascii="宋体" w:hAnsi="宋体" w:cs="宋体"/>
                <w:kern w:val="0"/>
                <w:sz w:val="24"/>
              </w:rPr>
              <w:t>项目预算</w:t>
            </w:r>
          </w:p>
          <w:p>
            <w:pPr>
              <w:widowControl/>
              <w:spacing w:line="320" w:lineRule="exact"/>
              <w:jc w:val="center"/>
              <w:textAlignment w:val="center"/>
              <w:rPr>
                <w:rFonts w:ascii="宋体" w:cs="宋体"/>
                <w:kern w:val="0"/>
                <w:sz w:val="24"/>
              </w:rPr>
            </w:pPr>
            <w:r>
              <w:rPr>
                <w:rFonts w:hint="eastAsia" w:ascii="宋体" w:hAnsi="宋体" w:cs="宋体"/>
                <w:kern w:val="0"/>
                <w:sz w:val="24"/>
              </w:rPr>
              <w:t>执行情况</w:t>
            </w:r>
          </w:p>
          <w:p>
            <w:pPr>
              <w:widowControl/>
              <w:spacing w:line="320" w:lineRule="exact"/>
              <w:jc w:val="center"/>
              <w:textAlignment w:val="center"/>
              <w:rPr>
                <w:rFonts w:ascii="宋体" w:cs="宋体"/>
                <w:sz w:val="24"/>
              </w:rPr>
            </w:pPr>
            <w:r>
              <w:rPr>
                <w:rFonts w:hint="eastAsia" w:ascii="宋体" w:hAnsi="宋体" w:cs="宋体"/>
                <w:kern w:val="0"/>
                <w:sz w:val="24"/>
              </w:rPr>
              <w:t>（万元）</w:t>
            </w: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left"/>
              <w:textAlignment w:val="center"/>
              <w:rPr>
                <w:rFonts w:ascii="宋体" w:cs="宋体"/>
                <w:sz w:val="24"/>
              </w:rPr>
            </w:pPr>
            <w:r>
              <w:rPr>
                <w:rFonts w:ascii="宋体" w:hAnsi="宋体" w:cs="宋体"/>
                <w:kern w:val="0"/>
                <w:sz w:val="24"/>
              </w:rPr>
              <w:t xml:space="preserve"> </w:t>
            </w:r>
            <w:r>
              <w:rPr>
                <w:rFonts w:hint="eastAsia" w:ascii="宋体" w:hAnsi="宋体" w:cs="宋体"/>
                <w:kern w:val="0"/>
                <w:sz w:val="24"/>
              </w:rPr>
              <w:t>预算数：</w:t>
            </w:r>
          </w:p>
        </w:tc>
        <w:tc>
          <w:tcPr>
            <w:tcW w:w="238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cs="宋体"/>
                <w:sz w:val="24"/>
              </w:rPr>
            </w:pPr>
            <w:r>
              <w:rPr>
                <w:rFonts w:ascii="宋体" w:hAnsi="宋体" w:cs="宋体"/>
                <w:sz w:val="24"/>
              </w:rPr>
              <w:t>1.52</w:t>
            </w:r>
          </w:p>
        </w:tc>
        <w:tc>
          <w:tcPr>
            <w:tcW w:w="1178"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left"/>
              <w:textAlignment w:val="center"/>
              <w:rPr>
                <w:rFonts w:ascii="宋体" w:cs="宋体"/>
                <w:sz w:val="24"/>
              </w:rPr>
            </w:pPr>
            <w:r>
              <w:rPr>
                <w:rFonts w:ascii="宋体" w:hAnsi="宋体" w:cs="宋体"/>
                <w:kern w:val="0"/>
                <w:sz w:val="24"/>
              </w:rPr>
              <w:t xml:space="preserve"> </w:t>
            </w:r>
            <w:r>
              <w:rPr>
                <w:rFonts w:hint="eastAsia" w:ascii="宋体" w:hAnsi="宋体" w:cs="宋体"/>
                <w:kern w:val="0"/>
                <w:sz w:val="24"/>
              </w:rPr>
              <w:t>执行数：</w:t>
            </w:r>
          </w:p>
        </w:tc>
        <w:tc>
          <w:tcPr>
            <w:tcW w:w="2322"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cs="宋体"/>
                <w:sz w:val="24"/>
              </w:rPr>
            </w:pPr>
            <w:r>
              <w:rPr>
                <w:rFonts w:ascii="宋体" w:hAnsi="宋体" w:cs="宋体"/>
                <w:sz w:val="24"/>
              </w:rPr>
              <w:t>1.52</w:t>
            </w:r>
          </w:p>
        </w:tc>
      </w:tr>
      <w:tr>
        <w:tblPrEx>
          <w:tblCellMar>
            <w:top w:w="0" w:type="dxa"/>
            <w:left w:w="108" w:type="dxa"/>
            <w:bottom w:w="0" w:type="dxa"/>
            <w:right w:w="108" w:type="dxa"/>
          </w:tblCellMar>
        </w:tblPrEx>
        <w:trPr>
          <w:gridAfter w:val="1"/>
          <w:wAfter w:w="236" w:type="dxa"/>
          <w:trHeight w:val="762"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宋体" w:cs="宋体"/>
                <w:sz w:val="24"/>
              </w:rPr>
            </w:pP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left"/>
              <w:textAlignment w:val="center"/>
              <w:rPr>
                <w:rFonts w:ascii="宋体" w:cs="宋体"/>
                <w:kern w:val="0"/>
                <w:sz w:val="24"/>
              </w:rPr>
            </w:pPr>
            <w:r>
              <w:rPr>
                <w:rFonts w:hint="eastAsia" w:ascii="宋体" w:hAnsi="宋体" w:cs="宋体"/>
                <w:kern w:val="0"/>
                <w:sz w:val="24"/>
              </w:rPr>
              <w:t>其中：</w:t>
            </w:r>
          </w:p>
          <w:p>
            <w:pPr>
              <w:widowControl/>
              <w:spacing w:line="320" w:lineRule="exact"/>
              <w:jc w:val="left"/>
              <w:textAlignment w:val="center"/>
              <w:rPr>
                <w:rFonts w:ascii="宋体" w:cs="宋体"/>
                <w:sz w:val="24"/>
              </w:rPr>
            </w:pPr>
            <w:r>
              <w:rPr>
                <w:rFonts w:hint="eastAsia" w:ascii="宋体" w:hAnsi="宋体" w:cs="宋体"/>
                <w:kern w:val="0"/>
                <w:sz w:val="24"/>
              </w:rPr>
              <w:t>财政拨款</w:t>
            </w:r>
          </w:p>
        </w:tc>
        <w:tc>
          <w:tcPr>
            <w:tcW w:w="238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cs="宋体"/>
                <w:sz w:val="24"/>
              </w:rPr>
            </w:pPr>
            <w:r>
              <w:rPr>
                <w:rFonts w:ascii="宋体" w:hAnsi="宋体" w:cs="宋体"/>
                <w:sz w:val="24"/>
              </w:rPr>
              <w:t>1.52</w:t>
            </w:r>
          </w:p>
        </w:tc>
        <w:tc>
          <w:tcPr>
            <w:tcW w:w="1178"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left"/>
              <w:textAlignment w:val="center"/>
              <w:rPr>
                <w:rFonts w:ascii="宋体" w:cs="宋体"/>
                <w:kern w:val="0"/>
                <w:sz w:val="24"/>
              </w:rPr>
            </w:pPr>
            <w:r>
              <w:rPr>
                <w:rFonts w:hint="eastAsia" w:ascii="宋体" w:hAnsi="宋体" w:cs="宋体"/>
                <w:kern w:val="0"/>
                <w:sz w:val="24"/>
              </w:rPr>
              <w:t>其中：</w:t>
            </w:r>
          </w:p>
          <w:p>
            <w:pPr>
              <w:widowControl/>
              <w:spacing w:line="320" w:lineRule="exact"/>
              <w:jc w:val="left"/>
              <w:textAlignment w:val="center"/>
              <w:rPr>
                <w:rFonts w:ascii="宋体" w:cs="宋体"/>
                <w:sz w:val="24"/>
              </w:rPr>
            </w:pPr>
            <w:r>
              <w:rPr>
                <w:rFonts w:hint="eastAsia" w:ascii="宋体" w:hAnsi="宋体" w:cs="宋体"/>
                <w:kern w:val="0"/>
                <w:sz w:val="24"/>
              </w:rPr>
              <w:t>财政拨款</w:t>
            </w:r>
          </w:p>
        </w:tc>
        <w:tc>
          <w:tcPr>
            <w:tcW w:w="2322"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cs="宋体"/>
                <w:sz w:val="24"/>
              </w:rPr>
            </w:pPr>
            <w:r>
              <w:rPr>
                <w:rFonts w:ascii="宋体" w:hAnsi="宋体" w:cs="宋体"/>
                <w:sz w:val="24"/>
              </w:rPr>
              <w:t>1.52</w:t>
            </w:r>
          </w:p>
        </w:tc>
      </w:tr>
      <w:tr>
        <w:tblPrEx>
          <w:tblCellMar>
            <w:top w:w="0" w:type="dxa"/>
            <w:left w:w="108" w:type="dxa"/>
            <w:bottom w:w="0" w:type="dxa"/>
            <w:right w:w="108" w:type="dxa"/>
          </w:tblCellMar>
        </w:tblPrEx>
        <w:trPr>
          <w:gridAfter w:val="1"/>
          <w:wAfter w:w="236" w:type="dxa"/>
          <w:trHeight w:val="415"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宋体" w:cs="宋体"/>
                <w:sz w:val="24"/>
              </w:rPr>
            </w:pP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left"/>
              <w:textAlignment w:val="center"/>
              <w:rPr>
                <w:rFonts w:ascii="宋体" w:cs="宋体"/>
                <w:sz w:val="24"/>
              </w:rPr>
            </w:pPr>
            <w:r>
              <w:rPr>
                <w:rFonts w:hint="eastAsia" w:ascii="宋体" w:hAnsi="宋体" w:cs="宋体"/>
                <w:kern w:val="0"/>
                <w:sz w:val="24"/>
              </w:rPr>
              <w:t>其他资金</w:t>
            </w:r>
          </w:p>
        </w:tc>
        <w:tc>
          <w:tcPr>
            <w:tcW w:w="238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left"/>
              <w:textAlignment w:val="center"/>
              <w:rPr>
                <w:rFonts w:ascii="宋体" w:cs="宋体"/>
                <w:sz w:val="24"/>
              </w:rPr>
            </w:pPr>
          </w:p>
        </w:tc>
        <w:tc>
          <w:tcPr>
            <w:tcW w:w="1178"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left"/>
              <w:textAlignment w:val="center"/>
              <w:rPr>
                <w:rFonts w:ascii="宋体" w:cs="宋体"/>
                <w:sz w:val="24"/>
              </w:rPr>
            </w:pPr>
            <w:r>
              <w:rPr>
                <w:rFonts w:hint="eastAsia" w:ascii="宋体" w:hAnsi="宋体" w:cs="宋体"/>
                <w:kern w:val="0"/>
                <w:sz w:val="24"/>
              </w:rPr>
              <w:t>其他资金</w:t>
            </w:r>
          </w:p>
        </w:tc>
        <w:tc>
          <w:tcPr>
            <w:tcW w:w="2322"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cs="宋体"/>
                <w:sz w:val="24"/>
              </w:rPr>
            </w:pPr>
          </w:p>
        </w:tc>
      </w:tr>
      <w:tr>
        <w:tblPrEx>
          <w:tblCellMar>
            <w:top w:w="0" w:type="dxa"/>
            <w:left w:w="108" w:type="dxa"/>
            <w:bottom w:w="0" w:type="dxa"/>
            <w:right w:w="108" w:type="dxa"/>
          </w:tblCellMar>
        </w:tblPrEx>
        <w:trPr>
          <w:gridAfter w:val="1"/>
          <w:wAfter w:w="236" w:type="dxa"/>
          <w:trHeight w:val="391" w:hRule="atLeast"/>
        </w:trPr>
        <w:tc>
          <w:tcPr>
            <w:tcW w:w="1113"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cs="宋体"/>
                <w:kern w:val="0"/>
                <w:sz w:val="24"/>
              </w:rPr>
            </w:pPr>
            <w:r>
              <w:rPr>
                <w:rFonts w:hint="eastAsia" w:ascii="宋体" w:hAnsi="宋体" w:cs="宋体"/>
                <w:kern w:val="0"/>
                <w:sz w:val="24"/>
              </w:rPr>
              <w:t>年度总体目标</w:t>
            </w:r>
          </w:p>
          <w:p>
            <w:pPr>
              <w:widowControl/>
              <w:spacing w:line="320" w:lineRule="exact"/>
              <w:jc w:val="center"/>
              <w:textAlignment w:val="center"/>
              <w:rPr>
                <w:rFonts w:ascii="宋体" w:cs="宋体"/>
                <w:sz w:val="24"/>
              </w:rPr>
            </w:pPr>
            <w:r>
              <w:rPr>
                <w:rFonts w:hint="eastAsia" w:ascii="宋体" w:hAnsi="宋体" w:cs="宋体"/>
                <w:kern w:val="0"/>
                <w:sz w:val="24"/>
              </w:rPr>
              <w:t>完成情况</w:t>
            </w:r>
          </w:p>
        </w:tc>
        <w:tc>
          <w:tcPr>
            <w:tcW w:w="4605"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cs="宋体"/>
                <w:sz w:val="24"/>
              </w:rPr>
            </w:pPr>
            <w:r>
              <w:rPr>
                <w:rFonts w:hint="eastAsia" w:ascii="宋体" w:hAnsi="宋体" w:cs="宋体"/>
                <w:kern w:val="0"/>
                <w:sz w:val="24"/>
              </w:rPr>
              <w:t>预期目标</w:t>
            </w:r>
          </w:p>
        </w:tc>
        <w:tc>
          <w:tcPr>
            <w:tcW w:w="350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cs="宋体"/>
                <w:sz w:val="24"/>
              </w:rPr>
            </w:pPr>
            <w:r>
              <w:rPr>
                <w:rFonts w:hint="eastAsia" w:ascii="宋体" w:hAnsi="宋体" w:cs="宋体"/>
                <w:kern w:val="0"/>
                <w:sz w:val="24"/>
              </w:rPr>
              <w:t>目标实际完成情况</w:t>
            </w:r>
          </w:p>
        </w:tc>
      </w:tr>
      <w:tr>
        <w:tblPrEx>
          <w:tblCellMar>
            <w:top w:w="0" w:type="dxa"/>
            <w:left w:w="108" w:type="dxa"/>
            <w:bottom w:w="0" w:type="dxa"/>
            <w:right w:w="108" w:type="dxa"/>
          </w:tblCellMar>
        </w:tblPrEx>
        <w:trPr>
          <w:gridAfter w:val="1"/>
          <w:wAfter w:w="236" w:type="dxa"/>
          <w:trHeight w:val="943" w:hRule="atLeast"/>
        </w:trPr>
        <w:tc>
          <w:tcPr>
            <w:tcW w:w="1113" w:type="dxa"/>
            <w:vMerge w:val="continue"/>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宋体" w:cs="宋体"/>
                <w:sz w:val="24"/>
              </w:rPr>
            </w:pPr>
          </w:p>
        </w:tc>
        <w:tc>
          <w:tcPr>
            <w:tcW w:w="4605" w:type="dxa"/>
            <w:gridSpan w:val="3"/>
            <w:tcBorders>
              <w:top w:val="single" w:color="000000" w:sz="4" w:space="0"/>
              <w:left w:val="single" w:color="000000" w:sz="4" w:space="0"/>
              <w:bottom w:val="single" w:color="000000" w:sz="4" w:space="0"/>
              <w:right w:val="single" w:color="000000" w:sz="4" w:space="0"/>
            </w:tcBorders>
          </w:tcPr>
          <w:p>
            <w:pPr>
              <w:widowControl/>
              <w:spacing w:line="320" w:lineRule="exact"/>
              <w:jc w:val="left"/>
              <w:textAlignment w:val="top"/>
              <w:rPr>
                <w:rFonts w:ascii="宋体" w:cs="宋体"/>
                <w:sz w:val="24"/>
              </w:rPr>
            </w:pPr>
            <w:r>
              <w:rPr>
                <w:rFonts w:hint="eastAsia" w:ascii="宋体" w:hAnsi="宋体" w:cs="宋体"/>
                <w:sz w:val="22"/>
                <w:szCs w:val="22"/>
              </w:rPr>
              <w:t>保障乡村少年宫正常运转。将</w:t>
            </w:r>
            <w:r>
              <w:rPr>
                <w:rFonts w:hint="eastAsia" w:ascii="宋体" w:cs="宋体"/>
                <w:sz w:val="22"/>
                <w:szCs w:val="22"/>
              </w:rPr>
              <w:t>“</w:t>
            </w:r>
            <w:r>
              <w:rPr>
                <w:rFonts w:hint="eastAsia" w:ascii="宋体" w:hAnsi="宋体" w:cs="宋体"/>
                <w:sz w:val="22"/>
                <w:szCs w:val="22"/>
              </w:rPr>
              <w:t>乡村学校少年宫</w:t>
            </w:r>
            <w:r>
              <w:rPr>
                <w:rFonts w:hint="eastAsia" w:ascii="宋体" w:cs="宋体"/>
                <w:sz w:val="22"/>
                <w:szCs w:val="22"/>
              </w:rPr>
              <w:t>”</w:t>
            </w:r>
            <w:r>
              <w:rPr>
                <w:rFonts w:hint="eastAsia" w:ascii="宋体" w:hAnsi="宋体" w:cs="宋体"/>
                <w:sz w:val="22"/>
                <w:szCs w:val="22"/>
              </w:rPr>
              <w:t>建设成满足学生精神文化需求、促进学生全面发展、深化学生素质教育的有效载体，建设成家长认可、布局合理、功能完备的未成年人教育阵地。</w:t>
            </w:r>
          </w:p>
        </w:tc>
        <w:tc>
          <w:tcPr>
            <w:tcW w:w="3500" w:type="dxa"/>
            <w:gridSpan w:val="2"/>
            <w:tcBorders>
              <w:top w:val="single" w:color="000000" w:sz="4" w:space="0"/>
              <w:left w:val="single" w:color="000000" w:sz="4" w:space="0"/>
              <w:bottom w:val="single" w:color="000000" w:sz="4" w:space="0"/>
              <w:right w:val="single" w:color="000000" w:sz="4" w:space="0"/>
            </w:tcBorders>
          </w:tcPr>
          <w:p>
            <w:pPr>
              <w:widowControl/>
              <w:spacing w:line="320" w:lineRule="exact"/>
              <w:jc w:val="left"/>
              <w:textAlignment w:val="top"/>
              <w:rPr>
                <w:rFonts w:ascii="宋体" w:cs="宋体"/>
                <w:sz w:val="24"/>
              </w:rPr>
            </w:pPr>
            <w:r>
              <w:rPr>
                <w:rFonts w:hint="eastAsia" w:ascii="宋体" w:hAnsi="宋体" w:cs="宋体"/>
                <w:sz w:val="22"/>
                <w:szCs w:val="22"/>
              </w:rPr>
              <w:t>保障了乡村少年宫的正常运转。满足了学生精神文化需求、促进了学生全面发展，是家长认可、布局合理、功能完备的未成年人教育阵地。</w:t>
            </w:r>
          </w:p>
        </w:tc>
      </w:tr>
      <w:tr>
        <w:tblPrEx>
          <w:tblCellMar>
            <w:top w:w="0" w:type="dxa"/>
            <w:left w:w="108" w:type="dxa"/>
            <w:bottom w:w="0" w:type="dxa"/>
            <w:right w:w="108" w:type="dxa"/>
          </w:tblCellMar>
        </w:tblPrEx>
        <w:trPr>
          <w:gridAfter w:val="1"/>
          <w:wAfter w:w="236" w:type="dxa"/>
          <w:trHeight w:val="823" w:hRule="atLeast"/>
        </w:trPr>
        <w:tc>
          <w:tcPr>
            <w:tcW w:w="1113" w:type="dxa"/>
            <w:vMerge w:val="restart"/>
            <w:tcBorders>
              <w:top w:val="single" w:color="000000" w:sz="4" w:space="0"/>
              <w:left w:val="single" w:color="000000" w:sz="4" w:space="0"/>
              <w:right w:val="single" w:color="000000" w:sz="4" w:space="0"/>
            </w:tcBorders>
            <w:vAlign w:val="center"/>
          </w:tcPr>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年度绩效指标完成情况</w:t>
            </w:r>
          </w:p>
        </w:tc>
        <w:tc>
          <w:tcPr>
            <w:tcW w:w="1005" w:type="dxa"/>
            <w:tcBorders>
              <w:top w:val="single" w:color="000000" w:sz="4" w:space="0"/>
              <w:left w:val="nil"/>
              <w:bottom w:val="single" w:color="000000" w:sz="4" w:space="0"/>
              <w:right w:val="single" w:color="000000" w:sz="4" w:space="0"/>
            </w:tcBorders>
            <w:vAlign w:val="center"/>
          </w:tcPr>
          <w:p>
            <w:pPr>
              <w:widowControl/>
              <w:spacing w:line="320" w:lineRule="exac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一级</w:t>
            </w:r>
          </w:p>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二级</w:t>
            </w:r>
          </w:p>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238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三级</w:t>
            </w:r>
          </w:p>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178"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预期指标值</w:t>
            </w:r>
          </w:p>
        </w:tc>
        <w:tc>
          <w:tcPr>
            <w:tcW w:w="2322"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实际完成指标值</w:t>
            </w:r>
          </w:p>
        </w:tc>
      </w:tr>
      <w:tr>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005"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完成</w:t>
            </w:r>
          </w:p>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kern w:val="0"/>
                <w:sz w:val="20"/>
                <w:szCs w:val="20"/>
              </w:rPr>
              <w:t>数量指标</w:t>
            </w:r>
          </w:p>
        </w:tc>
        <w:tc>
          <w:tcPr>
            <w:tcW w:w="238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乡村少年宫数量</w:t>
            </w:r>
          </w:p>
        </w:tc>
        <w:tc>
          <w:tcPr>
            <w:tcW w:w="1178"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1</w:t>
            </w:r>
            <w:r>
              <w:rPr>
                <w:rFonts w:hint="eastAsia" w:ascii="仿宋_GB2312" w:hAnsi="仿宋_GB2312" w:eastAsia="仿宋_GB2312" w:cs="仿宋_GB2312"/>
                <w:sz w:val="20"/>
                <w:szCs w:val="20"/>
              </w:rPr>
              <w:t>所</w:t>
            </w:r>
          </w:p>
        </w:tc>
        <w:tc>
          <w:tcPr>
            <w:tcW w:w="2322"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1</w:t>
            </w:r>
            <w:r>
              <w:rPr>
                <w:rFonts w:hint="eastAsia" w:ascii="仿宋_GB2312" w:hAnsi="仿宋_GB2312" w:eastAsia="仿宋_GB2312" w:cs="仿宋_GB2312"/>
                <w:sz w:val="20"/>
                <w:szCs w:val="20"/>
              </w:rPr>
              <w:t>所</w:t>
            </w:r>
          </w:p>
        </w:tc>
      </w:tr>
      <w:tr>
        <w:tblPrEx>
          <w:tblCellMar>
            <w:top w:w="0" w:type="dxa"/>
            <w:left w:w="108" w:type="dxa"/>
            <w:bottom w:w="0" w:type="dxa"/>
            <w:right w:w="108" w:type="dxa"/>
          </w:tblCellMar>
        </w:tblPrEx>
        <w:trPr>
          <w:gridAfter w:val="1"/>
          <w:wAfter w:w="236" w:type="dxa"/>
          <w:trHeight w:val="785" w:hRule="atLeast"/>
        </w:trPr>
        <w:tc>
          <w:tcPr>
            <w:tcW w:w="1113" w:type="dxa"/>
            <w:vMerge w:val="continue"/>
            <w:tcBorders>
              <w:left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215" w:type="dxa"/>
            <w:vMerge w:val="restart"/>
            <w:tcBorders>
              <w:top w:val="single" w:color="000000" w:sz="4" w:space="0"/>
              <w:left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kern w:val="0"/>
                <w:sz w:val="20"/>
                <w:szCs w:val="20"/>
              </w:rPr>
              <w:t>质量指标</w:t>
            </w:r>
          </w:p>
        </w:tc>
        <w:tc>
          <w:tcPr>
            <w:tcW w:w="238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科学设置项目，</w:t>
            </w:r>
          </w:p>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扎实开展活动</w:t>
            </w:r>
          </w:p>
        </w:tc>
        <w:tc>
          <w:tcPr>
            <w:tcW w:w="1178"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有效</w:t>
            </w:r>
          </w:p>
        </w:tc>
        <w:tc>
          <w:tcPr>
            <w:tcW w:w="2322"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有效</w:t>
            </w:r>
          </w:p>
        </w:tc>
      </w:tr>
      <w:tr>
        <w:tblPrEx>
          <w:tblCellMar>
            <w:top w:w="0" w:type="dxa"/>
            <w:left w:w="108" w:type="dxa"/>
            <w:bottom w:w="0" w:type="dxa"/>
            <w:right w:w="108" w:type="dxa"/>
          </w:tblCellMar>
        </w:tblPrEx>
        <w:trPr>
          <w:gridAfter w:val="1"/>
          <w:wAfter w:w="236" w:type="dxa"/>
          <w:trHeight w:val="601" w:hRule="atLeast"/>
        </w:trPr>
        <w:tc>
          <w:tcPr>
            <w:tcW w:w="1113" w:type="dxa"/>
            <w:vMerge w:val="continue"/>
            <w:tcBorders>
              <w:left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215" w:type="dxa"/>
            <w:vMerge w:val="continue"/>
            <w:tcBorders>
              <w:left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kern w:val="0"/>
                <w:sz w:val="20"/>
                <w:szCs w:val="20"/>
              </w:rPr>
            </w:pPr>
          </w:p>
        </w:tc>
        <w:tc>
          <w:tcPr>
            <w:tcW w:w="238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乡村少年宫正常运转</w:t>
            </w:r>
          </w:p>
        </w:tc>
        <w:tc>
          <w:tcPr>
            <w:tcW w:w="1178"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正常运转</w:t>
            </w:r>
          </w:p>
        </w:tc>
        <w:tc>
          <w:tcPr>
            <w:tcW w:w="2322"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正常运转</w:t>
            </w:r>
          </w:p>
        </w:tc>
      </w:tr>
      <w:tr>
        <w:tblPrEx>
          <w:tblCellMar>
            <w:top w:w="0" w:type="dxa"/>
            <w:left w:w="108" w:type="dxa"/>
            <w:bottom w:w="0" w:type="dxa"/>
            <w:right w:w="108" w:type="dxa"/>
          </w:tblCellMar>
        </w:tblPrEx>
        <w:trPr>
          <w:gridAfter w:val="1"/>
          <w:wAfter w:w="236" w:type="dxa"/>
          <w:trHeight w:val="785" w:hRule="atLeast"/>
        </w:trPr>
        <w:tc>
          <w:tcPr>
            <w:tcW w:w="1113" w:type="dxa"/>
            <w:vMerge w:val="continue"/>
            <w:tcBorders>
              <w:left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215" w:type="dxa"/>
            <w:vMerge w:val="continue"/>
            <w:tcBorders>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kern w:val="0"/>
                <w:sz w:val="20"/>
                <w:szCs w:val="20"/>
              </w:rPr>
            </w:pPr>
          </w:p>
        </w:tc>
        <w:tc>
          <w:tcPr>
            <w:tcW w:w="238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按照财务管理制度规定，资金实行专项管理</w:t>
            </w:r>
          </w:p>
        </w:tc>
        <w:tc>
          <w:tcPr>
            <w:tcW w:w="1178"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专款专账</w:t>
            </w:r>
          </w:p>
        </w:tc>
        <w:tc>
          <w:tcPr>
            <w:tcW w:w="2322"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专款专账</w:t>
            </w:r>
          </w:p>
        </w:tc>
      </w:tr>
      <w:tr>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kern w:val="0"/>
                <w:sz w:val="20"/>
                <w:szCs w:val="20"/>
              </w:rPr>
              <w:t>时效指标</w:t>
            </w:r>
          </w:p>
        </w:tc>
        <w:tc>
          <w:tcPr>
            <w:tcW w:w="238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运行经费保障期限</w:t>
            </w:r>
          </w:p>
        </w:tc>
        <w:tc>
          <w:tcPr>
            <w:tcW w:w="1178"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1</w:t>
            </w:r>
            <w:r>
              <w:rPr>
                <w:rFonts w:hint="eastAsia" w:ascii="仿宋_GB2312" w:hAnsi="仿宋_GB2312" w:eastAsia="仿宋_GB2312" w:cs="仿宋_GB2312"/>
                <w:sz w:val="20"/>
                <w:szCs w:val="20"/>
              </w:rPr>
              <w:t>年</w:t>
            </w:r>
          </w:p>
        </w:tc>
        <w:tc>
          <w:tcPr>
            <w:tcW w:w="2322"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1</w:t>
            </w:r>
            <w:r>
              <w:rPr>
                <w:rFonts w:hint="eastAsia" w:ascii="仿宋_GB2312" w:hAnsi="仿宋_GB2312" w:eastAsia="仿宋_GB2312" w:cs="仿宋_GB2312"/>
                <w:sz w:val="20"/>
                <w:szCs w:val="20"/>
              </w:rPr>
              <w:t>年</w:t>
            </w:r>
          </w:p>
        </w:tc>
      </w:tr>
      <w:tr>
        <w:tblPrEx>
          <w:tblCellMar>
            <w:top w:w="0" w:type="dxa"/>
            <w:left w:w="108" w:type="dxa"/>
            <w:bottom w:w="0" w:type="dxa"/>
            <w:right w:w="108" w:type="dxa"/>
          </w:tblCellMar>
        </w:tblPrEx>
        <w:trPr>
          <w:gridAfter w:val="1"/>
          <w:wAfter w:w="236" w:type="dxa"/>
          <w:trHeight w:val="751" w:hRule="atLeast"/>
        </w:trPr>
        <w:tc>
          <w:tcPr>
            <w:tcW w:w="1113" w:type="dxa"/>
            <w:vMerge w:val="continue"/>
            <w:tcBorders>
              <w:left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kern w:val="0"/>
                <w:sz w:val="20"/>
                <w:szCs w:val="20"/>
              </w:rPr>
              <w:t>成本指标</w:t>
            </w:r>
          </w:p>
        </w:tc>
        <w:tc>
          <w:tcPr>
            <w:tcW w:w="238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运行经费年补助标准</w:t>
            </w:r>
          </w:p>
        </w:tc>
        <w:tc>
          <w:tcPr>
            <w:tcW w:w="1178"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1.52</w:t>
            </w:r>
            <w:r>
              <w:rPr>
                <w:rFonts w:hint="eastAsia" w:ascii="仿宋_GB2312" w:hAnsi="仿宋_GB2312" w:eastAsia="仿宋_GB2312" w:cs="仿宋_GB2312"/>
                <w:sz w:val="20"/>
                <w:szCs w:val="20"/>
              </w:rPr>
              <w:t>万元</w:t>
            </w:r>
          </w:p>
        </w:tc>
        <w:tc>
          <w:tcPr>
            <w:tcW w:w="2322"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1.52</w:t>
            </w:r>
            <w:r>
              <w:rPr>
                <w:rFonts w:hint="eastAsia" w:ascii="仿宋_GB2312" w:hAnsi="仿宋_GB2312" w:eastAsia="仿宋_GB2312" w:cs="仿宋_GB2312"/>
                <w:sz w:val="20"/>
                <w:szCs w:val="20"/>
              </w:rPr>
              <w:t>万元</w:t>
            </w:r>
          </w:p>
        </w:tc>
      </w:tr>
      <w:tr>
        <w:tblPrEx>
          <w:tblCellMar>
            <w:top w:w="0" w:type="dxa"/>
            <w:left w:w="108" w:type="dxa"/>
            <w:bottom w:w="0" w:type="dxa"/>
            <w:right w:w="108" w:type="dxa"/>
          </w:tblCellMar>
        </w:tblPrEx>
        <w:trPr>
          <w:gridAfter w:val="1"/>
          <w:wAfter w:w="236" w:type="dxa"/>
          <w:trHeight w:val="526" w:hRule="atLeast"/>
        </w:trPr>
        <w:tc>
          <w:tcPr>
            <w:tcW w:w="1113" w:type="dxa"/>
            <w:vMerge w:val="continue"/>
            <w:tcBorders>
              <w:left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005"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效益</w:t>
            </w:r>
          </w:p>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215" w:type="dxa"/>
            <w:vMerge w:val="restart"/>
            <w:tcBorders>
              <w:top w:val="single" w:color="000000" w:sz="4" w:space="0"/>
              <w:left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社会效益</w:t>
            </w:r>
            <w:r>
              <w:rPr>
                <w:rFonts w:ascii="仿宋_GB2312" w:hAnsi="仿宋_GB2312" w:eastAsia="仿宋_GB2312" w:cs="仿宋_GB2312"/>
                <w:sz w:val="20"/>
                <w:szCs w:val="20"/>
              </w:rPr>
              <w:t xml:space="preserve">  </w:t>
            </w:r>
            <w:r>
              <w:rPr>
                <w:rFonts w:hint="eastAsia" w:ascii="仿宋_GB2312" w:hAnsi="仿宋_GB2312" w:eastAsia="仿宋_GB2312" w:cs="仿宋_GB2312"/>
                <w:sz w:val="20"/>
                <w:szCs w:val="20"/>
              </w:rPr>
              <w:t>指标</w:t>
            </w:r>
          </w:p>
        </w:tc>
        <w:tc>
          <w:tcPr>
            <w:tcW w:w="238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提升学生综合素质</w:t>
            </w:r>
          </w:p>
        </w:tc>
        <w:tc>
          <w:tcPr>
            <w:tcW w:w="1178"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有效</w:t>
            </w:r>
          </w:p>
        </w:tc>
        <w:tc>
          <w:tcPr>
            <w:tcW w:w="2322"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有效</w:t>
            </w:r>
          </w:p>
        </w:tc>
      </w:tr>
      <w:tr>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215" w:type="dxa"/>
            <w:vMerge w:val="continue"/>
            <w:tcBorders>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p>
        </w:tc>
        <w:tc>
          <w:tcPr>
            <w:tcW w:w="238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丰富学生课余生活</w:t>
            </w:r>
          </w:p>
        </w:tc>
        <w:tc>
          <w:tcPr>
            <w:tcW w:w="1178"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有效</w:t>
            </w:r>
          </w:p>
        </w:tc>
        <w:tc>
          <w:tcPr>
            <w:tcW w:w="2322"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有效</w:t>
            </w:r>
          </w:p>
        </w:tc>
      </w:tr>
      <w:tr>
        <w:tblPrEx>
          <w:tblCellMar>
            <w:top w:w="0" w:type="dxa"/>
            <w:left w:w="108" w:type="dxa"/>
            <w:bottom w:w="0" w:type="dxa"/>
            <w:right w:w="108" w:type="dxa"/>
          </w:tblCellMar>
        </w:tblPrEx>
        <w:trPr>
          <w:gridAfter w:val="1"/>
          <w:wAfter w:w="236" w:type="dxa"/>
          <w:trHeight w:val="705" w:hRule="atLeast"/>
        </w:trPr>
        <w:tc>
          <w:tcPr>
            <w:tcW w:w="1113" w:type="dxa"/>
            <w:vMerge w:val="continue"/>
            <w:tcBorders>
              <w:left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005" w:type="dxa"/>
            <w:vMerge w:val="restart"/>
            <w:tcBorders>
              <w:top w:val="single" w:color="000000" w:sz="4" w:space="0"/>
              <w:left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满意</w:t>
            </w:r>
          </w:p>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度指标</w:t>
            </w:r>
          </w:p>
        </w:tc>
        <w:tc>
          <w:tcPr>
            <w:tcW w:w="1215" w:type="dxa"/>
            <w:vMerge w:val="restart"/>
            <w:tcBorders>
              <w:top w:val="single" w:color="000000" w:sz="4" w:space="0"/>
              <w:left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满意度</w:t>
            </w:r>
          </w:p>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kern w:val="0"/>
                <w:sz w:val="20"/>
                <w:szCs w:val="20"/>
              </w:rPr>
              <w:t>指标</w:t>
            </w:r>
          </w:p>
        </w:tc>
        <w:tc>
          <w:tcPr>
            <w:tcW w:w="238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学生满意度</w:t>
            </w:r>
          </w:p>
        </w:tc>
        <w:tc>
          <w:tcPr>
            <w:tcW w:w="1178"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w:t>
            </w:r>
            <w:r>
              <w:rPr>
                <w:rFonts w:ascii="仿宋_GB2312" w:hAnsi="仿宋_GB2312" w:eastAsia="仿宋_GB2312" w:cs="仿宋_GB2312"/>
                <w:sz w:val="20"/>
                <w:szCs w:val="20"/>
              </w:rPr>
              <w:t>95%</w:t>
            </w:r>
          </w:p>
        </w:tc>
        <w:tc>
          <w:tcPr>
            <w:tcW w:w="2322"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98%</w:t>
            </w:r>
          </w:p>
        </w:tc>
      </w:tr>
      <w:tr>
        <w:tblPrEx>
          <w:tblCellMar>
            <w:top w:w="0" w:type="dxa"/>
            <w:left w:w="108" w:type="dxa"/>
            <w:bottom w:w="0" w:type="dxa"/>
            <w:right w:w="108" w:type="dxa"/>
          </w:tblCellMar>
        </w:tblPrEx>
        <w:trPr>
          <w:gridAfter w:val="1"/>
          <w:wAfter w:w="236" w:type="dxa"/>
          <w:trHeight w:val="690" w:hRule="atLeast"/>
        </w:trPr>
        <w:tc>
          <w:tcPr>
            <w:tcW w:w="1113" w:type="dxa"/>
            <w:vMerge w:val="continue"/>
            <w:tcBorders>
              <w:left w:val="single" w:color="000000" w:sz="4" w:space="0"/>
              <w:bottom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005" w:type="dxa"/>
            <w:vMerge w:val="continue"/>
            <w:tcBorders>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kern w:val="0"/>
                <w:sz w:val="28"/>
                <w:szCs w:val="28"/>
              </w:rPr>
            </w:pPr>
          </w:p>
        </w:tc>
        <w:tc>
          <w:tcPr>
            <w:tcW w:w="1215" w:type="dxa"/>
            <w:vMerge w:val="continue"/>
            <w:tcBorders>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kern w:val="0"/>
                <w:sz w:val="20"/>
                <w:szCs w:val="20"/>
              </w:rPr>
            </w:pPr>
          </w:p>
        </w:tc>
        <w:tc>
          <w:tcPr>
            <w:tcW w:w="238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社会满意度</w:t>
            </w:r>
          </w:p>
        </w:tc>
        <w:tc>
          <w:tcPr>
            <w:tcW w:w="1178"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w:t>
            </w:r>
            <w:r>
              <w:rPr>
                <w:rFonts w:ascii="仿宋_GB2312" w:hAnsi="仿宋_GB2312" w:eastAsia="仿宋_GB2312" w:cs="仿宋_GB2312"/>
                <w:sz w:val="20"/>
                <w:szCs w:val="20"/>
              </w:rPr>
              <w:t>95%</w:t>
            </w:r>
          </w:p>
        </w:tc>
        <w:tc>
          <w:tcPr>
            <w:tcW w:w="2322"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96%</w:t>
            </w:r>
          </w:p>
        </w:tc>
      </w:tr>
    </w:tbl>
    <w:p>
      <w:pPr>
        <w:rPr>
          <w:rFonts w:ascii="黑体" w:hAnsi="黑体" w:eastAsia="黑体"/>
          <w:sz w:val="44"/>
          <w:szCs w:val="44"/>
        </w:rPr>
      </w:pPr>
      <w:r>
        <w:rPr>
          <w:rFonts w:ascii="黑体" w:hAnsi="黑体" w:eastAsia="黑体"/>
          <w:sz w:val="44"/>
          <w:szCs w:val="44"/>
        </w:rPr>
        <w:br w:type="page"/>
      </w:r>
      <w:r>
        <w:rPr>
          <w:rFonts w:hint="eastAsia" w:ascii="黑体" w:hAnsi="黑体" w:eastAsia="黑体" w:cs="黑体"/>
          <w:sz w:val="32"/>
          <w:szCs w:val="32"/>
        </w:rPr>
        <w:t>附件</w:t>
      </w:r>
      <w:r>
        <w:rPr>
          <w:rFonts w:ascii="黑体" w:hAnsi="黑体" w:eastAsia="黑体" w:cs="黑体"/>
          <w:sz w:val="32"/>
          <w:szCs w:val="32"/>
        </w:rPr>
        <w:t>2</w:t>
      </w:r>
    </w:p>
    <w:tbl>
      <w:tblPr>
        <w:tblStyle w:val="17"/>
        <w:tblpPr w:leftFromText="180" w:rightFromText="180" w:vertAnchor="text" w:horzAnchor="page" w:tblpX="1702" w:tblpY="109"/>
        <w:tblOverlap w:val="never"/>
        <w:tblW w:w="9174" w:type="dxa"/>
        <w:tblInd w:w="0" w:type="dxa"/>
        <w:tblLayout w:type="fixed"/>
        <w:tblCellMar>
          <w:top w:w="0" w:type="dxa"/>
          <w:left w:w="108" w:type="dxa"/>
          <w:bottom w:w="0" w:type="dxa"/>
          <w:right w:w="108" w:type="dxa"/>
        </w:tblCellMar>
      </w:tblPr>
      <w:tblGrid>
        <w:gridCol w:w="1077"/>
        <w:gridCol w:w="974"/>
        <w:gridCol w:w="1177"/>
        <w:gridCol w:w="2314"/>
        <w:gridCol w:w="1310"/>
        <w:gridCol w:w="2086"/>
        <w:gridCol w:w="236"/>
      </w:tblGrid>
      <w:tr>
        <w:tblPrEx>
          <w:tblCellMar>
            <w:top w:w="0" w:type="dxa"/>
            <w:left w:w="108" w:type="dxa"/>
            <w:bottom w:w="0" w:type="dxa"/>
            <w:right w:w="108" w:type="dxa"/>
          </w:tblCellMar>
        </w:tblPrEx>
        <w:trPr>
          <w:trHeight w:val="628" w:hRule="atLeast"/>
        </w:trPr>
        <w:tc>
          <w:tcPr>
            <w:tcW w:w="8938" w:type="dxa"/>
            <w:gridSpan w:val="6"/>
            <w:tcBorders>
              <w:top w:val="nil"/>
              <w:left w:val="nil"/>
              <w:bottom w:val="nil"/>
              <w:right w:val="nil"/>
            </w:tcBorders>
            <w:vAlign w:val="center"/>
          </w:tcPr>
          <w:p>
            <w:pPr>
              <w:widowControl/>
              <w:jc w:val="center"/>
              <w:textAlignment w:val="center"/>
              <w:rPr>
                <w:rFonts w:ascii="宋体" w:cs="宋体"/>
                <w:b/>
                <w:sz w:val="32"/>
                <w:szCs w:val="32"/>
              </w:rPr>
            </w:pPr>
            <w:r>
              <w:rPr>
                <w:rFonts w:ascii="宋体" w:hAnsi="宋体" w:cs="宋体"/>
                <w:b/>
                <w:sz w:val="32"/>
                <w:szCs w:val="32"/>
              </w:rPr>
              <w:t>2021</w:t>
            </w:r>
            <w:r>
              <w:rPr>
                <w:rFonts w:hint="eastAsia" w:ascii="宋体" w:hAnsi="宋体" w:cs="宋体"/>
                <w:b/>
                <w:sz w:val="32"/>
                <w:szCs w:val="32"/>
              </w:rPr>
              <w:t>年部门预算项目绩效目标自评（校舍维修）</w:t>
            </w:r>
          </w:p>
        </w:tc>
        <w:tc>
          <w:tcPr>
            <w:tcW w:w="236" w:type="dxa"/>
            <w:tcBorders>
              <w:top w:val="nil"/>
              <w:left w:val="nil"/>
              <w:bottom w:val="nil"/>
              <w:right w:val="nil"/>
            </w:tcBorders>
            <w:vAlign w:val="center"/>
          </w:tcPr>
          <w:p>
            <w:pPr>
              <w:widowControl/>
              <w:jc w:val="center"/>
              <w:textAlignment w:val="center"/>
              <w:rPr>
                <w:rFonts w:ascii="宋体" w:cs="宋体"/>
                <w:b/>
                <w:kern w:val="0"/>
                <w:sz w:val="32"/>
                <w:szCs w:val="32"/>
              </w:rPr>
            </w:pPr>
          </w:p>
        </w:tc>
      </w:tr>
      <w:tr>
        <w:tblPrEx>
          <w:tblCellMar>
            <w:top w:w="0" w:type="dxa"/>
            <w:left w:w="108" w:type="dxa"/>
            <w:bottom w:w="0" w:type="dxa"/>
            <w:right w:w="108" w:type="dxa"/>
          </w:tblCellMar>
        </w:tblPrEx>
        <w:trPr>
          <w:gridAfter w:val="1"/>
          <w:wAfter w:w="236" w:type="dxa"/>
          <w:trHeight w:val="654" w:hRule="atLeast"/>
        </w:trPr>
        <w:tc>
          <w:tcPr>
            <w:tcW w:w="205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cs="宋体"/>
                <w:sz w:val="24"/>
              </w:rPr>
            </w:pPr>
            <w:r>
              <w:rPr>
                <w:rFonts w:hint="eastAsia" w:ascii="宋体" w:hAnsi="宋体" w:cs="宋体"/>
                <w:kern w:val="0"/>
                <w:sz w:val="24"/>
              </w:rPr>
              <w:t>主管部门及代码</w:t>
            </w:r>
          </w:p>
        </w:tc>
        <w:tc>
          <w:tcPr>
            <w:tcW w:w="349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320" w:lineRule="exact"/>
              <w:textAlignment w:val="center"/>
              <w:rPr>
                <w:rFonts w:ascii="宋体" w:cs="宋体"/>
                <w:sz w:val="24"/>
              </w:rPr>
            </w:pPr>
            <w:r>
              <w:rPr>
                <w:rFonts w:ascii="宋体" w:hAnsi="宋体" w:cs="宋体"/>
                <w:sz w:val="24"/>
              </w:rPr>
              <w:t>360322</w:t>
            </w:r>
          </w:p>
        </w:tc>
        <w:tc>
          <w:tcPr>
            <w:tcW w:w="1310"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cs="宋体"/>
                <w:sz w:val="24"/>
              </w:rPr>
            </w:pPr>
            <w:r>
              <w:rPr>
                <w:rFonts w:hint="eastAsia" w:ascii="宋体" w:hAnsi="宋体" w:cs="宋体"/>
                <w:kern w:val="0"/>
                <w:sz w:val="24"/>
              </w:rPr>
              <w:t>实施单位</w:t>
            </w:r>
          </w:p>
        </w:tc>
        <w:tc>
          <w:tcPr>
            <w:tcW w:w="2086"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textAlignment w:val="center"/>
              <w:rPr>
                <w:rFonts w:ascii="宋体" w:cs="宋体"/>
                <w:sz w:val="24"/>
              </w:rPr>
            </w:pPr>
            <w:bookmarkStart w:id="67" w:name="_GoBack"/>
            <w:r>
              <w:rPr>
                <w:rFonts w:hint="eastAsia" w:ascii="宋体" w:hAnsi="宋体" w:cs="宋体"/>
                <w:sz w:val="24"/>
              </w:rPr>
              <w:t>广元市昭化区太公镇小学</w:t>
            </w:r>
            <w:bookmarkEnd w:id="67"/>
          </w:p>
        </w:tc>
      </w:tr>
      <w:tr>
        <w:tblPrEx>
          <w:tblCellMar>
            <w:top w:w="0" w:type="dxa"/>
            <w:left w:w="108" w:type="dxa"/>
            <w:bottom w:w="0" w:type="dxa"/>
            <w:right w:w="108" w:type="dxa"/>
          </w:tblCellMar>
        </w:tblPrEx>
        <w:trPr>
          <w:gridAfter w:val="1"/>
          <w:wAfter w:w="236" w:type="dxa"/>
          <w:trHeight w:val="369" w:hRule="atLeast"/>
        </w:trPr>
        <w:tc>
          <w:tcPr>
            <w:tcW w:w="2051"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cs="宋体"/>
                <w:kern w:val="0"/>
                <w:sz w:val="24"/>
              </w:rPr>
            </w:pPr>
            <w:r>
              <w:rPr>
                <w:rFonts w:hint="eastAsia" w:ascii="宋体" w:hAnsi="宋体" w:cs="宋体"/>
                <w:kern w:val="0"/>
                <w:sz w:val="24"/>
              </w:rPr>
              <w:t>项目预算</w:t>
            </w:r>
          </w:p>
          <w:p>
            <w:pPr>
              <w:widowControl/>
              <w:spacing w:line="320" w:lineRule="exact"/>
              <w:jc w:val="center"/>
              <w:textAlignment w:val="center"/>
              <w:rPr>
                <w:rFonts w:ascii="宋体" w:cs="宋体"/>
                <w:kern w:val="0"/>
                <w:sz w:val="24"/>
              </w:rPr>
            </w:pPr>
            <w:r>
              <w:rPr>
                <w:rFonts w:hint="eastAsia" w:ascii="宋体" w:hAnsi="宋体" w:cs="宋体"/>
                <w:kern w:val="0"/>
                <w:sz w:val="24"/>
              </w:rPr>
              <w:t>执行情况</w:t>
            </w:r>
          </w:p>
          <w:p>
            <w:pPr>
              <w:widowControl/>
              <w:spacing w:line="320" w:lineRule="exact"/>
              <w:jc w:val="center"/>
              <w:textAlignment w:val="center"/>
              <w:rPr>
                <w:rFonts w:ascii="宋体" w:cs="宋体"/>
                <w:sz w:val="24"/>
              </w:rPr>
            </w:pPr>
            <w:r>
              <w:rPr>
                <w:rFonts w:hint="eastAsia" w:ascii="宋体" w:hAnsi="宋体" w:cs="宋体"/>
                <w:kern w:val="0"/>
                <w:sz w:val="24"/>
              </w:rPr>
              <w:t>（万元）</w:t>
            </w:r>
          </w:p>
        </w:tc>
        <w:tc>
          <w:tcPr>
            <w:tcW w:w="1177"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left"/>
              <w:textAlignment w:val="center"/>
              <w:rPr>
                <w:rFonts w:ascii="宋体" w:cs="宋体"/>
                <w:sz w:val="24"/>
              </w:rPr>
            </w:pPr>
            <w:r>
              <w:rPr>
                <w:rFonts w:ascii="宋体" w:hAnsi="宋体" w:cs="宋体"/>
                <w:kern w:val="0"/>
                <w:sz w:val="24"/>
              </w:rPr>
              <w:t xml:space="preserve"> </w:t>
            </w:r>
            <w:r>
              <w:rPr>
                <w:rFonts w:hint="eastAsia" w:ascii="宋体" w:hAnsi="宋体" w:cs="宋体"/>
                <w:kern w:val="0"/>
                <w:sz w:val="24"/>
              </w:rPr>
              <w:t>预算数：</w:t>
            </w:r>
          </w:p>
        </w:tc>
        <w:tc>
          <w:tcPr>
            <w:tcW w:w="2314"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cs="宋体"/>
                <w:sz w:val="24"/>
              </w:rPr>
            </w:pPr>
            <w:r>
              <w:rPr>
                <w:rFonts w:ascii="宋体" w:hAnsi="宋体" w:cs="宋体"/>
                <w:sz w:val="24"/>
              </w:rPr>
              <w:t>220</w:t>
            </w:r>
          </w:p>
        </w:tc>
        <w:tc>
          <w:tcPr>
            <w:tcW w:w="1310"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left"/>
              <w:textAlignment w:val="center"/>
              <w:rPr>
                <w:rFonts w:ascii="宋体" w:cs="宋体"/>
                <w:sz w:val="24"/>
              </w:rPr>
            </w:pPr>
            <w:r>
              <w:rPr>
                <w:rFonts w:ascii="宋体" w:hAnsi="宋体" w:cs="宋体"/>
                <w:kern w:val="0"/>
                <w:sz w:val="24"/>
              </w:rPr>
              <w:t xml:space="preserve"> </w:t>
            </w:r>
            <w:r>
              <w:rPr>
                <w:rFonts w:hint="eastAsia" w:ascii="宋体" w:hAnsi="宋体" w:cs="宋体"/>
                <w:kern w:val="0"/>
                <w:sz w:val="24"/>
              </w:rPr>
              <w:t>执行数：</w:t>
            </w:r>
          </w:p>
        </w:tc>
        <w:tc>
          <w:tcPr>
            <w:tcW w:w="2086"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cs="宋体"/>
                <w:sz w:val="24"/>
              </w:rPr>
            </w:pPr>
            <w:r>
              <w:rPr>
                <w:rFonts w:ascii="宋体" w:hAnsi="宋体" w:cs="宋体"/>
                <w:sz w:val="24"/>
              </w:rPr>
              <w:t>220</w:t>
            </w:r>
          </w:p>
        </w:tc>
      </w:tr>
      <w:tr>
        <w:tblPrEx>
          <w:tblCellMar>
            <w:top w:w="0" w:type="dxa"/>
            <w:left w:w="108" w:type="dxa"/>
            <w:bottom w:w="0" w:type="dxa"/>
            <w:right w:w="108" w:type="dxa"/>
          </w:tblCellMar>
        </w:tblPrEx>
        <w:trPr>
          <w:gridAfter w:val="1"/>
          <w:wAfter w:w="236" w:type="dxa"/>
          <w:trHeight w:val="661" w:hRule="atLeast"/>
        </w:trPr>
        <w:tc>
          <w:tcPr>
            <w:tcW w:w="2051" w:type="dxa"/>
            <w:gridSpan w:val="2"/>
            <w:vMerge w:val="continue"/>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宋体" w:cs="宋体"/>
                <w:sz w:val="24"/>
              </w:rPr>
            </w:pPr>
          </w:p>
        </w:tc>
        <w:tc>
          <w:tcPr>
            <w:tcW w:w="1177"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left"/>
              <w:textAlignment w:val="center"/>
              <w:rPr>
                <w:rFonts w:ascii="宋体" w:cs="宋体"/>
                <w:kern w:val="0"/>
                <w:sz w:val="24"/>
              </w:rPr>
            </w:pPr>
            <w:r>
              <w:rPr>
                <w:rFonts w:hint="eastAsia" w:ascii="宋体" w:hAnsi="宋体" w:cs="宋体"/>
                <w:kern w:val="0"/>
                <w:sz w:val="24"/>
              </w:rPr>
              <w:t>其中：</w:t>
            </w:r>
          </w:p>
          <w:p>
            <w:pPr>
              <w:widowControl/>
              <w:spacing w:line="320" w:lineRule="exact"/>
              <w:jc w:val="left"/>
              <w:textAlignment w:val="center"/>
              <w:rPr>
                <w:rFonts w:ascii="宋体" w:cs="宋体"/>
                <w:sz w:val="24"/>
              </w:rPr>
            </w:pPr>
            <w:r>
              <w:rPr>
                <w:rFonts w:hint="eastAsia" w:ascii="宋体" w:hAnsi="宋体" w:cs="宋体"/>
                <w:kern w:val="0"/>
                <w:sz w:val="24"/>
              </w:rPr>
              <w:t>财政拨款</w:t>
            </w:r>
          </w:p>
        </w:tc>
        <w:tc>
          <w:tcPr>
            <w:tcW w:w="2314"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cs="宋体"/>
                <w:sz w:val="24"/>
              </w:rPr>
            </w:pPr>
            <w:r>
              <w:rPr>
                <w:rFonts w:ascii="宋体" w:hAnsi="宋体" w:cs="宋体"/>
                <w:sz w:val="24"/>
              </w:rPr>
              <w:t>220</w:t>
            </w:r>
          </w:p>
        </w:tc>
        <w:tc>
          <w:tcPr>
            <w:tcW w:w="1310"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left"/>
              <w:textAlignment w:val="center"/>
              <w:rPr>
                <w:rFonts w:ascii="宋体" w:cs="宋体"/>
                <w:kern w:val="0"/>
                <w:sz w:val="24"/>
              </w:rPr>
            </w:pPr>
            <w:r>
              <w:rPr>
                <w:rFonts w:hint="eastAsia" w:ascii="宋体" w:hAnsi="宋体" w:cs="宋体"/>
                <w:kern w:val="0"/>
                <w:sz w:val="24"/>
              </w:rPr>
              <w:t>其中：</w:t>
            </w:r>
          </w:p>
          <w:p>
            <w:pPr>
              <w:widowControl/>
              <w:spacing w:line="320" w:lineRule="exact"/>
              <w:jc w:val="left"/>
              <w:textAlignment w:val="center"/>
              <w:rPr>
                <w:rFonts w:ascii="宋体" w:cs="宋体"/>
                <w:sz w:val="24"/>
              </w:rPr>
            </w:pPr>
            <w:r>
              <w:rPr>
                <w:rFonts w:hint="eastAsia" w:ascii="宋体" w:hAnsi="宋体" w:cs="宋体"/>
                <w:kern w:val="0"/>
                <w:sz w:val="24"/>
              </w:rPr>
              <w:t>财政拨款</w:t>
            </w:r>
          </w:p>
        </w:tc>
        <w:tc>
          <w:tcPr>
            <w:tcW w:w="2086"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cs="宋体"/>
                <w:sz w:val="24"/>
              </w:rPr>
            </w:pPr>
            <w:r>
              <w:rPr>
                <w:rFonts w:ascii="宋体" w:hAnsi="宋体" w:cs="宋体"/>
                <w:sz w:val="24"/>
              </w:rPr>
              <w:t>220</w:t>
            </w:r>
          </w:p>
        </w:tc>
      </w:tr>
      <w:tr>
        <w:tblPrEx>
          <w:tblCellMar>
            <w:top w:w="0" w:type="dxa"/>
            <w:left w:w="108" w:type="dxa"/>
            <w:bottom w:w="0" w:type="dxa"/>
            <w:right w:w="108" w:type="dxa"/>
          </w:tblCellMar>
        </w:tblPrEx>
        <w:trPr>
          <w:gridAfter w:val="1"/>
          <w:wAfter w:w="236" w:type="dxa"/>
          <w:trHeight w:val="369" w:hRule="atLeast"/>
        </w:trPr>
        <w:tc>
          <w:tcPr>
            <w:tcW w:w="2051" w:type="dxa"/>
            <w:gridSpan w:val="2"/>
            <w:vMerge w:val="continue"/>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宋体" w:cs="宋体"/>
                <w:sz w:val="24"/>
              </w:rPr>
            </w:pPr>
          </w:p>
        </w:tc>
        <w:tc>
          <w:tcPr>
            <w:tcW w:w="1177"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left"/>
              <w:textAlignment w:val="center"/>
              <w:rPr>
                <w:rFonts w:ascii="宋体" w:cs="宋体"/>
                <w:sz w:val="24"/>
              </w:rPr>
            </w:pPr>
            <w:r>
              <w:rPr>
                <w:rFonts w:hint="eastAsia" w:ascii="宋体" w:hAnsi="宋体" w:cs="宋体"/>
                <w:kern w:val="0"/>
                <w:sz w:val="24"/>
              </w:rPr>
              <w:t>其他资金</w:t>
            </w:r>
          </w:p>
        </w:tc>
        <w:tc>
          <w:tcPr>
            <w:tcW w:w="2314"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left"/>
              <w:textAlignment w:val="center"/>
              <w:rPr>
                <w:rFonts w:ascii="宋体" w:cs="宋体"/>
                <w:sz w:val="24"/>
              </w:rPr>
            </w:pPr>
          </w:p>
        </w:tc>
        <w:tc>
          <w:tcPr>
            <w:tcW w:w="1310"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left"/>
              <w:textAlignment w:val="center"/>
              <w:rPr>
                <w:rFonts w:ascii="宋体" w:cs="宋体"/>
                <w:sz w:val="24"/>
              </w:rPr>
            </w:pPr>
            <w:r>
              <w:rPr>
                <w:rFonts w:hint="eastAsia" w:ascii="宋体" w:hAnsi="宋体" w:cs="宋体"/>
                <w:kern w:val="0"/>
                <w:sz w:val="24"/>
              </w:rPr>
              <w:t>其他资金</w:t>
            </w:r>
          </w:p>
        </w:tc>
        <w:tc>
          <w:tcPr>
            <w:tcW w:w="2086"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cs="宋体"/>
                <w:sz w:val="24"/>
              </w:rPr>
            </w:pPr>
          </w:p>
        </w:tc>
      </w:tr>
      <w:tr>
        <w:tblPrEx>
          <w:tblCellMar>
            <w:top w:w="0" w:type="dxa"/>
            <w:left w:w="108" w:type="dxa"/>
            <w:bottom w:w="0" w:type="dxa"/>
            <w:right w:w="108" w:type="dxa"/>
          </w:tblCellMar>
        </w:tblPrEx>
        <w:trPr>
          <w:gridAfter w:val="1"/>
          <w:wAfter w:w="236" w:type="dxa"/>
          <w:trHeight w:val="348" w:hRule="atLeast"/>
        </w:trPr>
        <w:tc>
          <w:tcPr>
            <w:tcW w:w="1077"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cs="宋体"/>
                <w:kern w:val="0"/>
                <w:sz w:val="24"/>
              </w:rPr>
            </w:pPr>
            <w:r>
              <w:rPr>
                <w:rFonts w:hint="eastAsia" w:ascii="宋体" w:hAnsi="宋体" w:cs="宋体"/>
                <w:kern w:val="0"/>
                <w:sz w:val="24"/>
              </w:rPr>
              <w:t>年度总体目标</w:t>
            </w:r>
          </w:p>
          <w:p>
            <w:pPr>
              <w:widowControl/>
              <w:spacing w:line="320" w:lineRule="exact"/>
              <w:jc w:val="center"/>
              <w:textAlignment w:val="center"/>
              <w:rPr>
                <w:rFonts w:ascii="宋体" w:cs="宋体"/>
                <w:sz w:val="24"/>
              </w:rPr>
            </w:pPr>
            <w:r>
              <w:rPr>
                <w:rFonts w:hint="eastAsia" w:ascii="宋体" w:hAnsi="宋体" w:cs="宋体"/>
                <w:kern w:val="0"/>
                <w:sz w:val="24"/>
              </w:rPr>
              <w:t>完成情况</w:t>
            </w:r>
          </w:p>
        </w:tc>
        <w:tc>
          <w:tcPr>
            <w:tcW w:w="4465"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cs="宋体"/>
                <w:sz w:val="24"/>
              </w:rPr>
            </w:pPr>
            <w:r>
              <w:rPr>
                <w:rFonts w:hint="eastAsia" w:ascii="宋体" w:hAnsi="宋体" w:cs="宋体"/>
                <w:kern w:val="0"/>
                <w:sz w:val="24"/>
              </w:rPr>
              <w:t>预期目标</w:t>
            </w:r>
          </w:p>
        </w:tc>
        <w:tc>
          <w:tcPr>
            <w:tcW w:w="339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cs="宋体"/>
                <w:sz w:val="24"/>
              </w:rPr>
            </w:pPr>
            <w:r>
              <w:rPr>
                <w:rFonts w:hint="eastAsia" w:ascii="宋体" w:hAnsi="宋体" w:cs="宋体"/>
                <w:kern w:val="0"/>
                <w:sz w:val="24"/>
              </w:rPr>
              <w:t>目标实际完成情况</w:t>
            </w:r>
          </w:p>
        </w:tc>
      </w:tr>
      <w:tr>
        <w:tblPrEx>
          <w:tblCellMar>
            <w:top w:w="0" w:type="dxa"/>
            <w:left w:w="108" w:type="dxa"/>
            <w:bottom w:w="0" w:type="dxa"/>
            <w:right w:w="108" w:type="dxa"/>
          </w:tblCellMar>
        </w:tblPrEx>
        <w:trPr>
          <w:gridAfter w:val="1"/>
          <w:wAfter w:w="236" w:type="dxa"/>
          <w:trHeight w:val="1943" w:hRule="atLeast"/>
        </w:trPr>
        <w:tc>
          <w:tcPr>
            <w:tcW w:w="1077" w:type="dxa"/>
            <w:vMerge w:val="continue"/>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宋体" w:cs="宋体"/>
                <w:sz w:val="24"/>
              </w:rPr>
            </w:pPr>
          </w:p>
        </w:tc>
        <w:tc>
          <w:tcPr>
            <w:tcW w:w="4465" w:type="dxa"/>
            <w:gridSpan w:val="3"/>
            <w:tcBorders>
              <w:top w:val="single" w:color="000000" w:sz="4" w:space="0"/>
              <w:left w:val="single" w:color="000000" w:sz="4" w:space="0"/>
              <w:bottom w:val="single" w:color="000000" w:sz="4" w:space="0"/>
              <w:right w:val="single" w:color="000000" w:sz="4" w:space="0"/>
            </w:tcBorders>
          </w:tcPr>
          <w:p>
            <w:pPr>
              <w:widowControl/>
              <w:spacing w:line="320" w:lineRule="exact"/>
              <w:jc w:val="left"/>
              <w:textAlignment w:val="top"/>
              <w:rPr>
                <w:rFonts w:ascii="宋体" w:cs="宋体"/>
                <w:sz w:val="24"/>
              </w:rPr>
            </w:pPr>
            <w:r>
              <w:rPr>
                <w:rFonts w:hint="eastAsia" w:ascii="宋体" w:hAnsi="宋体" w:cs="宋体"/>
                <w:sz w:val="22"/>
                <w:szCs w:val="22"/>
              </w:rPr>
              <w:t>校舍维修及安全隐患整治面积</w:t>
            </w:r>
            <w:r>
              <w:rPr>
                <w:rFonts w:hint="eastAsia" w:ascii="宋体" w:hAnsi="宋体" w:cs="宋体"/>
                <w:sz w:val="22"/>
                <w:szCs w:val="22"/>
                <w:lang w:val="en-US" w:eastAsia="zh-CN"/>
              </w:rPr>
              <w:t>5</w:t>
            </w:r>
            <w:r>
              <w:rPr>
                <w:rFonts w:ascii="宋体" w:hAnsi="宋体" w:cs="宋体"/>
                <w:sz w:val="22"/>
                <w:szCs w:val="22"/>
              </w:rPr>
              <w:t>000</w:t>
            </w:r>
            <w:r>
              <w:rPr>
                <w:rFonts w:hint="eastAsia" w:ascii="宋体" w:hAnsi="宋体" w:cs="宋体"/>
                <w:sz w:val="22"/>
                <w:szCs w:val="22"/>
              </w:rPr>
              <w:t>平方米，重点对学校水、电及消防安全进行整治，改善学校办学条件和基础设施配套，提供高质量硬件设施设备，营造良好的学习氛围。</w:t>
            </w:r>
          </w:p>
        </w:tc>
        <w:tc>
          <w:tcPr>
            <w:tcW w:w="3396" w:type="dxa"/>
            <w:gridSpan w:val="2"/>
            <w:tcBorders>
              <w:top w:val="single" w:color="000000" w:sz="4" w:space="0"/>
              <w:left w:val="single" w:color="000000" w:sz="4" w:space="0"/>
              <w:bottom w:val="single" w:color="000000" w:sz="4" w:space="0"/>
              <w:right w:val="single" w:color="000000" w:sz="4" w:space="0"/>
            </w:tcBorders>
          </w:tcPr>
          <w:p>
            <w:pPr>
              <w:widowControl/>
              <w:spacing w:line="320" w:lineRule="exact"/>
              <w:jc w:val="left"/>
              <w:textAlignment w:val="top"/>
              <w:rPr>
                <w:rFonts w:ascii="宋体" w:cs="宋体"/>
                <w:sz w:val="24"/>
              </w:rPr>
            </w:pPr>
            <w:r>
              <w:rPr>
                <w:rFonts w:hint="eastAsia" w:ascii="宋体" w:hAnsi="宋体" w:cs="宋体"/>
                <w:sz w:val="22"/>
                <w:szCs w:val="22"/>
              </w:rPr>
              <w:t>校舍维修及安全隐患整治面积</w:t>
            </w:r>
            <w:r>
              <w:rPr>
                <w:rFonts w:ascii="宋体" w:hAnsi="宋体" w:cs="宋体"/>
                <w:sz w:val="22"/>
                <w:szCs w:val="22"/>
              </w:rPr>
              <w:t>6000</w:t>
            </w:r>
            <w:r>
              <w:rPr>
                <w:rFonts w:hint="eastAsia" w:ascii="宋体" w:hAnsi="宋体" w:cs="宋体"/>
                <w:sz w:val="22"/>
                <w:szCs w:val="22"/>
              </w:rPr>
              <w:t>平方米，重点对学校水、电及消防安全进行整治，改善学校办学条件和基础设施配套，提供高质量硬件设施设备，为</w:t>
            </w:r>
            <w:r>
              <w:rPr>
                <w:rFonts w:ascii="宋体" w:hAnsi="宋体" w:cs="宋体"/>
                <w:sz w:val="22"/>
                <w:szCs w:val="22"/>
              </w:rPr>
              <w:t>500</w:t>
            </w:r>
            <w:r>
              <w:rPr>
                <w:rFonts w:hint="eastAsia" w:ascii="宋体" w:hAnsi="宋体" w:cs="宋体"/>
                <w:sz w:val="22"/>
                <w:szCs w:val="22"/>
              </w:rPr>
              <w:t>多名师生营造良好的学习氛围。</w:t>
            </w:r>
          </w:p>
        </w:tc>
      </w:tr>
      <w:tr>
        <w:tblPrEx>
          <w:tblCellMar>
            <w:top w:w="0" w:type="dxa"/>
            <w:left w:w="108" w:type="dxa"/>
            <w:bottom w:w="0" w:type="dxa"/>
            <w:right w:w="108" w:type="dxa"/>
          </w:tblCellMar>
        </w:tblPrEx>
        <w:trPr>
          <w:gridAfter w:val="1"/>
          <w:wAfter w:w="236" w:type="dxa"/>
          <w:trHeight w:val="713" w:hRule="atLeast"/>
        </w:trPr>
        <w:tc>
          <w:tcPr>
            <w:tcW w:w="1077" w:type="dxa"/>
            <w:vMerge w:val="restart"/>
            <w:tcBorders>
              <w:top w:val="single" w:color="000000" w:sz="4" w:space="0"/>
              <w:left w:val="single" w:color="000000" w:sz="4" w:space="0"/>
              <w:right w:val="single" w:color="000000" w:sz="4" w:space="0"/>
            </w:tcBorders>
            <w:vAlign w:val="center"/>
          </w:tcPr>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年度绩效指标完成情况</w:t>
            </w:r>
          </w:p>
        </w:tc>
        <w:tc>
          <w:tcPr>
            <w:tcW w:w="974" w:type="dxa"/>
            <w:tcBorders>
              <w:top w:val="single" w:color="000000" w:sz="4" w:space="0"/>
              <w:left w:val="nil"/>
              <w:bottom w:val="single" w:color="000000" w:sz="4" w:space="0"/>
              <w:right w:val="single" w:color="000000" w:sz="4" w:space="0"/>
            </w:tcBorders>
            <w:vAlign w:val="center"/>
          </w:tcPr>
          <w:p>
            <w:pPr>
              <w:widowControl/>
              <w:spacing w:line="320" w:lineRule="exac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一级</w:t>
            </w:r>
          </w:p>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177"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二级</w:t>
            </w:r>
          </w:p>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2314"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三级</w:t>
            </w:r>
          </w:p>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310"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预期指标值</w:t>
            </w:r>
          </w:p>
        </w:tc>
        <w:tc>
          <w:tcPr>
            <w:tcW w:w="2086"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实际完成指标值</w:t>
            </w:r>
          </w:p>
        </w:tc>
      </w:tr>
      <w:tr>
        <w:tblPrEx>
          <w:tblCellMar>
            <w:top w:w="0" w:type="dxa"/>
            <w:left w:w="108" w:type="dxa"/>
            <w:bottom w:w="0" w:type="dxa"/>
            <w:right w:w="108" w:type="dxa"/>
          </w:tblCellMar>
        </w:tblPrEx>
        <w:trPr>
          <w:gridAfter w:val="1"/>
          <w:wAfter w:w="236" w:type="dxa"/>
          <w:trHeight w:val="433" w:hRule="atLeast"/>
        </w:trPr>
        <w:tc>
          <w:tcPr>
            <w:tcW w:w="1077" w:type="dxa"/>
            <w:vMerge w:val="continue"/>
            <w:tcBorders>
              <w:left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974"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完成</w:t>
            </w:r>
          </w:p>
          <w:p>
            <w:pPr>
              <w:widowControl/>
              <w:spacing w:line="320" w:lineRule="exact"/>
              <w:jc w:val="center"/>
              <w:textAlignment w:val="bottom"/>
              <w:rPr>
                <w:rFonts w:ascii="仿宋_GB2312" w:hAnsi="仿宋_GB2312" w:eastAsia="仿宋_GB2312" w:cs="仿宋_GB2312"/>
                <w:sz w:val="24"/>
                <w:szCs w:val="24"/>
              </w:rPr>
            </w:pPr>
            <w:r>
              <w:rPr>
                <w:rFonts w:hint="eastAsia" w:ascii="仿宋_GB2312" w:hAnsi="仿宋_GB2312" w:eastAsia="仿宋_GB2312" w:cs="仿宋_GB2312"/>
                <w:kern w:val="0"/>
                <w:sz w:val="24"/>
                <w:szCs w:val="24"/>
              </w:rPr>
              <w:t>指标</w:t>
            </w:r>
          </w:p>
        </w:tc>
        <w:tc>
          <w:tcPr>
            <w:tcW w:w="1177"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kern w:val="0"/>
                <w:sz w:val="20"/>
                <w:szCs w:val="20"/>
              </w:rPr>
              <w:t>数量指标</w:t>
            </w:r>
          </w:p>
        </w:tc>
        <w:tc>
          <w:tcPr>
            <w:tcW w:w="2314"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left"/>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改扩建面积</w:t>
            </w:r>
          </w:p>
        </w:tc>
        <w:tc>
          <w:tcPr>
            <w:tcW w:w="1310"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6000m2</w:t>
            </w:r>
          </w:p>
        </w:tc>
        <w:tc>
          <w:tcPr>
            <w:tcW w:w="2086"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6000m2</w:t>
            </w:r>
          </w:p>
        </w:tc>
      </w:tr>
      <w:tr>
        <w:tblPrEx>
          <w:tblCellMar>
            <w:top w:w="0" w:type="dxa"/>
            <w:left w:w="108" w:type="dxa"/>
            <w:bottom w:w="0" w:type="dxa"/>
            <w:right w:w="108" w:type="dxa"/>
          </w:tblCellMar>
        </w:tblPrEx>
        <w:trPr>
          <w:gridAfter w:val="1"/>
          <w:wAfter w:w="236" w:type="dxa"/>
          <w:trHeight w:val="654" w:hRule="atLeast"/>
        </w:trPr>
        <w:tc>
          <w:tcPr>
            <w:tcW w:w="1077" w:type="dxa"/>
            <w:vMerge w:val="continue"/>
            <w:tcBorders>
              <w:left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974" w:type="dxa"/>
            <w:vMerge w:val="continue"/>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仿宋_GB2312" w:hAnsi="仿宋_GB2312" w:eastAsia="仿宋_GB2312" w:cs="仿宋_GB2312"/>
                <w:sz w:val="24"/>
                <w:szCs w:val="24"/>
              </w:rPr>
            </w:pPr>
          </w:p>
        </w:tc>
        <w:tc>
          <w:tcPr>
            <w:tcW w:w="1177" w:type="dxa"/>
            <w:vMerge w:val="restart"/>
            <w:tcBorders>
              <w:top w:val="single" w:color="000000" w:sz="4" w:space="0"/>
              <w:left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kern w:val="0"/>
                <w:sz w:val="20"/>
                <w:szCs w:val="20"/>
              </w:rPr>
              <w:t>质量指标</w:t>
            </w:r>
          </w:p>
        </w:tc>
        <w:tc>
          <w:tcPr>
            <w:tcW w:w="2314"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left"/>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校舍维修竣工验收合格率</w:t>
            </w:r>
          </w:p>
        </w:tc>
        <w:tc>
          <w:tcPr>
            <w:tcW w:w="1310"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100%</w:t>
            </w:r>
          </w:p>
        </w:tc>
        <w:tc>
          <w:tcPr>
            <w:tcW w:w="2086"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100%</w:t>
            </w:r>
          </w:p>
        </w:tc>
      </w:tr>
      <w:tr>
        <w:tblPrEx>
          <w:tblCellMar>
            <w:top w:w="0" w:type="dxa"/>
            <w:left w:w="108" w:type="dxa"/>
            <w:bottom w:w="0" w:type="dxa"/>
            <w:right w:w="108" w:type="dxa"/>
          </w:tblCellMar>
        </w:tblPrEx>
        <w:trPr>
          <w:gridAfter w:val="1"/>
          <w:wAfter w:w="236" w:type="dxa"/>
          <w:trHeight w:val="407" w:hRule="atLeast"/>
        </w:trPr>
        <w:tc>
          <w:tcPr>
            <w:tcW w:w="1077" w:type="dxa"/>
            <w:vMerge w:val="continue"/>
            <w:tcBorders>
              <w:left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974" w:type="dxa"/>
            <w:vMerge w:val="continue"/>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仿宋_GB2312" w:hAnsi="仿宋_GB2312" w:eastAsia="仿宋_GB2312" w:cs="仿宋_GB2312"/>
                <w:sz w:val="24"/>
                <w:szCs w:val="24"/>
              </w:rPr>
            </w:pPr>
          </w:p>
        </w:tc>
        <w:tc>
          <w:tcPr>
            <w:tcW w:w="1177" w:type="dxa"/>
            <w:vMerge w:val="continue"/>
            <w:tcBorders>
              <w:left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kern w:val="0"/>
                <w:sz w:val="20"/>
                <w:szCs w:val="20"/>
              </w:rPr>
            </w:pPr>
          </w:p>
        </w:tc>
        <w:tc>
          <w:tcPr>
            <w:tcW w:w="2314"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left"/>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校舍维修质量标准</w:t>
            </w:r>
          </w:p>
        </w:tc>
        <w:tc>
          <w:tcPr>
            <w:tcW w:w="1310"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合格</w:t>
            </w:r>
          </w:p>
        </w:tc>
        <w:tc>
          <w:tcPr>
            <w:tcW w:w="2086"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合格</w:t>
            </w:r>
          </w:p>
        </w:tc>
      </w:tr>
      <w:tr>
        <w:tblPrEx>
          <w:tblCellMar>
            <w:top w:w="0" w:type="dxa"/>
            <w:left w:w="108" w:type="dxa"/>
            <w:bottom w:w="0" w:type="dxa"/>
            <w:right w:w="108" w:type="dxa"/>
          </w:tblCellMar>
        </w:tblPrEx>
        <w:trPr>
          <w:gridAfter w:val="1"/>
          <w:wAfter w:w="236" w:type="dxa"/>
          <w:trHeight w:val="638" w:hRule="atLeast"/>
        </w:trPr>
        <w:tc>
          <w:tcPr>
            <w:tcW w:w="1077" w:type="dxa"/>
            <w:vMerge w:val="continue"/>
            <w:tcBorders>
              <w:left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974" w:type="dxa"/>
            <w:vMerge w:val="continue"/>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仿宋_GB2312" w:hAnsi="仿宋_GB2312" w:eastAsia="仿宋_GB2312" w:cs="仿宋_GB2312"/>
                <w:sz w:val="24"/>
                <w:szCs w:val="24"/>
              </w:rPr>
            </w:pPr>
          </w:p>
        </w:tc>
        <w:tc>
          <w:tcPr>
            <w:tcW w:w="1177" w:type="dxa"/>
            <w:vMerge w:val="continue"/>
            <w:tcBorders>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kern w:val="0"/>
                <w:sz w:val="20"/>
                <w:szCs w:val="20"/>
              </w:rPr>
            </w:pPr>
          </w:p>
        </w:tc>
        <w:tc>
          <w:tcPr>
            <w:tcW w:w="2314" w:type="dxa"/>
            <w:tcBorders>
              <w:top w:val="single" w:color="000000" w:sz="4" w:space="0"/>
              <w:left w:val="single" w:color="000000" w:sz="4" w:space="0"/>
              <w:bottom w:val="single" w:color="000000" w:sz="4" w:space="0"/>
              <w:right w:val="single" w:color="000000" w:sz="4" w:space="0"/>
            </w:tcBorders>
            <w:vAlign w:val="center"/>
          </w:tcPr>
          <w:p>
            <w:pPr>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农村学校校舍日常维修改造质量达标率</w:t>
            </w:r>
          </w:p>
        </w:tc>
        <w:tc>
          <w:tcPr>
            <w:tcW w:w="1310"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100%</w:t>
            </w:r>
          </w:p>
        </w:tc>
        <w:tc>
          <w:tcPr>
            <w:tcW w:w="2086"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100%</w:t>
            </w:r>
          </w:p>
        </w:tc>
      </w:tr>
      <w:tr>
        <w:tblPrEx>
          <w:tblCellMar>
            <w:top w:w="0" w:type="dxa"/>
            <w:left w:w="108" w:type="dxa"/>
            <w:bottom w:w="0" w:type="dxa"/>
            <w:right w:w="108" w:type="dxa"/>
          </w:tblCellMar>
        </w:tblPrEx>
        <w:trPr>
          <w:gridAfter w:val="1"/>
          <w:wAfter w:w="236" w:type="dxa"/>
          <w:trHeight w:val="382" w:hRule="atLeast"/>
        </w:trPr>
        <w:tc>
          <w:tcPr>
            <w:tcW w:w="1077" w:type="dxa"/>
            <w:vMerge w:val="continue"/>
            <w:tcBorders>
              <w:left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974" w:type="dxa"/>
            <w:vMerge w:val="continue"/>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仿宋_GB2312" w:hAnsi="仿宋_GB2312" w:eastAsia="仿宋_GB2312" w:cs="仿宋_GB2312"/>
                <w:sz w:val="24"/>
                <w:szCs w:val="24"/>
              </w:rPr>
            </w:pPr>
          </w:p>
        </w:tc>
        <w:tc>
          <w:tcPr>
            <w:tcW w:w="1177" w:type="dxa"/>
            <w:vMerge w:val="restart"/>
            <w:tcBorders>
              <w:top w:val="single" w:color="000000" w:sz="4" w:space="0"/>
              <w:left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kern w:val="0"/>
                <w:sz w:val="20"/>
                <w:szCs w:val="20"/>
              </w:rPr>
              <w:t>时效指标</w:t>
            </w:r>
          </w:p>
        </w:tc>
        <w:tc>
          <w:tcPr>
            <w:tcW w:w="2314"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left"/>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校舍维修建设周期</w:t>
            </w:r>
          </w:p>
        </w:tc>
        <w:tc>
          <w:tcPr>
            <w:tcW w:w="1310"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1</w:t>
            </w:r>
            <w:r>
              <w:rPr>
                <w:rFonts w:hint="eastAsia" w:ascii="仿宋_GB2312" w:hAnsi="仿宋_GB2312" w:eastAsia="仿宋_GB2312" w:cs="仿宋_GB2312"/>
                <w:sz w:val="20"/>
                <w:szCs w:val="20"/>
              </w:rPr>
              <w:t>年</w:t>
            </w:r>
          </w:p>
        </w:tc>
        <w:tc>
          <w:tcPr>
            <w:tcW w:w="2086"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1</w:t>
            </w:r>
            <w:r>
              <w:rPr>
                <w:rFonts w:hint="eastAsia" w:ascii="仿宋_GB2312" w:hAnsi="仿宋_GB2312" w:eastAsia="仿宋_GB2312" w:cs="仿宋_GB2312"/>
                <w:sz w:val="20"/>
                <w:szCs w:val="20"/>
              </w:rPr>
              <w:t>年</w:t>
            </w:r>
          </w:p>
        </w:tc>
      </w:tr>
      <w:tr>
        <w:tblPrEx>
          <w:tblCellMar>
            <w:top w:w="0" w:type="dxa"/>
            <w:left w:w="108" w:type="dxa"/>
            <w:bottom w:w="0" w:type="dxa"/>
            <w:right w:w="108" w:type="dxa"/>
          </w:tblCellMar>
        </w:tblPrEx>
        <w:trPr>
          <w:gridAfter w:val="1"/>
          <w:wAfter w:w="236" w:type="dxa"/>
          <w:trHeight w:val="654" w:hRule="atLeast"/>
        </w:trPr>
        <w:tc>
          <w:tcPr>
            <w:tcW w:w="1077" w:type="dxa"/>
            <w:vMerge w:val="continue"/>
            <w:tcBorders>
              <w:left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974" w:type="dxa"/>
            <w:vMerge w:val="continue"/>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仿宋_GB2312" w:hAnsi="仿宋_GB2312" w:eastAsia="仿宋_GB2312" w:cs="仿宋_GB2312"/>
                <w:sz w:val="24"/>
                <w:szCs w:val="24"/>
              </w:rPr>
            </w:pPr>
          </w:p>
        </w:tc>
        <w:tc>
          <w:tcPr>
            <w:tcW w:w="1177" w:type="dxa"/>
            <w:vMerge w:val="continue"/>
            <w:tcBorders>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kern w:val="0"/>
                <w:sz w:val="20"/>
                <w:szCs w:val="20"/>
              </w:rPr>
            </w:pPr>
          </w:p>
        </w:tc>
        <w:tc>
          <w:tcPr>
            <w:tcW w:w="2314"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left"/>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资金拨付及时性</w:t>
            </w:r>
          </w:p>
        </w:tc>
        <w:tc>
          <w:tcPr>
            <w:tcW w:w="1310"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按项目进度拨款</w:t>
            </w:r>
          </w:p>
        </w:tc>
        <w:tc>
          <w:tcPr>
            <w:tcW w:w="2086"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按项目进度拨款</w:t>
            </w:r>
          </w:p>
        </w:tc>
      </w:tr>
      <w:tr>
        <w:tblPrEx>
          <w:tblCellMar>
            <w:top w:w="0" w:type="dxa"/>
            <w:left w:w="108" w:type="dxa"/>
            <w:bottom w:w="0" w:type="dxa"/>
            <w:right w:w="108" w:type="dxa"/>
          </w:tblCellMar>
        </w:tblPrEx>
        <w:trPr>
          <w:gridAfter w:val="1"/>
          <w:wAfter w:w="236" w:type="dxa"/>
          <w:trHeight w:val="654" w:hRule="atLeast"/>
        </w:trPr>
        <w:tc>
          <w:tcPr>
            <w:tcW w:w="1077" w:type="dxa"/>
            <w:vMerge w:val="continue"/>
            <w:tcBorders>
              <w:left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974" w:type="dxa"/>
            <w:vMerge w:val="continue"/>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仿宋_GB2312" w:hAnsi="仿宋_GB2312" w:eastAsia="仿宋_GB2312" w:cs="仿宋_GB2312"/>
                <w:sz w:val="24"/>
                <w:szCs w:val="24"/>
              </w:rPr>
            </w:pPr>
          </w:p>
        </w:tc>
        <w:tc>
          <w:tcPr>
            <w:tcW w:w="1177" w:type="dxa"/>
            <w:tcBorders>
              <w:top w:val="single" w:color="000000" w:sz="4" w:space="0"/>
              <w:left w:val="single" w:color="000000" w:sz="4" w:space="0"/>
              <w:bottom w:val="single" w:color="auto"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kern w:val="0"/>
                <w:sz w:val="20"/>
                <w:szCs w:val="20"/>
              </w:rPr>
              <w:t>成本指标</w:t>
            </w:r>
          </w:p>
        </w:tc>
        <w:tc>
          <w:tcPr>
            <w:tcW w:w="2314"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left"/>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校舍维修类项目每平方米造价</w:t>
            </w:r>
          </w:p>
        </w:tc>
        <w:tc>
          <w:tcPr>
            <w:tcW w:w="1310"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w:t>
            </w:r>
            <w:r>
              <w:rPr>
                <w:rFonts w:ascii="仿宋_GB2312" w:hAnsi="仿宋_GB2312" w:eastAsia="仿宋_GB2312" w:cs="仿宋_GB2312"/>
                <w:sz w:val="20"/>
                <w:szCs w:val="20"/>
              </w:rPr>
              <w:t>800</w:t>
            </w:r>
            <w:r>
              <w:rPr>
                <w:rFonts w:hint="eastAsia" w:ascii="仿宋_GB2312" w:hAnsi="仿宋_GB2312" w:eastAsia="仿宋_GB2312" w:cs="仿宋_GB2312"/>
                <w:sz w:val="20"/>
                <w:szCs w:val="20"/>
              </w:rPr>
              <w:t>元</w:t>
            </w:r>
          </w:p>
        </w:tc>
        <w:tc>
          <w:tcPr>
            <w:tcW w:w="2086"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440</w:t>
            </w:r>
            <w:r>
              <w:rPr>
                <w:rFonts w:hint="eastAsia" w:ascii="仿宋_GB2312" w:hAnsi="仿宋_GB2312" w:eastAsia="仿宋_GB2312" w:cs="仿宋_GB2312"/>
                <w:sz w:val="20"/>
                <w:szCs w:val="20"/>
              </w:rPr>
              <w:t>元</w:t>
            </w:r>
          </w:p>
        </w:tc>
      </w:tr>
      <w:tr>
        <w:tblPrEx>
          <w:tblCellMar>
            <w:top w:w="0" w:type="dxa"/>
            <w:left w:w="108" w:type="dxa"/>
            <w:bottom w:w="0" w:type="dxa"/>
            <w:right w:w="108" w:type="dxa"/>
          </w:tblCellMar>
        </w:tblPrEx>
        <w:trPr>
          <w:gridAfter w:val="1"/>
          <w:wAfter w:w="236" w:type="dxa"/>
          <w:trHeight w:val="654" w:hRule="atLeast"/>
        </w:trPr>
        <w:tc>
          <w:tcPr>
            <w:tcW w:w="1077" w:type="dxa"/>
            <w:vMerge w:val="continue"/>
            <w:tcBorders>
              <w:left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974" w:type="dxa"/>
            <w:vMerge w:val="restart"/>
            <w:tcBorders>
              <w:top w:val="single" w:color="000000" w:sz="4" w:space="0"/>
              <w:left w:val="single" w:color="000000" w:sz="4" w:space="0"/>
              <w:right w:val="single" w:color="auto" w:sz="4" w:space="0"/>
            </w:tcBorders>
            <w:vAlign w:val="center"/>
          </w:tcPr>
          <w:p>
            <w:pPr>
              <w:widowControl/>
              <w:spacing w:line="320" w:lineRule="exact"/>
              <w:jc w:val="center"/>
              <w:textAlignment w:val="bottom"/>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效益</w:t>
            </w:r>
          </w:p>
          <w:p>
            <w:pPr>
              <w:widowControl/>
              <w:spacing w:line="320" w:lineRule="exact"/>
              <w:jc w:val="center"/>
              <w:textAlignment w:val="bottom"/>
              <w:rPr>
                <w:rFonts w:ascii="仿宋_GB2312" w:hAnsi="仿宋_GB2312" w:eastAsia="仿宋_GB2312" w:cs="仿宋_GB2312"/>
                <w:sz w:val="24"/>
                <w:szCs w:val="24"/>
              </w:rPr>
            </w:pPr>
            <w:r>
              <w:rPr>
                <w:rFonts w:hint="eastAsia" w:ascii="仿宋_GB2312" w:hAnsi="仿宋_GB2312" w:eastAsia="仿宋_GB2312" w:cs="仿宋_GB2312"/>
                <w:kern w:val="0"/>
                <w:sz w:val="24"/>
                <w:szCs w:val="24"/>
              </w:rPr>
              <w:t>指标</w:t>
            </w:r>
          </w:p>
        </w:tc>
        <w:tc>
          <w:tcPr>
            <w:tcW w:w="1177"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社会效益</w:t>
            </w:r>
            <w:r>
              <w:rPr>
                <w:rFonts w:ascii="仿宋_GB2312" w:hAnsi="仿宋_GB2312" w:eastAsia="仿宋_GB2312" w:cs="仿宋_GB2312"/>
                <w:sz w:val="20"/>
                <w:szCs w:val="20"/>
              </w:rPr>
              <w:t xml:space="preserve">  </w:t>
            </w:r>
            <w:r>
              <w:rPr>
                <w:rFonts w:hint="eastAsia" w:ascii="仿宋_GB2312" w:hAnsi="仿宋_GB2312" w:eastAsia="仿宋_GB2312" w:cs="仿宋_GB2312"/>
                <w:sz w:val="20"/>
                <w:szCs w:val="20"/>
              </w:rPr>
              <w:t>指标</w:t>
            </w:r>
          </w:p>
        </w:tc>
        <w:tc>
          <w:tcPr>
            <w:tcW w:w="2314" w:type="dxa"/>
            <w:tcBorders>
              <w:top w:val="single" w:color="000000" w:sz="4" w:space="0"/>
              <w:left w:val="single" w:color="auto" w:sz="4" w:space="0"/>
              <w:bottom w:val="single" w:color="000000" w:sz="4" w:space="0"/>
              <w:right w:val="single" w:color="000000" w:sz="4" w:space="0"/>
            </w:tcBorders>
            <w:vAlign w:val="center"/>
          </w:tcPr>
          <w:p>
            <w:pPr>
              <w:widowControl/>
              <w:spacing w:line="320" w:lineRule="exact"/>
              <w:jc w:val="left"/>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改善办学条件</w:t>
            </w:r>
          </w:p>
        </w:tc>
        <w:tc>
          <w:tcPr>
            <w:tcW w:w="1310"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有效</w:t>
            </w:r>
          </w:p>
        </w:tc>
        <w:tc>
          <w:tcPr>
            <w:tcW w:w="2086"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有效</w:t>
            </w:r>
          </w:p>
        </w:tc>
      </w:tr>
      <w:tr>
        <w:tblPrEx>
          <w:tblCellMar>
            <w:top w:w="0" w:type="dxa"/>
            <w:left w:w="108" w:type="dxa"/>
            <w:bottom w:w="0" w:type="dxa"/>
            <w:right w:w="108" w:type="dxa"/>
          </w:tblCellMar>
        </w:tblPrEx>
        <w:trPr>
          <w:gridAfter w:val="1"/>
          <w:wAfter w:w="236" w:type="dxa"/>
          <w:trHeight w:val="654" w:hRule="atLeast"/>
        </w:trPr>
        <w:tc>
          <w:tcPr>
            <w:tcW w:w="1077" w:type="dxa"/>
            <w:vMerge w:val="continue"/>
            <w:tcBorders>
              <w:left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974" w:type="dxa"/>
            <w:vMerge w:val="continue"/>
            <w:tcBorders>
              <w:left w:val="single" w:color="000000" w:sz="4" w:space="0"/>
              <w:right w:val="single" w:color="auto" w:sz="4" w:space="0"/>
            </w:tcBorders>
            <w:vAlign w:val="center"/>
          </w:tcPr>
          <w:p>
            <w:pPr>
              <w:spacing w:line="320" w:lineRule="exact"/>
              <w:jc w:val="center"/>
              <w:rPr>
                <w:rFonts w:ascii="仿宋_GB2312" w:hAnsi="仿宋_GB2312" w:eastAsia="仿宋_GB2312" w:cs="仿宋_GB2312"/>
                <w:sz w:val="24"/>
                <w:szCs w:val="24"/>
              </w:rPr>
            </w:pPr>
          </w:p>
        </w:tc>
        <w:tc>
          <w:tcPr>
            <w:tcW w:w="1177"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生态效益</w:t>
            </w:r>
          </w:p>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指标</w:t>
            </w:r>
          </w:p>
        </w:tc>
        <w:tc>
          <w:tcPr>
            <w:tcW w:w="2314" w:type="dxa"/>
            <w:tcBorders>
              <w:top w:val="single" w:color="000000" w:sz="4" w:space="0"/>
              <w:left w:val="single" w:color="auto" w:sz="4" w:space="0"/>
              <w:bottom w:val="single" w:color="000000" w:sz="4" w:space="0"/>
              <w:right w:val="single" w:color="000000" w:sz="4" w:space="0"/>
            </w:tcBorders>
            <w:vAlign w:val="center"/>
          </w:tcPr>
          <w:p>
            <w:pPr>
              <w:widowControl/>
              <w:spacing w:line="320" w:lineRule="exact"/>
              <w:jc w:val="left"/>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建筑能源消耗水平降低</w:t>
            </w:r>
          </w:p>
        </w:tc>
        <w:tc>
          <w:tcPr>
            <w:tcW w:w="1310"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有效</w:t>
            </w:r>
          </w:p>
        </w:tc>
        <w:tc>
          <w:tcPr>
            <w:tcW w:w="2086"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有效</w:t>
            </w:r>
          </w:p>
        </w:tc>
      </w:tr>
      <w:tr>
        <w:tblPrEx>
          <w:tblCellMar>
            <w:top w:w="0" w:type="dxa"/>
            <w:left w:w="108" w:type="dxa"/>
            <w:bottom w:w="0" w:type="dxa"/>
            <w:right w:w="108" w:type="dxa"/>
          </w:tblCellMar>
        </w:tblPrEx>
        <w:trPr>
          <w:gridAfter w:val="1"/>
          <w:wAfter w:w="236" w:type="dxa"/>
          <w:trHeight w:val="654" w:hRule="atLeast"/>
        </w:trPr>
        <w:tc>
          <w:tcPr>
            <w:tcW w:w="1077" w:type="dxa"/>
            <w:vMerge w:val="continue"/>
            <w:tcBorders>
              <w:left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974" w:type="dxa"/>
            <w:vMerge w:val="continue"/>
            <w:tcBorders>
              <w:left w:val="single" w:color="000000" w:sz="4" w:space="0"/>
              <w:bottom w:val="single" w:color="000000" w:sz="4" w:space="0"/>
              <w:right w:val="single" w:color="auto" w:sz="4" w:space="0"/>
            </w:tcBorders>
            <w:vAlign w:val="center"/>
          </w:tcPr>
          <w:p>
            <w:pPr>
              <w:spacing w:line="320" w:lineRule="exact"/>
              <w:jc w:val="center"/>
              <w:rPr>
                <w:rFonts w:ascii="仿宋_GB2312" w:hAnsi="仿宋_GB2312" w:eastAsia="仿宋_GB2312" w:cs="仿宋_GB2312"/>
                <w:sz w:val="24"/>
                <w:szCs w:val="24"/>
              </w:rPr>
            </w:pPr>
          </w:p>
        </w:tc>
        <w:tc>
          <w:tcPr>
            <w:tcW w:w="1177"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可持续影响指标</w:t>
            </w:r>
          </w:p>
        </w:tc>
        <w:tc>
          <w:tcPr>
            <w:tcW w:w="2314" w:type="dxa"/>
            <w:tcBorders>
              <w:top w:val="single" w:color="000000" w:sz="4" w:space="0"/>
              <w:left w:val="single" w:color="auto" w:sz="4" w:space="0"/>
              <w:bottom w:val="single" w:color="000000" w:sz="4" w:space="0"/>
              <w:right w:val="single" w:color="000000" w:sz="4" w:space="0"/>
            </w:tcBorders>
            <w:vAlign w:val="center"/>
          </w:tcPr>
          <w:p>
            <w:pPr>
              <w:widowControl/>
              <w:spacing w:line="320" w:lineRule="exact"/>
              <w:jc w:val="left"/>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吸引外流学生持续回流</w:t>
            </w:r>
          </w:p>
        </w:tc>
        <w:tc>
          <w:tcPr>
            <w:tcW w:w="1310"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有效</w:t>
            </w:r>
          </w:p>
        </w:tc>
        <w:tc>
          <w:tcPr>
            <w:tcW w:w="2086"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有效</w:t>
            </w:r>
          </w:p>
        </w:tc>
      </w:tr>
      <w:tr>
        <w:tblPrEx>
          <w:tblCellMar>
            <w:top w:w="0" w:type="dxa"/>
            <w:left w:w="108" w:type="dxa"/>
            <w:bottom w:w="0" w:type="dxa"/>
            <w:right w:w="108" w:type="dxa"/>
          </w:tblCellMar>
        </w:tblPrEx>
        <w:trPr>
          <w:gridAfter w:val="1"/>
          <w:wAfter w:w="236" w:type="dxa"/>
          <w:trHeight w:val="614" w:hRule="atLeast"/>
        </w:trPr>
        <w:tc>
          <w:tcPr>
            <w:tcW w:w="1077" w:type="dxa"/>
            <w:vMerge w:val="continue"/>
            <w:tcBorders>
              <w:left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974" w:type="dxa"/>
            <w:vMerge w:val="restart"/>
            <w:tcBorders>
              <w:top w:val="single" w:color="000000" w:sz="4" w:space="0"/>
              <w:left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满意</w:t>
            </w:r>
          </w:p>
          <w:p>
            <w:pPr>
              <w:widowControl/>
              <w:spacing w:line="320" w:lineRule="exact"/>
              <w:jc w:val="center"/>
              <w:textAlignment w:val="bottom"/>
              <w:rPr>
                <w:rFonts w:ascii="仿宋_GB2312" w:hAnsi="仿宋_GB2312" w:eastAsia="仿宋_GB2312" w:cs="仿宋_GB2312"/>
                <w:sz w:val="24"/>
                <w:szCs w:val="24"/>
              </w:rPr>
            </w:pPr>
            <w:r>
              <w:rPr>
                <w:rFonts w:hint="eastAsia" w:ascii="仿宋_GB2312" w:hAnsi="仿宋_GB2312" w:eastAsia="仿宋_GB2312" w:cs="仿宋_GB2312"/>
                <w:kern w:val="0"/>
                <w:sz w:val="24"/>
                <w:szCs w:val="24"/>
              </w:rPr>
              <w:t>度指标</w:t>
            </w:r>
          </w:p>
        </w:tc>
        <w:tc>
          <w:tcPr>
            <w:tcW w:w="1177" w:type="dxa"/>
            <w:vMerge w:val="restart"/>
            <w:tcBorders>
              <w:top w:val="single" w:color="auto" w:sz="4" w:space="0"/>
              <w:left w:val="single" w:color="000000" w:sz="4" w:space="0"/>
              <w:bottom w:val="single" w:color="auto"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满意度</w:t>
            </w:r>
          </w:p>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kern w:val="0"/>
                <w:sz w:val="20"/>
                <w:szCs w:val="20"/>
              </w:rPr>
              <w:t>指标</w:t>
            </w:r>
          </w:p>
        </w:tc>
        <w:tc>
          <w:tcPr>
            <w:tcW w:w="2314"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left"/>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师生生满意度</w:t>
            </w:r>
          </w:p>
        </w:tc>
        <w:tc>
          <w:tcPr>
            <w:tcW w:w="1310"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w:t>
            </w:r>
            <w:r>
              <w:rPr>
                <w:rFonts w:ascii="仿宋_GB2312" w:hAnsi="仿宋_GB2312" w:eastAsia="仿宋_GB2312" w:cs="仿宋_GB2312"/>
                <w:sz w:val="20"/>
                <w:szCs w:val="20"/>
              </w:rPr>
              <w:t>95%</w:t>
            </w:r>
          </w:p>
        </w:tc>
        <w:tc>
          <w:tcPr>
            <w:tcW w:w="2086"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97%</w:t>
            </w:r>
          </w:p>
        </w:tc>
      </w:tr>
      <w:tr>
        <w:tblPrEx>
          <w:tblCellMar>
            <w:top w:w="0" w:type="dxa"/>
            <w:left w:w="108" w:type="dxa"/>
            <w:bottom w:w="0" w:type="dxa"/>
            <w:right w:w="108" w:type="dxa"/>
          </w:tblCellMar>
        </w:tblPrEx>
        <w:trPr>
          <w:gridAfter w:val="1"/>
          <w:wAfter w:w="236" w:type="dxa"/>
          <w:trHeight w:val="488" w:hRule="atLeast"/>
        </w:trPr>
        <w:tc>
          <w:tcPr>
            <w:tcW w:w="1077" w:type="dxa"/>
            <w:vMerge w:val="continue"/>
            <w:tcBorders>
              <w:left w:val="single" w:color="000000" w:sz="4" w:space="0"/>
              <w:bottom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974" w:type="dxa"/>
            <w:vMerge w:val="continue"/>
            <w:tcBorders>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kern w:val="0"/>
                <w:sz w:val="28"/>
                <w:szCs w:val="28"/>
              </w:rPr>
            </w:pPr>
          </w:p>
        </w:tc>
        <w:tc>
          <w:tcPr>
            <w:tcW w:w="1177" w:type="dxa"/>
            <w:vMerge w:val="continue"/>
            <w:tcBorders>
              <w:top w:val="single" w:color="auto" w:sz="4" w:space="0"/>
              <w:left w:val="single" w:color="000000" w:sz="4" w:space="0"/>
              <w:bottom w:val="single" w:color="auto"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kern w:val="0"/>
                <w:sz w:val="20"/>
                <w:szCs w:val="20"/>
              </w:rPr>
            </w:pPr>
          </w:p>
        </w:tc>
        <w:tc>
          <w:tcPr>
            <w:tcW w:w="2314"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left"/>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社会满意度</w:t>
            </w:r>
          </w:p>
        </w:tc>
        <w:tc>
          <w:tcPr>
            <w:tcW w:w="1310"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w:t>
            </w:r>
            <w:r>
              <w:rPr>
                <w:rFonts w:ascii="仿宋_GB2312" w:hAnsi="仿宋_GB2312" w:eastAsia="仿宋_GB2312" w:cs="仿宋_GB2312"/>
                <w:sz w:val="20"/>
                <w:szCs w:val="20"/>
              </w:rPr>
              <w:t>95%</w:t>
            </w:r>
          </w:p>
        </w:tc>
        <w:tc>
          <w:tcPr>
            <w:tcW w:w="2086"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96%</w:t>
            </w:r>
          </w:p>
        </w:tc>
      </w:tr>
    </w:tbl>
    <w:p>
      <w:pPr>
        <w:spacing w:line="600" w:lineRule="exact"/>
        <w:jc w:val="center"/>
        <w:outlineLvl w:val="0"/>
        <w:rPr>
          <w:rFonts w:ascii="仿宋" w:hAnsi="仿宋" w:eastAsia="仿宋"/>
        </w:rPr>
      </w:pPr>
      <w:r>
        <w:rPr>
          <w:rFonts w:hint="eastAsia" w:ascii="黑体" w:hAnsi="黑体" w:eastAsia="黑体"/>
          <w:sz w:val="44"/>
          <w:szCs w:val="44"/>
        </w:rPr>
        <w:t>第</w:t>
      </w:r>
      <w:r>
        <w:rPr>
          <w:rStyle w:val="22"/>
          <w:rFonts w:hint="eastAsia" w:ascii="黑体" w:hAnsi="黑体" w:eastAsia="黑体"/>
          <w:b w:val="0"/>
        </w:rPr>
        <w:t>五部分</w:t>
      </w:r>
      <w:r>
        <w:rPr>
          <w:rStyle w:val="22"/>
          <w:rFonts w:ascii="黑体" w:hAnsi="黑体" w:eastAsia="黑体"/>
          <w:b w:val="0"/>
        </w:rPr>
        <w:t xml:space="preserve"> </w:t>
      </w:r>
      <w:r>
        <w:rPr>
          <w:rStyle w:val="22"/>
          <w:rFonts w:hint="eastAsia" w:ascii="黑体" w:hAnsi="黑体" w:eastAsia="黑体"/>
          <w:b w:val="0"/>
        </w:rPr>
        <w:t>附表</w:t>
      </w:r>
      <w:bookmarkEnd w:id="51"/>
      <w:bookmarkEnd w:id="53"/>
      <w:bookmarkStart w:id="54" w:name="_Toc15396619"/>
    </w:p>
    <w:p>
      <w:pPr>
        <w:pStyle w:val="4"/>
        <w:rPr>
          <w:rFonts w:ascii="仿宋" w:hAnsi="仿宋" w:eastAsia="仿宋"/>
        </w:rPr>
      </w:pPr>
      <w:r>
        <w:rPr>
          <w:rFonts w:hint="eastAsia" w:ascii="仿宋" w:hAnsi="仿宋" w:eastAsia="仿宋"/>
          <w:b w:val="0"/>
        </w:rPr>
        <w:t>一、收</w:t>
      </w:r>
      <w:r>
        <w:rPr>
          <w:rStyle w:val="38"/>
          <w:rFonts w:hint="eastAsia" w:ascii="仿宋" w:hAnsi="仿宋" w:eastAsia="仿宋"/>
          <w:b w:val="0"/>
          <w:bCs w:val="0"/>
        </w:rPr>
        <w:t>入支出决算总表</w:t>
      </w:r>
      <w:bookmarkEnd w:id="54"/>
    </w:p>
    <w:p>
      <w:pPr>
        <w:pStyle w:val="4"/>
        <w:rPr>
          <w:rFonts w:ascii="仿宋" w:hAnsi="仿宋" w:eastAsia="仿宋"/>
        </w:rPr>
      </w:pPr>
      <w:bookmarkStart w:id="55" w:name="_Toc15396620"/>
      <w:r>
        <w:rPr>
          <w:rFonts w:hint="eastAsia" w:ascii="仿宋" w:hAnsi="仿宋" w:eastAsia="仿宋"/>
          <w:b w:val="0"/>
        </w:rPr>
        <w:t>二、收</w:t>
      </w:r>
      <w:r>
        <w:rPr>
          <w:rStyle w:val="38"/>
          <w:rFonts w:hint="eastAsia" w:ascii="仿宋" w:hAnsi="仿宋" w:eastAsia="仿宋"/>
          <w:b w:val="0"/>
          <w:bCs w:val="0"/>
        </w:rPr>
        <w:t>入决算表</w:t>
      </w:r>
      <w:bookmarkEnd w:id="55"/>
    </w:p>
    <w:p>
      <w:pPr>
        <w:pStyle w:val="4"/>
        <w:rPr>
          <w:rFonts w:ascii="仿宋" w:hAnsi="仿宋" w:eastAsia="仿宋"/>
        </w:rPr>
      </w:pPr>
      <w:bookmarkStart w:id="56" w:name="_Toc15396621"/>
      <w:r>
        <w:rPr>
          <w:rStyle w:val="38"/>
          <w:rFonts w:hint="eastAsia" w:ascii="仿宋" w:hAnsi="仿宋" w:eastAsia="仿宋"/>
          <w:b w:val="0"/>
          <w:bCs w:val="0"/>
        </w:rPr>
        <w:t>三、</w:t>
      </w:r>
      <w:r>
        <w:rPr>
          <w:rFonts w:hint="eastAsia" w:ascii="仿宋" w:hAnsi="仿宋" w:eastAsia="仿宋"/>
          <w:b w:val="0"/>
        </w:rPr>
        <w:t>支</w:t>
      </w:r>
      <w:r>
        <w:rPr>
          <w:rStyle w:val="38"/>
          <w:rFonts w:hint="eastAsia" w:ascii="仿宋" w:hAnsi="仿宋" w:eastAsia="仿宋"/>
          <w:b w:val="0"/>
          <w:bCs w:val="0"/>
        </w:rPr>
        <w:t>出决算表</w:t>
      </w:r>
      <w:bookmarkEnd w:id="56"/>
    </w:p>
    <w:p>
      <w:pPr>
        <w:pStyle w:val="4"/>
        <w:rPr>
          <w:rFonts w:ascii="仿宋" w:hAnsi="仿宋" w:eastAsia="仿宋"/>
          <w:b w:val="0"/>
        </w:rPr>
      </w:pPr>
      <w:bookmarkStart w:id="57" w:name="_Toc15396622"/>
      <w:r>
        <w:rPr>
          <w:rStyle w:val="38"/>
          <w:rFonts w:hint="eastAsia" w:ascii="仿宋" w:hAnsi="仿宋" w:eastAsia="仿宋"/>
          <w:b w:val="0"/>
          <w:bCs w:val="0"/>
        </w:rPr>
        <w:t>四、</w:t>
      </w:r>
      <w:r>
        <w:rPr>
          <w:rFonts w:hint="eastAsia" w:ascii="仿宋" w:hAnsi="仿宋" w:eastAsia="仿宋"/>
          <w:b w:val="0"/>
        </w:rPr>
        <w:t>财</w:t>
      </w:r>
      <w:r>
        <w:rPr>
          <w:rStyle w:val="38"/>
          <w:rFonts w:hint="eastAsia" w:ascii="仿宋" w:hAnsi="仿宋" w:eastAsia="仿宋"/>
          <w:b w:val="0"/>
          <w:bCs w:val="0"/>
        </w:rPr>
        <w:t>政拨款收入支出决算总表</w:t>
      </w:r>
      <w:bookmarkEnd w:id="57"/>
    </w:p>
    <w:p>
      <w:pPr>
        <w:pStyle w:val="4"/>
        <w:rPr>
          <w:rStyle w:val="38"/>
          <w:rFonts w:ascii="仿宋" w:hAnsi="仿宋" w:eastAsia="仿宋"/>
          <w:b w:val="0"/>
          <w:bCs w:val="0"/>
        </w:rPr>
      </w:pPr>
      <w:bookmarkStart w:id="58" w:name="_Toc15396623"/>
      <w:r>
        <w:rPr>
          <w:rStyle w:val="38"/>
          <w:rFonts w:hint="eastAsia" w:ascii="仿宋" w:hAnsi="仿宋" w:eastAsia="仿宋"/>
          <w:b w:val="0"/>
          <w:bCs w:val="0"/>
        </w:rPr>
        <w:t>五、</w:t>
      </w:r>
      <w:r>
        <w:rPr>
          <w:rFonts w:hint="eastAsia" w:ascii="仿宋" w:hAnsi="仿宋" w:eastAsia="仿宋"/>
          <w:b w:val="0"/>
        </w:rPr>
        <w:t>财</w:t>
      </w:r>
      <w:r>
        <w:rPr>
          <w:rStyle w:val="38"/>
          <w:rFonts w:hint="eastAsia" w:ascii="仿宋" w:hAnsi="仿宋" w:eastAsia="仿宋"/>
          <w:b w:val="0"/>
          <w:bCs w:val="0"/>
        </w:rPr>
        <w:t>政拨款支出决算明细表</w:t>
      </w:r>
      <w:bookmarkEnd w:id="58"/>
      <w:bookmarkStart w:id="59" w:name="_Toc15396624"/>
    </w:p>
    <w:p>
      <w:pPr>
        <w:pStyle w:val="4"/>
        <w:rPr>
          <w:rFonts w:ascii="仿宋" w:hAnsi="仿宋" w:eastAsia="仿宋"/>
        </w:rPr>
      </w:pPr>
      <w:r>
        <w:rPr>
          <w:rStyle w:val="38"/>
          <w:rFonts w:hint="eastAsia" w:ascii="仿宋" w:hAnsi="仿宋" w:eastAsia="仿宋"/>
          <w:b w:val="0"/>
          <w:bCs w:val="0"/>
        </w:rPr>
        <w:t>六、</w:t>
      </w:r>
      <w:r>
        <w:rPr>
          <w:rFonts w:hint="eastAsia" w:ascii="仿宋" w:hAnsi="仿宋" w:eastAsia="仿宋"/>
          <w:b w:val="0"/>
        </w:rPr>
        <w:t>一</w:t>
      </w:r>
      <w:r>
        <w:rPr>
          <w:rStyle w:val="38"/>
          <w:rFonts w:hint="eastAsia" w:ascii="仿宋" w:hAnsi="仿宋" w:eastAsia="仿宋"/>
          <w:b w:val="0"/>
          <w:bCs w:val="0"/>
        </w:rPr>
        <w:t>般公共预算财政拨款支出决算表</w:t>
      </w:r>
      <w:bookmarkEnd w:id="59"/>
    </w:p>
    <w:p>
      <w:pPr>
        <w:pStyle w:val="4"/>
        <w:rPr>
          <w:rFonts w:ascii="仿宋" w:hAnsi="仿宋" w:eastAsia="仿宋"/>
        </w:rPr>
      </w:pPr>
      <w:bookmarkStart w:id="60" w:name="_Toc15396625"/>
      <w:r>
        <w:rPr>
          <w:rStyle w:val="38"/>
          <w:rFonts w:hint="eastAsia" w:ascii="仿宋" w:hAnsi="仿宋" w:eastAsia="仿宋"/>
          <w:b w:val="0"/>
          <w:bCs w:val="0"/>
        </w:rPr>
        <w:t>七、</w:t>
      </w:r>
      <w:r>
        <w:rPr>
          <w:rFonts w:hint="eastAsia" w:ascii="仿宋" w:hAnsi="仿宋" w:eastAsia="仿宋"/>
          <w:b w:val="0"/>
        </w:rPr>
        <w:t>一</w:t>
      </w:r>
      <w:r>
        <w:rPr>
          <w:rStyle w:val="38"/>
          <w:rFonts w:hint="eastAsia" w:ascii="仿宋" w:hAnsi="仿宋" w:eastAsia="仿宋"/>
          <w:b w:val="0"/>
          <w:bCs w:val="0"/>
        </w:rPr>
        <w:t>般公共预算财政拨款支出决算明细表</w:t>
      </w:r>
      <w:bookmarkEnd w:id="60"/>
    </w:p>
    <w:p>
      <w:pPr>
        <w:pStyle w:val="4"/>
        <w:rPr>
          <w:rFonts w:ascii="仿宋" w:hAnsi="仿宋" w:eastAsia="仿宋"/>
        </w:rPr>
      </w:pPr>
      <w:bookmarkStart w:id="61" w:name="_Toc15396626"/>
      <w:r>
        <w:rPr>
          <w:rStyle w:val="38"/>
          <w:rFonts w:hint="eastAsia" w:ascii="仿宋" w:hAnsi="仿宋" w:eastAsia="仿宋"/>
          <w:b w:val="0"/>
          <w:bCs w:val="0"/>
        </w:rPr>
        <w:t>八、</w:t>
      </w:r>
      <w:r>
        <w:rPr>
          <w:rFonts w:hint="eastAsia" w:ascii="仿宋" w:hAnsi="仿宋" w:eastAsia="仿宋"/>
          <w:b w:val="0"/>
        </w:rPr>
        <w:t>一</w:t>
      </w:r>
      <w:r>
        <w:rPr>
          <w:rStyle w:val="38"/>
          <w:rFonts w:hint="eastAsia" w:ascii="仿宋" w:hAnsi="仿宋" w:eastAsia="仿宋"/>
          <w:b w:val="0"/>
          <w:bCs w:val="0"/>
        </w:rPr>
        <w:t>般公共预算财政拨款基本支出决算表</w:t>
      </w:r>
      <w:bookmarkEnd w:id="61"/>
    </w:p>
    <w:p>
      <w:pPr>
        <w:pStyle w:val="4"/>
        <w:rPr>
          <w:rFonts w:ascii="仿宋" w:hAnsi="仿宋" w:eastAsia="仿宋"/>
        </w:rPr>
      </w:pPr>
      <w:bookmarkStart w:id="62" w:name="_Toc15396627"/>
      <w:r>
        <w:rPr>
          <w:rStyle w:val="38"/>
          <w:rFonts w:hint="eastAsia" w:ascii="仿宋" w:hAnsi="仿宋" w:eastAsia="仿宋"/>
          <w:b w:val="0"/>
          <w:bCs w:val="0"/>
        </w:rPr>
        <w:t>九、</w:t>
      </w:r>
      <w:r>
        <w:rPr>
          <w:rFonts w:hint="eastAsia" w:ascii="仿宋" w:hAnsi="仿宋" w:eastAsia="仿宋"/>
          <w:b w:val="0"/>
        </w:rPr>
        <w:t>一</w:t>
      </w:r>
      <w:r>
        <w:rPr>
          <w:rStyle w:val="38"/>
          <w:rFonts w:hint="eastAsia" w:ascii="仿宋" w:hAnsi="仿宋" w:eastAsia="仿宋"/>
          <w:b w:val="0"/>
          <w:bCs w:val="0"/>
        </w:rPr>
        <w:t>般公共预算财政拨款项目支出决算表</w:t>
      </w:r>
      <w:bookmarkEnd w:id="62"/>
    </w:p>
    <w:p>
      <w:pPr>
        <w:pStyle w:val="4"/>
        <w:rPr>
          <w:rFonts w:ascii="仿宋" w:hAnsi="仿宋" w:eastAsia="仿宋"/>
        </w:rPr>
      </w:pPr>
      <w:bookmarkStart w:id="63" w:name="_Toc15396628"/>
      <w:r>
        <w:rPr>
          <w:rStyle w:val="38"/>
          <w:rFonts w:hint="eastAsia" w:ascii="仿宋" w:hAnsi="仿宋" w:eastAsia="仿宋"/>
          <w:b w:val="0"/>
          <w:bCs w:val="0"/>
        </w:rPr>
        <w:t>十、</w:t>
      </w:r>
      <w:r>
        <w:rPr>
          <w:rFonts w:hint="eastAsia" w:ascii="仿宋" w:hAnsi="仿宋" w:eastAsia="仿宋"/>
          <w:b w:val="0"/>
        </w:rPr>
        <w:t>一</w:t>
      </w:r>
      <w:r>
        <w:rPr>
          <w:rStyle w:val="38"/>
          <w:rFonts w:hint="eastAsia" w:ascii="仿宋" w:hAnsi="仿宋" w:eastAsia="仿宋"/>
          <w:b w:val="0"/>
          <w:bCs w:val="0"/>
        </w:rPr>
        <w:t>般公共预算财政拨款“三公”经费支出决算表</w:t>
      </w:r>
      <w:bookmarkEnd w:id="63"/>
    </w:p>
    <w:p>
      <w:pPr>
        <w:pStyle w:val="4"/>
        <w:rPr>
          <w:rFonts w:ascii="仿宋" w:hAnsi="仿宋" w:eastAsia="仿宋"/>
        </w:rPr>
      </w:pPr>
      <w:bookmarkStart w:id="64" w:name="_Toc15396629"/>
      <w:r>
        <w:rPr>
          <w:rStyle w:val="38"/>
          <w:rFonts w:hint="eastAsia" w:ascii="仿宋" w:hAnsi="仿宋" w:eastAsia="仿宋"/>
          <w:b w:val="0"/>
          <w:bCs w:val="0"/>
        </w:rPr>
        <w:t>十一、</w:t>
      </w:r>
      <w:r>
        <w:rPr>
          <w:rFonts w:hint="eastAsia" w:ascii="仿宋" w:hAnsi="仿宋" w:eastAsia="仿宋"/>
          <w:b w:val="0"/>
        </w:rPr>
        <w:t>政</w:t>
      </w:r>
      <w:r>
        <w:rPr>
          <w:rStyle w:val="38"/>
          <w:rFonts w:hint="eastAsia" w:ascii="仿宋" w:hAnsi="仿宋" w:eastAsia="仿宋"/>
          <w:b w:val="0"/>
          <w:bCs w:val="0"/>
        </w:rPr>
        <w:t>府性基金预算财政拨款收入支出决算表</w:t>
      </w:r>
      <w:bookmarkEnd w:id="64"/>
    </w:p>
    <w:p>
      <w:pPr>
        <w:pStyle w:val="4"/>
        <w:rPr>
          <w:rFonts w:ascii="仿宋" w:hAnsi="仿宋" w:eastAsia="仿宋"/>
        </w:rPr>
      </w:pPr>
      <w:bookmarkStart w:id="65" w:name="_Toc15396630"/>
      <w:r>
        <w:rPr>
          <w:rStyle w:val="38"/>
          <w:rFonts w:hint="eastAsia" w:ascii="仿宋" w:hAnsi="仿宋" w:eastAsia="仿宋"/>
          <w:b w:val="0"/>
          <w:bCs w:val="0"/>
        </w:rPr>
        <w:t>十二、</w:t>
      </w:r>
      <w:r>
        <w:rPr>
          <w:rFonts w:hint="eastAsia" w:ascii="仿宋" w:hAnsi="仿宋" w:eastAsia="仿宋"/>
          <w:b w:val="0"/>
        </w:rPr>
        <w:t>政</w:t>
      </w:r>
      <w:r>
        <w:rPr>
          <w:rStyle w:val="38"/>
          <w:rFonts w:hint="eastAsia" w:ascii="仿宋" w:hAnsi="仿宋" w:eastAsia="仿宋"/>
          <w:b w:val="0"/>
          <w:bCs w:val="0"/>
        </w:rPr>
        <w:t>府性基金预算财政拨款“三公”经费支出决算表</w:t>
      </w:r>
      <w:bookmarkEnd w:id="65"/>
    </w:p>
    <w:p>
      <w:pPr>
        <w:pStyle w:val="4"/>
        <w:rPr>
          <w:rStyle w:val="38"/>
          <w:rFonts w:ascii="仿宋" w:hAnsi="仿宋" w:eastAsia="仿宋"/>
          <w:b w:val="0"/>
          <w:bCs w:val="0"/>
        </w:rPr>
      </w:pPr>
      <w:bookmarkStart w:id="66" w:name="_Toc15396631"/>
      <w:r>
        <w:rPr>
          <w:rStyle w:val="38"/>
          <w:rFonts w:hint="eastAsia" w:ascii="仿宋" w:hAnsi="仿宋" w:eastAsia="仿宋"/>
          <w:b w:val="0"/>
          <w:bCs w:val="0"/>
        </w:rPr>
        <w:t>十三、</w:t>
      </w:r>
      <w:r>
        <w:rPr>
          <w:rFonts w:hint="eastAsia" w:ascii="仿宋" w:hAnsi="仿宋" w:eastAsia="仿宋"/>
          <w:b w:val="0"/>
        </w:rPr>
        <w:t>国</w:t>
      </w:r>
      <w:r>
        <w:rPr>
          <w:rStyle w:val="38"/>
          <w:rFonts w:hint="eastAsia" w:ascii="仿宋" w:hAnsi="仿宋" w:eastAsia="仿宋"/>
          <w:b w:val="0"/>
          <w:bCs w:val="0"/>
        </w:rPr>
        <w:t>有资本经营预算财政拨款收入支出决算表</w:t>
      </w:r>
      <w:bookmarkEnd w:id="66"/>
    </w:p>
    <w:p>
      <w:pPr>
        <w:rPr>
          <w:rFonts w:eastAsia="仿宋"/>
        </w:rPr>
      </w:pPr>
      <w:r>
        <w:rPr>
          <w:rStyle w:val="38"/>
          <w:rFonts w:hint="eastAsia" w:ascii="仿宋" w:hAnsi="仿宋" w:eastAsia="仿宋"/>
          <w:b w:val="0"/>
          <w:bCs w:val="0"/>
        </w:rPr>
        <w:t>十四、国有资本经营预算财政拨款支出决算表</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script"/>
    <w:pitch w:val="default"/>
    <w:sig w:usb0="00000001" w:usb1="080E0000" w:usb2="00000000" w:usb3="00000000" w:csb0="00040000" w:csb1="00000000"/>
  </w:font>
  <w:font w:name="方正小标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fldChar w:fldCharType="begin"/>
    </w:r>
    <w:r>
      <w:instrText xml:space="preserve">PAGE   \* MERGEFORMAT</w:instrText>
    </w:r>
    <w:r>
      <w:fldChar w:fldCharType="separate"/>
    </w:r>
    <w:r>
      <w:rPr>
        <w:lang w:val="zh-CN"/>
      </w:rPr>
      <w:t>19</w:t>
    </w:r>
    <w:r>
      <w:rPr>
        <w:lang w:val="zh-CN"/>
      </w:rPr>
      <w:fldChar w:fldCharType="end"/>
    </w:r>
  </w:p>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cs="Times New Roman"/>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cs="Times New Roman"/>
        <w:b w:val="0"/>
      </w:rPr>
    </w:lvl>
    <w:lvl w:ilvl="1" w:tentative="0">
      <w:start w:val="1"/>
      <w:numFmt w:val="lowerLetter"/>
      <w:lvlText w:val="%2)"/>
      <w:lvlJc w:val="left"/>
      <w:pPr>
        <w:ind w:left="1480" w:hanging="420"/>
      </w:pPr>
      <w:rPr>
        <w:rFonts w:cs="Times New Roman"/>
      </w:rPr>
    </w:lvl>
    <w:lvl w:ilvl="2" w:tentative="0">
      <w:start w:val="1"/>
      <w:numFmt w:val="lowerRoman"/>
      <w:lvlText w:val="%3."/>
      <w:lvlJc w:val="right"/>
      <w:pPr>
        <w:ind w:left="1900" w:hanging="420"/>
      </w:pPr>
      <w:rPr>
        <w:rFonts w:cs="Times New Roman"/>
      </w:rPr>
    </w:lvl>
    <w:lvl w:ilvl="3" w:tentative="0">
      <w:start w:val="1"/>
      <w:numFmt w:val="decimal"/>
      <w:lvlText w:val="%4."/>
      <w:lvlJc w:val="left"/>
      <w:pPr>
        <w:ind w:left="2320" w:hanging="420"/>
      </w:pPr>
      <w:rPr>
        <w:rFonts w:cs="Times New Roman"/>
      </w:rPr>
    </w:lvl>
    <w:lvl w:ilvl="4" w:tentative="0">
      <w:start w:val="1"/>
      <w:numFmt w:val="lowerLetter"/>
      <w:lvlText w:val="%5)"/>
      <w:lvlJc w:val="left"/>
      <w:pPr>
        <w:ind w:left="2740" w:hanging="420"/>
      </w:pPr>
      <w:rPr>
        <w:rFonts w:cs="Times New Roman"/>
      </w:rPr>
    </w:lvl>
    <w:lvl w:ilvl="5" w:tentative="0">
      <w:start w:val="1"/>
      <w:numFmt w:val="lowerRoman"/>
      <w:lvlText w:val="%6."/>
      <w:lvlJc w:val="right"/>
      <w:pPr>
        <w:ind w:left="3160" w:hanging="420"/>
      </w:pPr>
      <w:rPr>
        <w:rFonts w:cs="Times New Roman"/>
      </w:rPr>
    </w:lvl>
    <w:lvl w:ilvl="6" w:tentative="0">
      <w:start w:val="1"/>
      <w:numFmt w:val="decimal"/>
      <w:lvlText w:val="%7."/>
      <w:lvlJc w:val="left"/>
      <w:pPr>
        <w:ind w:left="3580" w:hanging="420"/>
      </w:pPr>
      <w:rPr>
        <w:rFonts w:cs="Times New Roman"/>
      </w:rPr>
    </w:lvl>
    <w:lvl w:ilvl="7" w:tentative="0">
      <w:start w:val="1"/>
      <w:numFmt w:val="lowerLetter"/>
      <w:lvlText w:val="%8)"/>
      <w:lvlJc w:val="left"/>
      <w:pPr>
        <w:ind w:left="4000" w:hanging="420"/>
      </w:pPr>
      <w:rPr>
        <w:rFonts w:cs="Times New Roman"/>
      </w:rPr>
    </w:lvl>
    <w:lvl w:ilvl="8" w:tentative="0">
      <w:start w:val="1"/>
      <w:numFmt w:val="lowerRoman"/>
      <w:lvlText w:val="%9."/>
      <w:lvlJc w:val="right"/>
      <w:pPr>
        <w:ind w:left="4420" w:hanging="420"/>
      </w:pPr>
      <w:rPr>
        <w:rFonts w:cs="Times New Roman"/>
      </w:rPr>
    </w:lvl>
  </w:abstractNum>
  <w:abstractNum w:abstractNumId="3">
    <w:nsid w:val="27593A7F"/>
    <w:multiLevelType w:val="singleLevel"/>
    <w:tmpl w:val="27593A7F"/>
    <w:lvl w:ilvl="0" w:tentative="0">
      <w:start w:val="1"/>
      <w:numFmt w:val="decimal"/>
      <w:lvlText w:val="%1."/>
      <w:lvlJc w:val="left"/>
      <w:pPr>
        <w:tabs>
          <w:tab w:val="left" w:pos="312"/>
        </w:tabs>
      </w:pPr>
      <w:rPr>
        <w:rFonts w:cs="Times New Roman"/>
      </w:rPr>
    </w:lvl>
  </w:abstractNum>
  <w:abstractNum w:abstractNumId="4">
    <w:nsid w:val="6492B4FE"/>
    <w:multiLevelType w:val="singleLevel"/>
    <w:tmpl w:val="6492B4FE"/>
    <w:lvl w:ilvl="0" w:tentative="0">
      <w:start w:val="1"/>
      <w:numFmt w:val="chineseCounting"/>
      <w:suff w:val="nothing"/>
      <w:lvlText w:val="%1、"/>
      <w:lvlJc w:val="left"/>
      <w:rPr>
        <w:rFonts w:hint="eastAsia" w:cs="Times New Roman"/>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lhNTlmMWMwY2NkZGNhOTM0ZTIzOTMwM2UwMjVlYzgifQ=="/>
  </w:docVars>
  <w:rsids>
    <w:rsidRoot w:val="00F1361C"/>
    <w:rsid w:val="000222C6"/>
    <w:rsid w:val="0002549F"/>
    <w:rsid w:val="00032D5F"/>
    <w:rsid w:val="000348E5"/>
    <w:rsid w:val="000468DB"/>
    <w:rsid w:val="0006487A"/>
    <w:rsid w:val="00065F8F"/>
    <w:rsid w:val="00070A43"/>
    <w:rsid w:val="000748AF"/>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33E14"/>
    <w:rsid w:val="00142216"/>
    <w:rsid w:val="00144D6A"/>
    <w:rsid w:val="0014729F"/>
    <w:rsid w:val="00157BAB"/>
    <w:rsid w:val="001654D1"/>
    <w:rsid w:val="00174518"/>
    <w:rsid w:val="0018106D"/>
    <w:rsid w:val="00184031"/>
    <w:rsid w:val="001867E2"/>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D74E3"/>
    <w:rsid w:val="002F1818"/>
    <w:rsid w:val="002F567B"/>
    <w:rsid w:val="003216A9"/>
    <w:rsid w:val="00335A74"/>
    <w:rsid w:val="0036561B"/>
    <w:rsid w:val="00366A89"/>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1B33"/>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469FB"/>
    <w:rsid w:val="00951248"/>
    <w:rsid w:val="0095152F"/>
    <w:rsid w:val="00954C49"/>
    <w:rsid w:val="00955E37"/>
    <w:rsid w:val="0097099F"/>
    <w:rsid w:val="00971997"/>
    <w:rsid w:val="00971FFC"/>
    <w:rsid w:val="0098660A"/>
    <w:rsid w:val="009931C3"/>
    <w:rsid w:val="00994CDE"/>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22EF"/>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65C9E"/>
    <w:rsid w:val="00B77EA6"/>
    <w:rsid w:val="00B81598"/>
    <w:rsid w:val="00B841F1"/>
    <w:rsid w:val="00B944D6"/>
    <w:rsid w:val="00BB4DF0"/>
    <w:rsid w:val="00BC289F"/>
    <w:rsid w:val="00BC2D50"/>
    <w:rsid w:val="00BC5361"/>
    <w:rsid w:val="00BC5460"/>
    <w:rsid w:val="00BC6B50"/>
    <w:rsid w:val="00BD0E25"/>
    <w:rsid w:val="00BF5BD6"/>
    <w:rsid w:val="00C03E31"/>
    <w:rsid w:val="00C24491"/>
    <w:rsid w:val="00C33E72"/>
    <w:rsid w:val="00C354B2"/>
    <w:rsid w:val="00C35554"/>
    <w:rsid w:val="00C42709"/>
    <w:rsid w:val="00C533CC"/>
    <w:rsid w:val="00C5751C"/>
    <w:rsid w:val="00C61BFC"/>
    <w:rsid w:val="00C62B85"/>
    <w:rsid w:val="00C635BA"/>
    <w:rsid w:val="00C65438"/>
    <w:rsid w:val="00C8127E"/>
    <w:rsid w:val="00C87FD8"/>
    <w:rsid w:val="00C91381"/>
    <w:rsid w:val="00C91CBB"/>
    <w:rsid w:val="00CB4E70"/>
    <w:rsid w:val="00CC09B6"/>
    <w:rsid w:val="00CC666F"/>
    <w:rsid w:val="00CD1E3F"/>
    <w:rsid w:val="00CE0437"/>
    <w:rsid w:val="00CE3439"/>
    <w:rsid w:val="00CE44F6"/>
    <w:rsid w:val="00CE49DA"/>
    <w:rsid w:val="00CE7B61"/>
    <w:rsid w:val="00CF3731"/>
    <w:rsid w:val="00D00095"/>
    <w:rsid w:val="00D114F0"/>
    <w:rsid w:val="00D20620"/>
    <w:rsid w:val="00D254F7"/>
    <w:rsid w:val="00D26091"/>
    <w:rsid w:val="00D2685C"/>
    <w:rsid w:val="00D34E7C"/>
    <w:rsid w:val="00D35489"/>
    <w:rsid w:val="00D36AFE"/>
    <w:rsid w:val="00D51276"/>
    <w:rsid w:val="00D7035F"/>
    <w:rsid w:val="00D829E0"/>
    <w:rsid w:val="00DA634F"/>
    <w:rsid w:val="00DA65AC"/>
    <w:rsid w:val="00DB1913"/>
    <w:rsid w:val="00DC410D"/>
    <w:rsid w:val="00DC5A81"/>
    <w:rsid w:val="00DC68CA"/>
    <w:rsid w:val="00DC7CBA"/>
    <w:rsid w:val="00DD73B7"/>
    <w:rsid w:val="00DE0D06"/>
    <w:rsid w:val="00DF28BC"/>
    <w:rsid w:val="00DF34B9"/>
    <w:rsid w:val="00E01053"/>
    <w:rsid w:val="00E07ACF"/>
    <w:rsid w:val="00E331A1"/>
    <w:rsid w:val="00E33202"/>
    <w:rsid w:val="00E336A9"/>
    <w:rsid w:val="00E472B1"/>
    <w:rsid w:val="00E50624"/>
    <w:rsid w:val="00E543EA"/>
    <w:rsid w:val="00E568DF"/>
    <w:rsid w:val="00E64269"/>
    <w:rsid w:val="00E82267"/>
    <w:rsid w:val="00E853CE"/>
    <w:rsid w:val="00E867B6"/>
    <w:rsid w:val="00EA010F"/>
    <w:rsid w:val="00ED1B63"/>
    <w:rsid w:val="00ED3C1F"/>
    <w:rsid w:val="00ED4085"/>
    <w:rsid w:val="00ED420E"/>
    <w:rsid w:val="00ED6FBE"/>
    <w:rsid w:val="00EE2F57"/>
    <w:rsid w:val="00EF4C34"/>
    <w:rsid w:val="00EF5E6B"/>
    <w:rsid w:val="00EF77C6"/>
    <w:rsid w:val="00F05438"/>
    <w:rsid w:val="00F1361C"/>
    <w:rsid w:val="00F156F0"/>
    <w:rsid w:val="00F160C7"/>
    <w:rsid w:val="00F2232C"/>
    <w:rsid w:val="00F2408F"/>
    <w:rsid w:val="00F240E9"/>
    <w:rsid w:val="00F36D8F"/>
    <w:rsid w:val="00F417B1"/>
    <w:rsid w:val="00F45853"/>
    <w:rsid w:val="00F5016D"/>
    <w:rsid w:val="00F602DF"/>
    <w:rsid w:val="00F754A1"/>
    <w:rsid w:val="00F81FD9"/>
    <w:rsid w:val="00F841AA"/>
    <w:rsid w:val="00F84A94"/>
    <w:rsid w:val="00F87E96"/>
    <w:rsid w:val="00FA23E8"/>
    <w:rsid w:val="00FC1AE0"/>
    <w:rsid w:val="00FD3CC1"/>
    <w:rsid w:val="00FF1E02"/>
    <w:rsid w:val="00FF30B4"/>
    <w:rsid w:val="0A2032A3"/>
    <w:rsid w:val="0B8A37D8"/>
    <w:rsid w:val="0EC71F0D"/>
    <w:rsid w:val="10C055FF"/>
    <w:rsid w:val="112C7A85"/>
    <w:rsid w:val="118107EC"/>
    <w:rsid w:val="11DD6519"/>
    <w:rsid w:val="12910332"/>
    <w:rsid w:val="157E27B0"/>
    <w:rsid w:val="16BB723D"/>
    <w:rsid w:val="177D300F"/>
    <w:rsid w:val="18015F3F"/>
    <w:rsid w:val="1BE8440E"/>
    <w:rsid w:val="1D155CEE"/>
    <w:rsid w:val="20F57F95"/>
    <w:rsid w:val="23066A21"/>
    <w:rsid w:val="240371BF"/>
    <w:rsid w:val="24D54B4E"/>
    <w:rsid w:val="25C741E6"/>
    <w:rsid w:val="27842671"/>
    <w:rsid w:val="27B00C00"/>
    <w:rsid w:val="29FD04D3"/>
    <w:rsid w:val="2ABE7A3E"/>
    <w:rsid w:val="2BAE4DE0"/>
    <w:rsid w:val="2C0D4D5A"/>
    <w:rsid w:val="2EFA178C"/>
    <w:rsid w:val="30B46D73"/>
    <w:rsid w:val="319F7F4E"/>
    <w:rsid w:val="32E05DEF"/>
    <w:rsid w:val="353C0D20"/>
    <w:rsid w:val="39AE70AB"/>
    <w:rsid w:val="3C0C0783"/>
    <w:rsid w:val="3F795B0E"/>
    <w:rsid w:val="3F9F3A96"/>
    <w:rsid w:val="493C27E9"/>
    <w:rsid w:val="496F39ED"/>
    <w:rsid w:val="49FF41D3"/>
    <w:rsid w:val="4A185DC8"/>
    <w:rsid w:val="4BE068DB"/>
    <w:rsid w:val="4BF6002B"/>
    <w:rsid w:val="4ECE2238"/>
    <w:rsid w:val="4FD61684"/>
    <w:rsid w:val="503645ED"/>
    <w:rsid w:val="508F3649"/>
    <w:rsid w:val="51DB4B86"/>
    <w:rsid w:val="52FB5859"/>
    <w:rsid w:val="55333C3E"/>
    <w:rsid w:val="58737E60"/>
    <w:rsid w:val="5EEF25B2"/>
    <w:rsid w:val="64A80084"/>
    <w:rsid w:val="64CA39A1"/>
    <w:rsid w:val="65B126BB"/>
    <w:rsid w:val="6C4A05C8"/>
    <w:rsid w:val="6C6E6699"/>
    <w:rsid w:val="6EDA0CDC"/>
    <w:rsid w:val="72734D90"/>
    <w:rsid w:val="727D7081"/>
    <w:rsid w:val="72E456B5"/>
    <w:rsid w:val="74E366CA"/>
    <w:rsid w:val="79E7B28D"/>
    <w:rsid w:val="7AC82E51"/>
    <w:rsid w:val="7BFA24EA"/>
    <w:rsid w:val="7CAB154F"/>
    <w:rsid w:val="7F9F20EE"/>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semiHidden="0" w:name="toc 1"/>
    <w:lsdException w:unhideWhenUsed="0" w:uiPriority="99" w:semiHidden="0" w:name="toc 2"/>
    <w:lsdException w:unhideWhenUsed="0" w:uiPriority="9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nhideWhenUsed="0" w:uiPriority="99" w:name="annotation text"/>
    <w:lsdException w:unhideWhenUsed="0" w:uiPriority="99" w:name="header"/>
    <w:lsdException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nhideWhenUsed="0" w:uiPriority="99" w:name="Default Paragraph Font"/>
    <w:lsdException w:unhideWhenUsed="0" w:uiPriority="99" w:semiHidden="0" w:name="Body Text"/>
    <w:lsdException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nhideWhenUsed="0" w:uiPriority="99" w:semiHidden="0" w:name="Salutation"/>
    <w:lsdException w:uiPriority="99" w:name="Date" w:locked="1"/>
    <w:lsdException w:uiPriority="99" w:name="Body Text First Indent" w:locked="1"/>
    <w:lsdException w:unhideWhenUsed="0" w:uiPriority="99" w:semiHidden="0" w:name="Body Text First Indent 2"/>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nhideWhenUsed="0" w:uiPriority="99" w:semiHidden="0" w:name="Hyperlink"/>
    <w:lsdException w:uiPriority="99" w:name="FollowedHyperlink" w:locked="1"/>
    <w:lsdException w:qFormat="1" w:unhideWhenUsed="0" w:uiPriority="99"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nhideWhenUsed="0" w:uiPriority="99"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nhideWhenUsed="0" w:uiPriority="99" w:name="Balloon Text"/>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2"/>
    <w:qFormat/>
    <w:uiPriority w:val="99"/>
    <w:pPr>
      <w:keepNext/>
      <w:keepLines/>
      <w:spacing w:before="340" w:after="330" w:line="578" w:lineRule="auto"/>
      <w:outlineLvl w:val="0"/>
    </w:pPr>
    <w:rPr>
      <w:b/>
      <w:bCs/>
      <w:kern w:val="44"/>
      <w:sz w:val="44"/>
      <w:szCs w:val="44"/>
    </w:rPr>
  </w:style>
  <w:style w:type="paragraph" w:styleId="4">
    <w:name w:val="heading 2"/>
    <w:basedOn w:val="1"/>
    <w:next w:val="1"/>
    <w:link w:val="42"/>
    <w:qFormat/>
    <w:uiPriority w:val="99"/>
    <w:pPr>
      <w:keepNext/>
      <w:keepLines/>
      <w:spacing w:before="260" w:after="260" w:line="416" w:lineRule="auto"/>
      <w:outlineLvl w:val="1"/>
    </w:pPr>
    <w:rPr>
      <w:rFonts w:ascii="Cambria" w:hAnsi="Cambria"/>
      <w:b/>
      <w:bCs/>
      <w:sz w:val="32"/>
      <w:szCs w:val="32"/>
    </w:rPr>
  </w:style>
  <w:style w:type="paragraph" w:styleId="5">
    <w:name w:val="heading 3"/>
    <w:basedOn w:val="1"/>
    <w:next w:val="1"/>
    <w:link w:val="24"/>
    <w:qFormat/>
    <w:uiPriority w:val="99"/>
    <w:pPr>
      <w:keepNext/>
      <w:keepLines/>
      <w:spacing w:before="260" w:after="260" w:line="416" w:lineRule="auto"/>
      <w:outlineLvl w:val="2"/>
    </w:pPr>
    <w:rPr>
      <w:b/>
      <w:bCs/>
      <w:sz w:val="32"/>
      <w:szCs w:val="32"/>
    </w:rPr>
  </w:style>
  <w:style w:type="character" w:default="1" w:styleId="18">
    <w:name w:val="Default Paragraph Font"/>
    <w:semiHidden/>
    <w:uiPriority w:val="99"/>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43"/>
    <w:uiPriority w:val="99"/>
    <w:pPr>
      <w:spacing w:beforeLines="30"/>
    </w:pPr>
    <w:rPr>
      <w:rFonts w:ascii="仿宋_GB2312" w:eastAsia="仿宋_GB2312"/>
      <w:kern w:val="0"/>
      <w:sz w:val="24"/>
      <w:szCs w:val="20"/>
    </w:rPr>
  </w:style>
  <w:style w:type="paragraph" w:styleId="6">
    <w:name w:val="annotation text"/>
    <w:basedOn w:val="1"/>
    <w:link w:val="26"/>
    <w:semiHidden/>
    <w:uiPriority w:val="99"/>
    <w:pPr>
      <w:jc w:val="left"/>
    </w:pPr>
  </w:style>
  <w:style w:type="paragraph" w:styleId="7">
    <w:name w:val="Salutation"/>
    <w:basedOn w:val="1"/>
    <w:next w:val="1"/>
    <w:link w:val="27"/>
    <w:uiPriority w:val="99"/>
  </w:style>
  <w:style w:type="paragraph" w:styleId="8">
    <w:name w:val="Body Text Indent"/>
    <w:basedOn w:val="1"/>
    <w:link w:val="28"/>
    <w:uiPriority w:val="99"/>
    <w:pPr>
      <w:ind w:left="420" w:leftChars="200"/>
    </w:pPr>
  </w:style>
  <w:style w:type="paragraph" w:styleId="9">
    <w:name w:val="toc 3"/>
    <w:basedOn w:val="1"/>
    <w:next w:val="1"/>
    <w:uiPriority w:val="99"/>
    <w:pPr>
      <w:tabs>
        <w:tab w:val="right" w:leader="dot" w:pos="8296"/>
      </w:tabs>
      <w:ind w:left="840" w:leftChars="400"/>
    </w:pPr>
  </w:style>
  <w:style w:type="paragraph" w:styleId="10">
    <w:name w:val="Balloon Text"/>
    <w:basedOn w:val="1"/>
    <w:link w:val="29"/>
    <w:semiHidden/>
    <w:uiPriority w:val="99"/>
    <w:rPr>
      <w:sz w:val="18"/>
      <w:szCs w:val="18"/>
    </w:rPr>
  </w:style>
  <w:style w:type="paragraph" w:styleId="11">
    <w:name w:val="footer"/>
    <w:basedOn w:val="1"/>
    <w:link w:val="34"/>
    <w:uiPriority w:val="99"/>
    <w:pPr>
      <w:tabs>
        <w:tab w:val="center" w:pos="4153"/>
        <w:tab w:val="right" w:pos="8306"/>
      </w:tabs>
      <w:snapToGrid w:val="0"/>
      <w:jc w:val="left"/>
    </w:pPr>
    <w:rPr>
      <w:kern w:val="0"/>
      <w:sz w:val="18"/>
      <w:szCs w:val="20"/>
    </w:rPr>
  </w:style>
  <w:style w:type="paragraph" w:styleId="12">
    <w:name w:val="header"/>
    <w:basedOn w:val="1"/>
    <w:link w:val="33"/>
    <w:semiHidden/>
    <w:uiPriority w:val="99"/>
    <w:pPr>
      <w:pBdr>
        <w:bottom w:val="single" w:color="auto" w:sz="6" w:space="1"/>
      </w:pBdr>
      <w:tabs>
        <w:tab w:val="center" w:pos="4153"/>
        <w:tab w:val="right" w:pos="8306"/>
      </w:tabs>
      <w:snapToGrid w:val="0"/>
      <w:jc w:val="center"/>
    </w:pPr>
    <w:rPr>
      <w:kern w:val="0"/>
      <w:sz w:val="18"/>
      <w:szCs w:val="20"/>
    </w:rPr>
  </w:style>
  <w:style w:type="paragraph" w:styleId="13">
    <w:name w:val="toc 1"/>
    <w:basedOn w:val="1"/>
    <w:next w:val="1"/>
    <w:qFormat/>
    <w:uiPriority w:val="99"/>
    <w:pPr>
      <w:tabs>
        <w:tab w:val="right" w:leader="dot" w:pos="8296"/>
      </w:tabs>
      <w:spacing w:before="93"/>
      <w:jc w:val="center"/>
    </w:pPr>
    <w:rPr>
      <w:rFonts w:ascii="仿宋" w:hAnsi="仿宋" w:eastAsia="仿宋"/>
      <w:sz w:val="28"/>
      <w:szCs w:val="28"/>
    </w:rPr>
  </w:style>
  <w:style w:type="paragraph" w:styleId="14">
    <w:name w:val="toc 2"/>
    <w:basedOn w:val="1"/>
    <w:next w:val="1"/>
    <w:uiPriority w:val="99"/>
    <w:pPr>
      <w:tabs>
        <w:tab w:val="right" w:leader="dot" w:pos="8296"/>
      </w:tabs>
      <w:ind w:left="420" w:leftChars="200"/>
    </w:pPr>
  </w:style>
  <w:style w:type="paragraph" w:styleId="15">
    <w:name w:val="Normal (Web)"/>
    <w:basedOn w:val="1"/>
    <w:semiHidden/>
    <w:uiPriority w:val="99"/>
    <w:rPr>
      <w:sz w:val="24"/>
    </w:rPr>
  </w:style>
  <w:style w:type="paragraph" w:styleId="16">
    <w:name w:val="Body Text First Indent 2"/>
    <w:basedOn w:val="8"/>
    <w:link w:val="32"/>
    <w:uiPriority w:val="99"/>
    <w:pPr>
      <w:ind w:firstLine="420" w:firstLineChars="200"/>
    </w:pPr>
  </w:style>
  <w:style w:type="character" w:styleId="19">
    <w:name w:val="Strong"/>
    <w:basedOn w:val="18"/>
    <w:qFormat/>
    <w:uiPriority w:val="99"/>
    <w:rPr>
      <w:rFonts w:ascii="Times New Roman" w:hAnsi="Times New Roman" w:cs="Times New Roman"/>
      <w:b/>
    </w:rPr>
  </w:style>
  <w:style w:type="character" w:styleId="20">
    <w:name w:val="Hyperlink"/>
    <w:basedOn w:val="18"/>
    <w:uiPriority w:val="99"/>
    <w:rPr>
      <w:rFonts w:cs="Times New Roman"/>
      <w:color w:val="0000FF"/>
      <w:u w:val="single"/>
    </w:rPr>
  </w:style>
  <w:style w:type="character" w:styleId="21">
    <w:name w:val="annotation reference"/>
    <w:basedOn w:val="18"/>
    <w:semiHidden/>
    <w:uiPriority w:val="99"/>
    <w:rPr>
      <w:rFonts w:cs="Times New Roman"/>
      <w:sz w:val="21"/>
      <w:szCs w:val="21"/>
    </w:rPr>
  </w:style>
  <w:style w:type="character" w:customStyle="1" w:styleId="22">
    <w:name w:val="Heading 1 Char"/>
    <w:basedOn w:val="18"/>
    <w:link w:val="3"/>
    <w:locked/>
    <w:uiPriority w:val="99"/>
    <w:rPr>
      <w:rFonts w:ascii="Times New Roman" w:hAnsi="Times New Roman" w:cs="Times New Roman"/>
      <w:b/>
      <w:bCs/>
      <w:kern w:val="44"/>
      <w:sz w:val="44"/>
      <w:szCs w:val="44"/>
    </w:rPr>
  </w:style>
  <w:style w:type="character" w:customStyle="1" w:styleId="23">
    <w:name w:val="Heading 2 Char"/>
    <w:basedOn w:val="18"/>
    <w:link w:val="4"/>
    <w:locked/>
    <w:uiPriority w:val="99"/>
    <w:rPr>
      <w:rFonts w:ascii="等线 Light" w:hAnsi="等线 Light" w:eastAsia="等线 Light" w:cs="Times New Roman"/>
      <w:b/>
      <w:bCs/>
      <w:kern w:val="2"/>
      <w:sz w:val="32"/>
      <w:szCs w:val="32"/>
    </w:rPr>
  </w:style>
  <w:style w:type="character" w:customStyle="1" w:styleId="24">
    <w:name w:val="Heading 3 Char"/>
    <w:basedOn w:val="18"/>
    <w:link w:val="5"/>
    <w:locked/>
    <w:uiPriority w:val="99"/>
    <w:rPr>
      <w:rFonts w:ascii="Times New Roman" w:hAnsi="Times New Roman" w:cs="Times New Roman"/>
      <w:b/>
      <w:bCs/>
      <w:kern w:val="2"/>
      <w:sz w:val="32"/>
      <w:szCs w:val="32"/>
    </w:rPr>
  </w:style>
  <w:style w:type="character" w:customStyle="1" w:styleId="25">
    <w:name w:val="Body Text Char"/>
    <w:basedOn w:val="18"/>
    <w:link w:val="2"/>
    <w:semiHidden/>
    <w:locked/>
    <w:uiPriority w:val="99"/>
    <w:rPr>
      <w:rFonts w:ascii="Times New Roman" w:hAnsi="Times New Roman" w:cs="Times New Roman"/>
      <w:sz w:val="24"/>
      <w:szCs w:val="24"/>
    </w:rPr>
  </w:style>
  <w:style w:type="character" w:customStyle="1" w:styleId="26">
    <w:name w:val="Comment Text Char"/>
    <w:basedOn w:val="18"/>
    <w:link w:val="6"/>
    <w:semiHidden/>
    <w:locked/>
    <w:uiPriority w:val="99"/>
    <w:rPr>
      <w:rFonts w:cs="Times New Roman"/>
      <w:sz w:val="24"/>
      <w:szCs w:val="24"/>
    </w:rPr>
  </w:style>
  <w:style w:type="character" w:customStyle="1" w:styleId="27">
    <w:name w:val="Salutation Char"/>
    <w:basedOn w:val="18"/>
    <w:link w:val="7"/>
    <w:semiHidden/>
    <w:locked/>
    <w:uiPriority w:val="99"/>
    <w:rPr>
      <w:rFonts w:cs="Times New Roman"/>
      <w:sz w:val="24"/>
      <w:szCs w:val="24"/>
    </w:rPr>
  </w:style>
  <w:style w:type="character" w:customStyle="1" w:styleId="28">
    <w:name w:val="Body Text Indent Char"/>
    <w:basedOn w:val="18"/>
    <w:link w:val="8"/>
    <w:locked/>
    <w:uiPriority w:val="99"/>
    <w:rPr>
      <w:rFonts w:ascii="Times New Roman" w:hAnsi="Times New Roman" w:cs="Times New Roman"/>
      <w:kern w:val="2"/>
      <w:sz w:val="24"/>
      <w:szCs w:val="24"/>
    </w:rPr>
  </w:style>
  <w:style w:type="character" w:customStyle="1" w:styleId="29">
    <w:name w:val="Balloon Text Char"/>
    <w:basedOn w:val="18"/>
    <w:link w:val="10"/>
    <w:semiHidden/>
    <w:locked/>
    <w:uiPriority w:val="99"/>
    <w:rPr>
      <w:rFonts w:ascii="Times New Roman" w:hAnsi="Times New Roman" w:cs="Times New Roman"/>
      <w:kern w:val="2"/>
      <w:sz w:val="18"/>
      <w:szCs w:val="18"/>
    </w:rPr>
  </w:style>
  <w:style w:type="character" w:customStyle="1" w:styleId="30">
    <w:name w:val="Footer Char"/>
    <w:basedOn w:val="18"/>
    <w:link w:val="11"/>
    <w:semiHidden/>
    <w:locked/>
    <w:uiPriority w:val="99"/>
    <w:rPr>
      <w:rFonts w:ascii="Times New Roman" w:hAnsi="Times New Roman" w:cs="Times New Roman"/>
      <w:sz w:val="18"/>
      <w:szCs w:val="18"/>
    </w:rPr>
  </w:style>
  <w:style w:type="character" w:customStyle="1" w:styleId="31">
    <w:name w:val="Header Char"/>
    <w:basedOn w:val="18"/>
    <w:link w:val="12"/>
    <w:semiHidden/>
    <w:locked/>
    <w:uiPriority w:val="99"/>
    <w:rPr>
      <w:rFonts w:ascii="Times New Roman" w:hAnsi="Times New Roman" w:cs="Times New Roman"/>
      <w:sz w:val="18"/>
      <w:szCs w:val="18"/>
    </w:rPr>
  </w:style>
  <w:style w:type="character" w:customStyle="1" w:styleId="32">
    <w:name w:val="Body Text First Indent 2 Char"/>
    <w:basedOn w:val="28"/>
    <w:link w:val="16"/>
    <w:locked/>
    <w:uiPriority w:val="99"/>
  </w:style>
  <w:style w:type="character" w:customStyle="1" w:styleId="33">
    <w:name w:val="Header Char1"/>
    <w:link w:val="12"/>
    <w:semiHidden/>
    <w:locked/>
    <w:uiPriority w:val="99"/>
    <w:rPr>
      <w:sz w:val="18"/>
    </w:rPr>
  </w:style>
  <w:style w:type="character" w:customStyle="1" w:styleId="34">
    <w:name w:val="Footer Char1"/>
    <w:link w:val="11"/>
    <w:locked/>
    <w:uiPriority w:val="99"/>
    <w:rPr>
      <w:sz w:val="18"/>
    </w:rPr>
  </w:style>
  <w:style w:type="character" w:customStyle="1" w:styleId="35">
    <w:name w:val="正文文本 Char"/>
    <w:locked/>
    <w:uiPriority w:val="99"/>
    <w:rPr>
      <w:rFonts w:ascii="仿宋_GB2312" w:hAnsi="Times New Roman" w:eastAsia="仿宋_GB2312"/>
      <w:sz w:val="24"/>
    </w:rPr>
  </w:style>
  <w:style w:type="paragraph" w:customStyle="1" w:styleId="36">
    <w:name w:val="Default"/>
    <w:uiPriority w:val="99"/>
    <w:pPr>
      <w:widowControl w:val="0"/>
      <w:autoSpaceDE w:val="0"/>
      <w:autoSpaceDN w:val="0"/>
      <w:adjustRightInd w:val="0"/>
    </w:pPr>
    <w:rPr>
      <w:rFonts w:ascii="仿宋" w:hAnsi="Calibri" w:eastAsia="仿宋" w:cs="仿宋"/>
      <w:color w:val="000000"/>
      <w:kern w:val="0"/>
      <w:sz w:val="24"/>
      <w:szCs w:val="24"/>
      <w:lang w:val="en-US" w:eastAsia="zh-CN" w:bidi="ar-SA"/>
    </w:rPr>
  </w:style>
  <w:style w:type="paragraph" w:styleId="37">
    <w:name w:val="List Paragraph"/>
    <w:basedOn w:val="1"/>
    <w:qFormat/>
    <w:uiPriority w:val="99"/>
    <w:pPr>
      <w:ind w:firstLine="420" w:firstLineChars="200"/>
    </w:pPr>
  </w:style>
  <w:style w:type="character" w:customStyle="1" w:styleId="38">
    <w:name w:val="标题 2 Char"/>
    <w:basedOn w:val="18"/>
    <w:link w:val="4"/>
    <w:locked/>
    <w:uiPriority w:val="99"/>
    <w:rPr>
      <w:rFonts w:ascii="Cambria" w:hAnsi="Cambria" w:eastAsia="宋体" w:cs="Times New Roman"/>
      <w:b/>
      <w:bCs/>
      <w:kern w:val="2"/>
      <w:sz w:val="32"/>
      <w:szCs w:val="32"/>
    </w:rPr>
  </w:style>
  <w:style w:type="paragraph" w:customStyle="1" w:styleId="39">
    <w:name w:val="TOC 标题1"/>
    <w:basedOn w:val="3"/>
    <w:next w:val="1"/>
    <w:uiPriority w:val="99"/>
    <w:pPr>
      <w:widowControl/>
      <w:spacing w:before="480" w:after="0" w:line="276" w:lineRule="auto"/>
      <w:jc w:val="left"/>
      <w:outlineLvl w:val="9"/>
    </w:pPr>
    <w:rPr>
      <w:rFonts w:ascii="Cambria" w:hAnsi="Cambria"/>
      <w:color w:val="365F91"/>
      <w:kern w:val="0"/>
      <w:sz w:val="28"/>
      <w:szCs w:val="28"/>
    </w:rPr>
  </w:style>
  <w:style w:type="paragraph" w:customStyle="1" w:styleId="40">
    <w:name w:val="TOC 标题2"/>
    <w:basedOn w:val="3"/>
    <w:next w:val="1"/>
    <w:uiPriority w:val="99"/>
    <w:pPr>
      <w:widowControl/>
      <w:spacing w:before="480" w:after="0" w:line="276" w:lineRule="auto"/>
      <w:jc w:val="left"/>
      <w:outlineLvl w:val="9"/>
    </w:pPr>
    <w:rPr>
      <w:rFonts w:ascii="Cambria" w:hAnsi="Cambria"/>
      <w:color w:val="365F91"/>
      <w:kern w:val="0"/>
      <w:sz w:val="28"/>
      <w:szCs w:val="28"/>
    </w:rPr>
  </w:style>
  <w:style w:type="character" w:customStyle="1" w:styleId="41">
    <w:name w:val="正文文本 字符"/>
    <w:basedOn w:val="18"/>
    <w:uiPriority w:val="99"/>
    <w:rPr>
      <w:rFonts w:cs="Times New Roman"/>
      <w:kern w:val="2"/>
      <w:sz w:val="24"/>
      <w:szCs w:val="24"/>
    </w:rPr>
  </w:style>
  <w:style w:type="character" w:customStyle="1" w:styleId="42">
    <w:name w:val="标题 2 Char1"/>
    <w:basedOn w:val="18"/>
    <w:link w:val="4"/>
    <w:locked/>
    <w:uiPriority w:val="99"/>
    <w:rPr>
      <w:rFonts w:ascii="等线 Light" w:hAnsi="等线 Light" w:eastAsia="等线 Light" w:cs="Times New Roman"/>
      <w:b/>
      <w:bCs/>
      <w:kern w:val="2"/>
      <w:sz w:val="32"/>
      <w:szCs w:val="32"/>
    </w:rPr>
  </w:style>
  <w:style w:type="character" w:customStyle="1" w:styleId="43">
    <w:name w:val="Body Text Char1"/>
    <w:basedOn w:val="18"/>
    <w:link w:val="2"/>
    <w:locked/>
    <w:uiPriority w:val="99"/>
    <w:rPr>
      <w:rFonts w:ascii="仿宋_GB2312" w:eastAsia="仿宋_GB2312" w:cs="仿宋_GB2312"/>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7.bin"/><Relationship Id="rId17" Type="http://schemas.openxmlformats.org/officeDocument/2006/relationships/image" Target="media/image6.emf"/><Relationship Id="rId16" Type="http://schemas.openxmlformats.org/officeDocument/2006/relationships/oleObject" Target="embeddings/oleObject6.bin"/><Relationship Id="rId15" Type="http://schemas.openxmlformats.org/officeDocument/2006/relationships/image" Target="media/image5.emf"/><Relationship Id="rId14" Type="http://schemas.openxmlformats.org/officeDocument/2006/relationships/oleObject" Target="embeddings/oleObject5.bin"/><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8"/>
    <customShpInfo spid="_x0000_s1029"/>
    <customShpInfo spid="_x0000_s1030"/>
    <customShpInfo spid="_x0000_s1031"/>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四川省财政厅</Company>
  <Pages>20</Pages>
  <Words>7156</Words>
  <Characters>7643</Characters>
  <Lines>0</Lines>
  <Paragraphs>0</Paragraphs>
  <TotalTime>77</TotalTime>
  <ScaleCrop>false</ScaleCrop>
  <LinksUpToDate>false</LinksUpToDate>
  <CharactersWithSpaces>7695</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king</cp:lastModifiedBy>
  <cp:lastPrinted>2022-09-27T03:56:00Z</cp:lastPrinted>
  <dcterms:modified xsi:type="dcterms:W3CDTF">2022-09-30T14:53:41Z</dcterms:modified>
  <dc:title>四川省***</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90E9467CCEFE4D188C1A3EBDCF3991AB</vt:lpwstr>
  </property>
</Properties>
</file>