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1" w:name="_Toc15377193"/>
      <w:bookmarkStart w:id="2" w:name="_Toc15378441"/>
      <w:bookmarkStart w:id="3" w:name="_Toc15377425"/>
      <w:bookmarkStart w:id="4" w:name="_Toc15396597"/>
      <w:bookmarkStart w:id="5" w:name="_Toc15396475"/>
      <w:r>
        <w:rPr>
          <w:rFonts w:ascii="方正小标宋_GBK" w:hAnsi="方正小标宋_GBK" w:eastAsia="方正小标宋_GBK" w:cs="方正小标宋_GBK"/>
          <w:sz w:val="72"/>
          <w:szCs w:val="72"/>
        </w:rPr>
        <w:t>2021</w:t>
      </w:r>
      <w:r>
        <w:rPr>
          <w:rFonts w:hint="eastAsia" w:ascii="方正小标宋_GBK" w:hAnsi="方正小标宋_GBK" w:eastAsia="方正小标宋_GBK" w:cs="方正小标宋_GBK"/>
          <w:sz w:val="72"/>
          <w:szCs w:val="72"/>
        </w:rPr>
        <w:t>年</w:t>
      </w:r>
      <w:bookmarkStart w:id="67" w:name="_GoBack"/>
      <w:bookmarkEnd w:id="67"/>
      <w:r>
        <w:rPr>
          <w:rFonts w:hint="eastAsia" w:ascii="方正小标宋_GBK" w:hAnsi="方正小标宋_GBK" w:eastAsia="方正小标宋_GBK" w:cs="方正小标宋_GBK"/>
          <w:sz w:val="72"/>
          <w:szCs w:val="72"/>
        </w:rPr>
        <w:t>度</w:t>
      </w:r>
      <w:bookmarkEnd w:id="1"/>
      <w:bookmarkEnd w:id="2"/>
      <w:bookmarkEnd w:id="3"/>
      <w:bookmarkEnd w:id="4"/>
      <w:bookmarkEnd w:id="5"/>
    </w:p>
    <w:p>
      <w:pPr>
        <w:adjustRightInd w:val="0"/>
        <w:snapToGrid w:val="0"/>
        <w:spacing w:line="360" w:lineRule="auto"/>
        <w:jc w:val="center"/>
        <w:outlineLvl w:val="0"/>
        <w:rPr>
          <w:rFonts w:ascii="方正小标宋_GBK" w:hAnsi="方正小标宋_GBK" w:eastAsia="方正小标宋_GBK" w:cs="方正小标宋_GBK"/>
          <w:sz w:val="72"/>
          <w:szCs w:val="72"/>
        </w:rPr>
      </w:pPr>
      <w:bookmarkStart w:id="6" w:name="_Toc15396598"/>
      <w:bookmarkStart w:id="7" w:name="_Toc15377194"/>
      <w:bookmarkStart w:id="8" w:name="_Toc15377426"/>
      <w:bookmarkStart w:id="9" w:name="_Toc15396476"/>
      <w:bookmarkStart w:id="10" w:name="_Toc15378442"/>
      <w:r>
        <w:rPr>
          <w:rFonts w:hint="eastAsia" w:ascii="方正小标宋_GBK" w:hAnsi="方正小标宋_GBK" w:eastAsia="方正小标宋_GBK" w:cs="方正小标宋_GBK"/>
          <w:sz w:val="72"/>
          <w:szCs w:val="72"/>
        </w:rPr>
        <w:t>四川省</w:t>
      </w:r>
      <w:bookmarkEnd w:id="0"/>
      <w:bookmarkStart w:id="11" w:name="_Toc15306268"/>
      <w:r>
        <w:rPr>
          <w:rFonts w:hint="eastAsia" w:ascii="方正小标宋_GBK" w:hAnsi="方正小标宋_GBK" w:eastAsia="方正小标宋_GBK" w:cs="方正小标宋_GBK"/>
          <w:sz w:val="72"/>
          <w:szCs w:val="72"/>
        </w:rPr>
        <w:t>广元市昭化区柏林沟镇小学单位决算</w:t>
      </w:r>
      <w:bookmarkEnd w:id="6"/>
      <w:bookmarkEnd w:id="7"/>
      <w:bookmarkEnd w:id="8"/>
      <w:bookmarkEnd w:id="9"/>
      <w:bookmarkEnd w:id="10"/>
      <w:bookmarkEnd w:id="11"/>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3"/>
        <w:jc w:val="both"/>
      </w:pPr>
    </w:p>
    <w:p/>
    <w:p>
      <w:pPr>
        <w:pStyle w:val="13"/>
        <w:tabs>
          <w:tab w:val="right" w:leader="middleDot" w:pos="8296"/>
        </w:tabs>
        <w:adjustRightInd w:val="0"/>
        <w:snapToGrid w:val="0"/>
        <w:spacing w:before="0" w:line="440" w:lineRule="exact"/>
        <w:jc w:val="left"/>
        <w:rPr>
          <w:sz w:val="24"/>
          <w:szCs w:val="24"/>
        </w:rPr>
      </w:pPr>
      <w:bookmarkStart w:id="12" w:name="_Toc15396599"/>
      <w:bookmarkStart w:id="13" w:name="_Toc15377196"/>
      <w:r>
        <w:rPr>
          <w:rFonts w:hint="eastAsia"/>
          <w:sz w:val="24"/>
        </w:rPr>
        <w:t>第一部分单位概况</w:t>
      </w:r>
      <w:r>
        <w:rPr>
          <w:sz w:val="24"/>
        </w:rPr>
        <w:tab/>
      </w:r>
      <w:r>
        <w:rPr>
          <w:sz w:val="24"/>
        </w:rPr>
        <w:t>4</w:t>
      </w:r>
    </w:p>
    <w:p>
      <w:pPr>
        <w:pStyle w:val="14"/>
        <w:adjustRightInd w:val="0"/>
        <w:snapToGrid w:val="0"/>
        <w:spacing w:line="440" w:lineRule="exact"/>
        <w:ind w:left="31680"/>
        <w:jc w:val="distribute"/>
        <w:rPr>
          <w:sz w:val="24"/>
        </w:rPr>
      </w:pPr>
      <w:r>
        <w:rPr>
          <w:rFonts w:hint="eastAsia"/>
          <w:sz w:val="24"/>
        </w:rPr>
        <w:t>一、职能简介</w:t>
      </w:r>
      <w:r>
        <w:rPr>
          <w:sz w:val="24"/>
        </w:rPr>
        <w:tab/>
      </w:r>
      <w:r>
        <w:rPr>
          <w:sz w:val="24"/>
        </w:rPr>
        <w:t>4</w:t>
      </w:r>
    </w:p>
    <w:p>
      <w:pPr>
        <w:pStyle w:val="14"/>
        <w:adjustRightInd w:val="0"/>
        <w:snapToGrid w:val="0"/>
        <w:spacing w:line="440" w:lineRule="exact"/>
        <w:ind w:left="31680"/>
        <w:jc w:val="distribute"/>
        <w:rPr>
          <w:rFonts w:ascii="宋体" w:cs="宋体"/>
          <w:sz w:val="24"/>
        </w:rPr>
      </w:pPr>
      <w:r>
        <w:rPr>
          <w:rFonts w:hint="eastAsia" w:ascii="宋体" w:hAnsi="宋体" w:cs="宋体"/>
          <w:sz w:val="24"/>
        </w:rPr>
        <w:t>二、</w:t>
      </w:r>
      <w:r>
        <w:rPr>
          <w:rFonts w:ascii="宋体" w:hAnsi="宋体" w:cs="宋体"/>
          <w:sz w:val="24"/>
        </w:rPr>
        <w:t>2021</w:t>
      </w:r>
      <w:r>
        <w:rPr>
          <w:rFonts w:hint="eastAsia" w:ascii="宋体" w:hAnsi="宋体" w:cs="宋体"/>
          <w:sz w:val="24"/>
        </w:rPr>
        <w:t>年重点工作完成情况</w:t>
      </w:r>
      <w:r>
        <w:rPr>
          <w:sz w:val="24"/>
        </w:rPr>
        <w:tab/>
      </w:r>
      <w:r>
        <w:rPr>
          <w:sz w:val="24"/>
        </w:rPr>
        <w:t>5</w:t>
      </w:r>
    </w:p>
    <w:p>
      <w:pPr>
        <w:pStyle w:val="13"/>
        <w:adjustRightInd w:val="0"/>
        <w:snapToGrid w:val="0"/>
        <w:spacing w:before="0" w:line="440" w:lineRule="exact"/>
        <w:jc w:val="left"/>
        <w:rPr>
          <w:sz w:val="24"/>
          <w:szCs w:val="24"/>
        </w:rPr>
      </w:pPr>
      <w:r>
        <w:rPr>
          <w:rFonts w:hint="eastAsia"/>
          <w:sz w:val="24"/>
        </w:rPr>
        <w:t>第二部分</w:t>
      </w:r>
      <w:r>
        <w:rPr>
          <w:sz w:val="24"/>
        </w:rPr>
        <w:t xml:space="preserve"> 2021</w:t>
      </w:r>
      <w:r>
        <w:rPr>
          <w:rFonts w:hint="eastAsia"/>
          <w:sz w:val="24"/>
        </w:rPr>
        <w:t>年度单位决算情况说明</w:t>
      </w:r>
      <w:r>
        <w:rPr>
          <w:sz w:val="24"/>
        </w:rPr>
        <w:tab/>
      </w:r>
      <w:r>
        <w:rPr>
          <w:sz w:val="24"/>
        </w:rPr>
        <w:t>9</w:t>
      </w:r>
    </w:p>
    <w:p>
      <w:pPr>
        <w:pStyle w:val="14"/>
        <w:adjustRightInd w:val="0"/>
        <w:snapToGrid w:val="0"/>
        <w:spacing w:line="440" w:lineRule="exact"/>
        <w:ind w:left="31680"/>
        <w:jc w:val="distribute"/>
        <w:rPr>
          <w:rFonts w:ascii="仿宋" w:hAnsi="仿宋" w:eastAsia="仿宋"/>
          <w:sz w:val="24"/>
        </w:rPr>
      </w:pPr>
      <w:r>
        <w:rPr>
          <w:rFonts w:hint="eastAsia"/>
          <w:sz w:val="24"/>
        </w:rPr>
        <w:t>一、收入支出决算总体情况说明</w:t>
      </w:r>
      <w:r>
        <w:rPr>
          <w:sz w:val="24"/>
        </w:rPr>
        <w:tab/>
      </w:r>
      <w:r>
        <w:rPr>
          <w:sz w:val="24"/>
        </w:rPr>
        <w:t>9</w:t>
      </w:r>
    </w:p>
    <w:p>
      <w:pPr>
        <w:pStyle w:val="14"/>
        <w:adjustRightInd w:val="0"/>
        <w:snapToGrid w:val="0"/>
        <w:spacing w:line="440" w:lineRule="exact"/>
        <w:ind w:left="31680"/>
        <w:jc w:val="distribute"/>
        <w:rPr>
          <w:rFonts w:ascii="仿宋" w:hAnsi="仿宋" w:eastAsia="仿宋"/>
          <w:sz w:val="24"/>
        </w:rPr>
      </w:pPr>
      <w:r>
        <w:rPr>
          <w:rFonts w:hint="eastAsia"/>
          <w:sz w:val="24"/>
        </w:rPr>
        <w:t>二、收入决算情况说明</w:t>
      </w:r>
      <w:r>
        <w:rPr>
          <w:sz w:val="24"/>
        </w:rPr>
        <w:tab/>
      </w:r>
      <w:r>
        <w:rPr>
          <w:sz w:val="24"/>
        </w:rPr>
        <w:t>9</w:t>
      </w:r>
    </w:p>
    <w:p>
      <w:pPr>
        <w:pStyle w:val="14"/>
        <w:adjustRightInd w:val="0"/>
        <w:snapToGrid w:val="0"/>
        <w:spacing w:line="440" w:lineRule="exact"/>
        <w:ind w:left="31680"/>
        <w:jc w:val="distribute"/>
        <w:rPr>
          <w:rFonts w:ascii="仿宋" w:hAnsi="仿宋" w:eastAsia="仿宋"/>
          <w:sz w:val="24"/>
        </w:rPr>
      </w:pPr>
      <w:r>
        <w:rPr>
          <w:rFonts w:hint="eastAsia"/>
          <w:sz w:val="24"/>
        </w:rPr>
        <w:t>三、支出决算情况说明</w:t>
      </w:r>
      <w:r>
        <w:rPr>
          <w:sz w:val="24"/>
        </w:rPr>
        <w:tab/>
      </w:r>
      <w:r>
        <w:rPr>
          <w:sz w:val="24"/>
        </w:rPr>
        <w:t>10</w:t>
      </w:r>
    </w:p>
    <w:p>
      <w:pPr>
        <w:pStyle w:val="14"/>
        <w:adjustRightInd w:val="0"/>
        <w:snapToGrid w:val="0"/>
        <w:spacing w:line="440" w:lineRule="exact"/>
        <w:ind w:left="31680"/>
        <w:jc w:val="distribute"/>
        <w:rPr>
          <w:rFonts w:ascii="仿宋" w:hAnsi="仿宋" w:eastAsia="仿宋"/>
          <w:sz w:val="24"/>
        </w:rPr>
      </w:pPr>
      <w:r>
        <w:rPr>
          <w:rFonts w:hint="eastAsia"/>
          <w:sz w:val="24"/>
        </w:rPr>
        <w:t>四、财政拨款收入支出决算总体情况说明</w:t>
      </w:r>
      <w:r>
        <w:rPr>
          <w:sz w:val="24"/>
        </w:rPr>
        <w:tab/>
      </w:r>
      <w:r>
        <w:rPr>
          <w:sz w:val="24"/>
        </w:rPr>
        <w:t>10</w:t>
      </w:r>
    </w:p>
    <w:p>
      <w:pPr>
        <w:pStyle w:val="14"/>
        <w:adjustRightInd w:val="0"/>
        <w:snapToGrid w:val="0"/>
        <w:spacing w:line="440" w:lineRule="exact"/>
        <w:ind w:left="31680"/>
        <w:jc w:val="distribute"/>
        <w:rPr>
          <w:rFonts w:ascii="仿宋" w:hAnsi="仿宋" w:eastAsia="仿宋"/>
          <w:sz w:val="24"/>
        </w:rPr>
      </w:pPr>
      <w:r>
        <w:rPr>
          <w:rFonts w:hint="eastAsia"/>
          <w:sz w:val="24"/>
        </w:rPr>
        <w:t>五、一般公共预算财政拨款支出决算情况说明</w:t>
      </w:r>
      <w:r>
        <w:rPr>
          <w:sz w:val="24"/>
        </w:rPr>
        <w:tab/>
      </w:r>
      <w:r>
        <w:rPr>
          <w:sz w:val="24"/>
        </w:rPr>
        <w:t>11</w:t>
      </w:r>
    </w:p>
    <w:p>
      <w:pPr>
        <w:pStyle w:val="14"/>
        <w:adjustRightInd w:val="0"/>
        <w:snapToGrid w:val="0"/>
        <w:spacing w:line="440" w:lineRule="exact"/>
        <w:ind w:left="31680"/>
        <w:jc w:val="distribute"/>
        <w:rPr>
          <w:rFonts w:ascii="仿宋" w:hAnsi="仿宋" w:eastAsia="仿宋"/>
          <w:sz w:val="24"/>
        </w:rPr>
      </w:pPr>
      <w:r>
        <w:rPr>
          <w:rFonts w:hint="eastAsia"/>
          <w:sz w:val="24"/>
        </w:rPr>
        <w:t>六、一般公共预算财政拨款基本支出决算情况说明</w:t>
      </w:r>
      <w:r>
        <w:rPr>
          <w:sz w:val="24"/>
        </w:rPr>
        <w:tab/>
      </w:r>
      <w:r>
        <w:rPr>
          <w:sz w:val="24"/>
        </w:rPr>
        <w:t>12</w:t>
      </w:r>
    </w:p>
    <w:p>
      <w:pPr>
        <w:pStyle w:val="14"/>
        <w:adjustRightInd w:val="0"/>
        <w:snapToGrid w:val="0"/>
        <w:spacing w:line="440" w:lineRule="exact"/>
        <w:ind w:left="31680"/>
        <w:jc w:val="distribute"/>
        <w:rPr>
          <w:rFonts w:ascii="仿宋" w:hAnsi="仿宋" w:eastAsia="仿宋"/>
          <w:sz w:val="24"/>
        </w:rPr>
      </w:pPr>
      <w:r>
        <w:rPr>
          <w:rFonts w:hint="eastAsia"/>
          <w:sz w:val="24"/>
        </w:rPr>
        <w:t>七、“三公”经费财政拨款支出决算情况说明</w:t>
      </w:r>
      <w:r>
        <w:rPr>
          <w:sz w:val="24"/>
        </w:rPr>
        <w:tab/>
      </w:r>
      <w:r>
        <w:rPr>
          <w:sz w:val="24"/>
        </w:rPr>
        <w:t>12</w:t>
      </w:r>
    </w:p>
    <w:p>
      <w:pPr>
        <w:pStyle w:val="14"/>
        <w:adjustRightInd w:val="0"/>
        <w:snapToGrid w:val="0"/>
        <w:spacing w:line="440" w:lineRule="exact"/>
        <w:ind w:left="31680"/>
        <w:jc w:val="distribute"/>
        <w:rPr>
          <w:rFonts w:hint="eastAsia" w:ascii="仿宋" w:hAnsi="仿宋" w:eastAsia="宋体"/>
          <w:sz w:val="24"/>
          <w:lang w:eastAsia="zh-CN"/>
        </w:rPr>
      </w:pPr>
      <w:r>
        <w:rPr>
          <w:rFonts w:hint="eastAsia"/>
          <w:sz w:val="24"/>
        </w:rPr>
        <w:t>八、政府性基金预算支出决算情况说明</w:t>
      </w:r>
      <w:r>
        <w:rPr>
          <w:sz w:val="24"/>
        </w:rPr>
        <w:tab/>
      </w:r>
      <w:r>
        <w:rPr>
          <w:sz w:val="24"/>
        </w:rPr>
        <w:t>1</w:t>
      </w:r>
      <w:r>
        <w:rPr>
          <w:rFonts w:hint="eastAsia"/>
          <w:sz w:val="24"/>
          <w:lang w:val="en-US" w:eastAsia="zh-CN"/>
        </w:rPr>
        <w:t>5</w:t>
      </w:r>
    </w:p>
    <w:p>
      <w:pPr>
        <w:pStyle w:val="14"/>
        <w:adjustRightInd w:val="0"/>
        <w:snapToGrid w:val="0"/>
        <w:spacing w:line="440" w:lineRule="exact"/>
        <w:ind w:left="31680"/>
        <w:jc w:val="distribute"/>
        <w:rPr>
          <w:rFonts w:hint="eastAsia" w:eastAsia="宋体"/>
          <w:sz w:val="24"/>
          <w:lang w:eastAsia="zh-CN"/>
        </w:rPr>
      </w:pPr>
      <w:r>
        <w:rPr>
          <w:rFonts w:hint="eastAsia"/>
          <w:sz w:val="24"/>
        </w:rPr>
        <w:t>九、国有资本经营预算支出决算情况说明</w:t>
      </w:r>
      <w:r>
        <w:rPr>
          <w:sz w:val="24"/>
        </w:rPr>
        <w:tab/>
      </w:r>
      <w:r>
        <w:rPr>
          <w:sz w:val="24"/>
        </w:rPr>
        <w:t>1</w:t>
      </w:r>
      <w:r>
        <w:rPr>
          <w:rFonts w:hint="eastAsia"/>
          <w:sz w:val="24"/>
          <w:lang w:val="en-US" w:eastAsia="zh-CN"/>
        </w:rPr>
        <w:t>5</w:t>
      </w:r>
    </w:p>
    <w:p>
      <w:pPr>
        <w:pStyle w:val="14"/>
        <w:adjustRightInd w:val="0"/>
        <w:snapToGrid w:val="0"/>
        <w:spacing w:line="440" w:lineRule="exact"/>
        <w:ind w:left="31680"/>
        <w:jc w:val="distribute"/>
      </w:pPr>
      <w:r>
        <w:rPr>
          <w:rFonts w:hint="eastAsia"/>
          <w:sz w:val="24"/>
        </w:rPr>
        <w:t>十、</w:t>
      </w:r>
      <w:r>
        <w:rPr>
          <w:rFonts w:hint="eastAsia" w:ascii="宋体" w:hAnsi="宋体" w:cs="宋体"/>
          <w:sz w:val="24"/>
        </w:rPr>
        <w:t>预算绩效管理情况</w:t>
      </w:r>
      <w:r>
        <w:rPr>
          <w:sz w:val="24"/>
        </w:rPr>
        <w:tab/>
      </w:r>
      <w:r>
        <w:rPr>
          <w:sz w:val="24"/>
        </w:rPr>
        <w:t>15</w:t>
      </w:r>
    </w:p>
    <w:p>
      <w:pPr>
        <w:pStyle w:val="14"/>
        <w:adjustRightInd w:val="0"/>
        <w:snapToGrid w:val="0"/>
        <w:spacing w:line="440" w:lineRule="exact"/>
        <w:ind w:left="31680"/>
        <w:jc w:val="distribute"/>
      </w:pPr>
      <w:r>
        <w:rPr>
          <w:rFonts w:hint="eastAsia"/>
          <w:sz w:val="24"/>
        </w:rPr>
        <w:t>十一、其他重要事项的情况说明</w:t>
      </w:r>
      <w:r>
        <w:rPr>
          <w:sz w:val="24"/>
        </w:rPr>
        <w:tab/>
      </w:r>
      <w:r>
        <w:rPr>
          <w:sz w:val="24"/>
        </w:rPr>
        <w:t>15</w:t>
      </w:r>
    </w:p>
    <w:p>
      <w:pPr>
        <w:pStyle w:val="13"/>
        <w:adjustRightInd w:val="0"/>
        <w:snapToGrid w:val="0"/>
        <w:spacing w:before="0" w:line="440" w:lineRule="exact"/>
        <w:jc w:val="left"/>
        <w:rPr>
          <w:rFonts w:ascii="Times New Roman" w:hAnsi="Times New Roman" w:eastAsia="宋体"/>
          <w:sz w:val="24"/>
          <w:szCs w:val="24"/>
        </w:rPr>
      </w:pPr>
      <w:r>
        <w:rPr>
          <w:rFonts w:hint="eastAsia"/>
          <w:sz w:val="24"/>
        </w:rPr>
        <w:t>第三部分名词解释</w:t>
      </w:r>
      <w:r>
        <w:rPr>
          <w:sz w:val="24"/>
        </w:rPr>
        <w:tab/>
      </w:r>
      <w:r>
        <w:rPr>
          <w:rFonts w:ascii="Times New Roman" w:hAnsi="Times New Roman" w:eastAsia="宋体"/>
          <w:sz w:val="24"/>
          <w:szCs w:val="24"/>
        </w:rPr>
        <w:t>16</w:t>
      </w:r>
    </w:p>
    <w:p>
      <w:pPr>
        <w:pStyle w:val="13"/>
        <w:adjustRightInd w:val="0"/>
        <w:snapToGrid w:val="0"/>
        <w:spacing w:before="0" w:line="440" w:lineRule="exact"/>
        <w:jc w:val="left"/>
        <w:rPr>
          <w:rFonts w:hint="default" w:eastAsia="仿宋"/>
          <w:sz w:val="24"/>
          <w:szCs w:val="24"/>
          <w:lang w:val="en-US" w:eastAsia="zh-CN"/>
        </w:rPr>
      </w:pPr>
      <w:r>
        <w:rPr>
          <w:rFonts w:hint="eastAsia"/>
          <w:sz w:val="24"/>
        </w:rPr>
        <w:t>第四部分附件</w:t>
      </w:r>
      <w:r>
        <w:rPr>
          <w:sz w:val="24"/>
        </w:rPr>
        <w:tab/>
      </w:r>
      <w:r>
        <w:rPr>
          <w:rFonts w:hint="eastAsia" w:ascii="Times New Roman" w:hAnsi="Times New Roman" w:eastAsia="宋体"/>
          <w:sz w:val="24"/>
          <w:szCs w:val="24"/>
          <w:lang w:val="en-US" w:eastAsia="zh-CN"/>
        </w:rPr>
        <w:t>20</w:t>
      </w:r>
    </w:p>
    <w:p>
      <w:pPr>
        <w:pStyle w:val="13"/>
        <w:adjustRightInd w:val="0"/>
        <w:snapToGrid w:val="0"/>
        <w:spacing w:before="0" w:line="440" w:lineRule="exact"/>
        <w:jc w:val="left"/>
        <w:rPr>
          <w:rFonts w:hint="eastAsia" w:eastAsia="宋体"/>
          <w:sz w:val="24"/>
          <w:szCs w:val="24"/>
          <w:lang w:eastAsia="zh-CN"/>
        </w:rPr>
      </w:pPr>
      <w:r>
        <w:rPr>
          <w:rFonts w:hint="eastAsia"/>
          <w:sz w:val="24"/>
        </w:rPr>
        <w:t>第五部分附表</w:t>
      </w:r>
      <w:r>
        <w:rPr>
          <w:sz w:val="24"/>
        </w:rPr>
        <w:tab/>
      </w:r>
      <w:r>
        <w:rPr>
          <w:rFonts w:ascii="Times New Roman" w:hAnsi="Times New Roman" w:eastAsia="宋体"/>
          <w:sz w:val="24"/>
          <w:szCs w:val="24"/>
        </w:rPr>
        <w:t>2</w:t>
      </w:r>
      <w:r>
        <w:rPr>
          <w:rFonts w:hint="eastAsia" w:ascii="Times New Roman" w:hAnsi="Times New Roman" w:eastAsia="宋体"/>
          <w:sz w:val="24"/>
          <w:szCs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一、收入支出决算总表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二、收入决算表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三、支出决算表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四、财政拨款收入支出决算总表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五、财政拨款支出决算明细表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六、一般公共预算财政拨款支出决算表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七、一般公共预算财政拨款支出决算明细表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八、一般公共预算财政拨款基本支出决算表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九、一般公共预算财政拨款项目支出决算表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十、一般公共预算财政拨款“三公”经费支出决算表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十一、政府性基金预算财政拨款收入支出决算表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十二、政府性基金预算财政拨款“三公”经费支出决算表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hint="eastAsia" w:eastAsia="宋体"/>
          <w:sz w:val="24"/>
          <w:lang w:eastAsia="zh-CN"/>
        </w:rPr>
      </w:pPr>
      <w:r>
        <w:rPr>
          <w:rFonts w:hint="eastAsia"/>
          <w:sz w:val="24"/>
        </w:rPr>
        <w:t>十三、国有资本经营预算财政拨款收入支出决算表</w:t>
      </w:r>
      <w:r>
        <w:rPr>
          <w:sz w:val="24"/>
        </w:rPr>
        <w:tab/>
      </w:r>
      <w:r>
        <w:rPr>
          <w:sz w:val="24"/>
        </w:rPr>
        <w:t>2</w:t>
      </w:r>
      <w:r>
        <w:rPr>
          <w:rFonts w:hint="eastAsia"/>
          <w:sz w:val="24"/>
          <w:lang w:val="en-US" w:eastAsia="zh-CN"/>
        </w:rPr>
        <w:t>1</w:t>
      </w:r>
    </w:p>
    <w:p>
      <w:pPr>
        <w:pStyle w:val="14"/>
        <w:adjustRightInd w:val="0"/>
        <w:snapToGrid w:val="0"/>
        <w:spacing w:line="440" w:lineRule="exact"/>
        <w:ind w:left="31680"/>
        <w:jc w:val="left"/>
        <w:rPr>
          <w:rFonts w:ascii="仿宋" w:hAnsi="仿宋" w:eastAsia="仿宋"/>
          <w:bCs/>
          <w:kern w:val="44"/>
          <w:sz w:val="24"/>
        </w:rPr>
      </w:pPr>
      <w:r>
        <w:rPr>
          <w:rFonts w:hint="eastAsia"/>
          <w:sz w:val="24"/>
        </w:rPr>
        <w:t>十四、国有资本经营预算财政拨款支出决算表</w:t>
      </w:r>
      <w:r>
        <w:rPr>
          <w:sz w:val="24"/>
        </w:rPr>
        <w:tab/>
      </w:r>
      <w:r>
        <w:rPr>
          <w:sz w:val="24"/>
        </w:rPr>
        <w:t>2</w:t>
      </w:r>
      <w:r>
        <w:rPr>
          <w:rFonts w:hint="eastAsia"/>
          <w:sz w:val="24"/>
          <w:lang w:val="en-US" w:eastAsia="zh-CN"/>
        </w:rPr>
        <w:t>1</w:t>
      </w:r>
      <w:r>
        <w:rPr>
          <w:rFonts w:ascii="仿宋" w:hAnsi="仿宋" w:eastAsia="仿宋"/>
          <w:b/>
          <w:sz w:val="24"/>
        </w:rPr>
        <w:br w:type="page"/>
      </w:r>
    </w:p>
    <w:p>
      <w:pPr>
        <w:pStyle w:val="3"/>
        <w:jc w:val="center"/>
        <w:rPr>
          <w:rStyle w:val="22"/>
          <w:rFonts w:ascii="黑体" w:hAnsi="黑体" w:eastAsia="黑体"/>
          <w:b/>
          <w:bCs w:val="0"/>
        </w:rPr>
      </w:pPr>
      <w:r>
        <w:rPr>
          <w:rFonts w:hint="eastAsia" w:ascii="黑体" w:hAnsi="黑体" w:eastAsia="黑体"/>
          <w:b w:val="0"/>
        </w:rPr>
        <w:t>第一部分</w:t>
      </w:r>
      <w:r>
        <w:rPr>
          <w:rFonts w:ascii="黑体" w:hAnsi="黑体" w:eastAsia="黑体"/>
          <w:b w:val="0"/>
        </w:rPr>
        <w:t xml:space="preserve"> </w:t>
      </w:r>
      <w:r>
        <w:rPr>
          <w:rFonts w:hint="eastAsia" w:ascii="黑体" w:hAnsi="黑体" w:eastAsia="黑体"/>
          <w:b w:val="0"/>
        </w:rPr>
        <w:t>单位</w:t>
      </w:r>
      <w:r>
        <w:rPr>
          <w:rStyle w:val="22"/>
          <w:rFonts w:hint="eastAsia" w:ascii="黑体" w:hAnsi="黑体" w:eastAsia="黑体"/>
          <w:b w:val="0"/>
          <w:bCs w:val="0"/>
        </w:rPr>
        <w:t>概况</w:t>
      </w:r>
      <w:bookmarkEnd w:id="12"/>
      <w:bookmarkEnd w:id="13"/>
    </w:p>
    <w:p>
      <w:pPr>
        <w:widowControl/>
        <w:jc w:val="left"/>
        <w:rPr>
          <w:rFonts w:ascii="黑体" w:eastAsia="黑体"/>
          <w:sz w:val="32"/>
          <w:szCs w:val="32"/>
        </w:rPr>
      </w:pPr>
    </w:p>
    <w:p>
      <w:pPr>
        <w:pStyle w:val="4"/>
        <w:numPr>
          <w:ilvl w:val="0"/>
          <w:numId w:val="1"/>
        </w:numPr>
        <w:rPr>
          <w:rStyle w:val="38"/>
          <w:rFonts w:ascii="黑体" w:hAnsi="黑体" w:eastAsia="黑体"/>
          <w:b w:val="0"/>
          <w:bCs w:val="0"/>
        </w:rPr>
      </w:pPr>
      <w:bookmarkStart w:id="14" w:name="_Toc15377197"/>
      <w:bookmarkStart w:id="15" w:name="_Toc15396600"/>
      <w:bookmarkStart w:id="16" w:name="_Toc15377206"/>
      <w:bookmarkStart w:id="17" w:name="_Toc15396604"/>
      <w:bookmarkStart w:id="18" w:name="_Toc15377211"/>
      <w:r>
        <w:rPr>
          <w:rStyle w:val="38"/>
          <w:rFonts w:hint="eastAsia" w:ascii="黑体" w:hAnsi="黑体" w:eastAsia="黑体"/>
          <w:b w:val="0"/>
          <w:bCs w:val="0"/>
        </w:rPr>
        <w:t>职能简介</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5.</w:t>
      </w:r>
      <w:r>
        <w:rPr>
          <w:rFonts w:hint="eastAsia" w:ascii="仿宋" w:hAnsi="仿宋" w:eastAsia="仿宋" w:cs="仿宋"/>
          <w:sz w:val="32"/>
          <w:szCs w:val="32"/>
        </w:rPr>
        <w:t>负责按照教育主管部门发布的指导性教学计划、</w:t>
      </w:r>
      <w:r>
        <w:rPr>
          <w:rFonts w:ascii="仿宋" w:hAnsi="仿宋" w:eastAsia="仿宋" w:cs="仿宋"/>
          <w:sz w:val="32"/>
          <w:szCs w:val="32"/>
        </w:rPr>
        <w:t xml:space="preserve"> </w:t>
      </w:r>
      <w:r>
        <w:rPr>
          <w:rFonts w:hint="eastAsia" w:ascii="仿宋" w:hAnsi="仿宋" w:eastAsia="仿宋" w:cs="仿宋"/>
          <w:sz w:val="32"/>
          <w:szCs w:val="32"/>
        </w:rPr>
        <w:t>教学大纲，组织实施教育教学活动。</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6.</w:t>
      </w:r>
      <w:r>
        <w:rPr>
          <w:rFonts w:hint="eastAsia" w:ascii="仿宋" w:hAnsi="仿宋" w:eastAsia="仿宋" w:cs="仿宋"/>
          <w:sz w:val="32"/>
          <w:szCs w:val="32"/>
        </w:rPr>
        <w:t>负责学籍管理并对学生实施奖励或处分。</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7.</w:t>
      </w:r>
      <w:r>
        <w:rPr>
          <w:rFonts w:hint="eastAsia" w:ascii="仿宋" w:hAnsi="仿宋" w:eastAsia="仿宋" w:cs="仿宋"/>
          <w:sz w:val="32"/>
          <w:szCs w:val="32"/>
        </w:rPr>
        <w:t>负责依法制定本校教师及其他职工聘任办法并对教师及其他员工实施包括奖励、处分在内的具体管理活动。</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8. </w:t>
      </w:r>
      <w:r>
        <w:rPr>
          <w:rFonts w:hint="eastAsia" w:ascii="仿宋" w:hAnsi="仿宋" w:eastAsia="仿宋" w:cs="仿宋"/>
          <w:sz w:val="32"/>
          <w:szCs w:val="32"/>
        </w:rPr>
        <w:t>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 xml:space="preserve">9. </w:t>
      </w:r>
      <w:r>
        <w:rPr>
          <w:rFonts w:hint="eastAsia" w:ascii="仿宋" w:hAnsi="仿宋" w:eastAsia="仿宋" w:cs="仿宋"/>
          <w:sz w:val="32"/>
          <w:szCs w:val="32"/>
        </w:rPr>
        <w:t>负责维护学校、师生的合法权益，有权拒绝任何组织和个人对教育教学活动的非法干扰。</w:t>
      </w:r>
    </w:p>
    <w:p>
      <w:pPr>
        <w:pStyle w:val="15"/>
        <w:adjustRightInd w:val="0"/>
        <w:spacing w:beforeLines="30" w:line="500" w:lineRule="exact"/>
        <w:ind w:firstLine="640" w:firstLineChars="200"/>
        <w:outlineLvl w:val="2"/>
        <w:rPr>
          <w:rFonts w:ascii="仿宋" w:hAnsi="仿宋" w:eastAsia="仿宋" w:cs="仿宋"/>
          <w:sz w:val="32"/>
          <w:szCs w:val="32"/>
        </w:rPr>
      </w:pPr>
      <w:r>
        <w:rPr>
          <w:rFonts w:ascii="仿宋" w:hAnsi="仿宋" w:eastAsia="仿宋" w:cs="仿宋"/>
          <w:sz w:val="32"/>
          <w:szCs w:val="32"/>
        </w:rPr>
        <w:t>10.</w:t>
      </w:r>
      <w:r>
        <w:rPr>
          <w:rFonts w:hint="eastAsia" w:ascii="仿宋" w:hAnsi="仿宋" w:eastAsia="仿宋" w:cs="仿宋"/>
          <w:sz w:val="32"/>
          <w:szCs w:val="32"/>
        </w:rPr>
        <w:t>依法接受各级教育行政部门的检查指导和人民群众的监督。</w:t>
      </w:r>
    </w:p>
    <w:p>
      <w:pPr>
        <w:ind w:firstLine="640" w:firstLineChars="200"/>
        <w:rPr>
          <w:rFonts w:ascii="仿宋" w:hAnsi="仿宋" w:eastAsia="仿宋" w:cs="仿宋"/>
          <w:sz w:val="32"/>
          <w:szCs w:val="32"/>
        </w:rPr>
      </w:pPr>
      <w:r>
        <w:rPr>
          <w:rFonts w:ascii="仿宋" w:hAnsi="仿宋" w:eastAsia="仿宋" w:cs="仿宋"/>
          <w:sz w:val="32"/>
          <w:szCs w:val="32"/>
        </w:rPr>
        <w:t>11.</w:t>
      </w:r>
      <w:r>
        <w:rPr>
          <w:rFonts w:hint="eastAsia" w:ascii="仿宋" w:hAnsi="仿宋" w:eastAsia="仿宋" w:cs="仿宋"/>
          <w:sz w:val="32"/>
          <w:szCs w:val="32"/>
        </w:rPr>
        <w:t>承办上级交办的其他事项。</w:t>
      </w:r>
    </w:p>
    <w:p>
      <w:pPr>
        <w:pStyle w:val="4"/>
        <w:rPr>
          <w:rFonts w:ascii="黑体" w:hAnsi="黑体" w:eastAsia="黑体"/>
          <w:b w:val="0"/>
        </w:rPr>
      </w:pPr>
      <w:r>
        <w:rPr>
          <w:rFonts w:hint="eastAsia" w:ascii="黑体" w:hAnsi="黑体" w:eastAsia="黑体"/>
          <w:b w:val="0"/>
        </w:rPr>
        <w:t>二、</w:t>
      </w:r>
      <w:r>
        <w:rPr>
          <w:rFonts w:ascii="黑体" w:hAnsi="黑体" w:eastAsia="黑体"/>
          <w:b w:val="0"/>
        </w:rPr>
        <w:t>2021</w:t>
      </w:r>
      <w:r>
        <w:rPr>
          <w:rFonts w:hint="eastAsia" w:ascii="黑体" w:hAnsi="黑体" w:eastAsia="黑体"/>
          <w:b w:val="0"/>
        </w:rPr>
        <w:t>年重点工作</w:t>
      </w:r>
      <w:bookmarkEnd w:id="14"/>
      <w:bookmarkEnd w:id="15"/>
      <w:r>
        <w:rPr>
          <w:rFonts w:hint="eastAsia" w:ascii="黑体" w:hAnsi="黑体" w:eastAsia="黑体"/>
          <w:b w:val="0"/>
        </w:rPr>
        <w:t>完成情况</w:t>
      </w:r>
    </w:p>
    <w:p>
      <w:pPr>
        <w:adjustRightInd w:val="0"/>
        <w:spacing w:line="500" w:lineRule="exact"/>
        <w:ind w:firstLine="640" w:firstLineChars="200"/>
        <w:outlineLvl w:val="2"/>
        <w:rPr>
          <w:rFonts w:ascii="仿宋" w:hAnsi="仿宋" w:eastAsia="仿宋"/>
          <w:bCs/>
          <w:sz w:val="32"/>
          <w:szCs w:val="32"/>
        </w:rPr>
      </w:pPr>
      <w:r>
        <w:rPr>
          <w:rFonts w:hint="eastAsia" w:ascii="仿宋" w:hAnsi="仿宋" w:eastAsia="仿宋"/>
          <w:bCs/>
          <w:sz w:val="32"/>
          <w:szCs w:val="32"/>
        </w:rPr>
        <w:t>本年度，学校各项工作得到了学校全体教职工的大力支持。在全体老师的共同参与、努力和团结协作下，较好地完成了本年度工作。现从以下几个方面作简单总结：</w:t>
      </w:r>
    </w:p>
    <w:p>
      <w:pPr>
        <w:adjustRightInd w:val="0"/>
        <w:spacing w:line="500" w:lineRule="exact"/>
        <w:ind w:firstLine="640" w:firstLineChars="200"/>
        <w:outlineLvl w:val="2"/>
        <w:rPr>
          <w:rFonts w:ascii="仿宋" w:hAnsi="仿宋" w:eastAsia="仿宋"/>
          <w:bCs/>
          <w:sz w:val="32"/>
          <w:szCs w:val="32"/>
        </w:rPr>
      </w:pPr>
      <w:r>
        <w:rPr>
          <w:rFonts w:hint="eastAsia" w:ascii="仿宋" w:hAnsi="仿宋" w:eastAsia="仿宋"/>
          <w:bCs/>
          <w:sz w:val="32"/>
          <w:szCs w:val="32"/>
        </w:rPr>
        <w:t>一、搞好疫情常态化防控工作</w:t>
      </w:r>
    </w:p>
    <w:p>
      <w:pPr>
        <w:adjustRightInd w:val="0"/>
        <w:spacing w:line="500" w:lineRule="exact"/>
        <w:outlineLvl w:val="2"/>
        <w:rPr>
          <w:rFonts w:ascii="仿宋" w:hAnsi="仿宋" w:eastAsia="仿宋"/>
          <w:bCs/>
          <w:sz w:val="32"/>
          <w:szCs w:val="32"/>
        </w:rPr>
      </w:pPr>
      <w:r>
        <w:rPr>
          <w:rFonts w:hint="eastAsia" w:ascii="仿宋" w:hAnsi="仿宋" w:eastAsia="仿宋" w:cs="仿宋"/>
          <w:sz w:val="32"/>
          <w:szCs w:val="32"/>
        </w:rPr>
        <w:t>持续抓好师生疫情防控工作，抓环境卫生整治，消毒消杀，体温监测；坚持校园封闭式管理，严格信息查验；疫苗接种工作全面完成，固守一方净土。</w:t>
      </w:r>
      <w:r>
        <w:rPr>
          <w:rFonts w:hint="eastAsia" w:ascii="仿宋" w:hAnsi="仿宋" w:eastAsia="仿宋"/>
          <w:bCs/>
          <w:sz w:val="32"/>
          <w:szCs w:val="32"/>
        </w:rPr>
        <w:t>　　</w:t>
      </w:r>
    </w:p>
    <w:p>
      <w:pPr>
        <w:adjustRightInd w:val="0"/>
        <w:spacing w:line="500" w:lineRule="exact"/>
        <w:ind w:firstLine="640" w:firstLineChars="200"/>
        <w:outlineLvl w:val="2"/>
        <w:rPr>
          <w:rFonts w:ascii="仿宋" w:hAnsi="仿宋" w:eastAsia="仿宋"/>
          <w:bCs/>
          <w:sz w:val="32"/>
          <w:szCs w:val="32"/>
        </w:rPr>
      </w:pPr>
      <w:r>
        <w:rPr>
          <w:rFonts w:hint="eastAsia" w:ascii="仿宋" w:hAnsi="仿宋" w:eastAsia="仿宋"/>
          <w:bCs/>
          <w:sz w:val="32"/>
          <w:szCs w:val="32"/>
        </w:rPr>
        <w:t>二、重常态、抓实效。　　</w:t>
      </w:r>
    </w:p>
    <w:p>
      <w:pPr>
        <w:adjustRightInd w:val="0"/>
        <w:spacing w:line="500" w:lineRule="exact"/>
        <w:ind w:firstLine="640" w:firstLineChars="200"/>
        <w:outlineLvl w:val="2"/>
        <w:rPr>
          <w:rFonts w:ascii="仿宋" w:hAnsi="仿宋" w:eastAsia="仿宋"/>
          <w:bCs/>
          <w:sz w:val="32"/>
          <w:szCs w:val="32"/>
        </w:rPr>
      </w:pPr>
      <w:r>
        <w:rPr>
          <w:rFonts w:hint="eastAsia" w:ascii="仿宋" w:hAnsi="仿宋" w:eastAsia="仿宋"/>
          <w:bCs/>
          <w:sz w:val="32"/>
          <w:szCs w:val="32"/>
        </w:rPr>
        <w:t>在教学当中，我们认真学习新课标准</w:t>
      </w:r>
      <w:r>
        <w:rPr>
          <w:rFonts w:ascii="仿宋" w:hAnsi="仿宋" w:eastAsia="仿宋"/>
          <w:bCs/>
          <w:sz w:val="32"/>
          <w:szCs w:val="32"/>
        </w:rPr>
        <w:t>,</w:t>
      </w:r>
      <w:r>
        <w:rPr>
          <w:rFonts w:hint="eastAsia" w:ascii="仿宋" w:hAnsi="仿宋" w:eastAsia="仿宋"/>
          <w:bCs/>
          <w:sz w:val="32"/>
          <w:szCs w:val="32"/>
        </w:rPr>
        <w:t>认真备课，努力上好每一节课。加强课堂教学，努力提高学生参与课堂的意识和积极性，以学生的兴趣点出发，了解学生，开发思维，使学生在课堂上学到更多的知识和方法，提高学生素质，明确本堂课的意义和目的。学理论、讲方法、抓实效、促发展，在和谐的氛围中青年教师的课堂教学水平正逐步提高。在本年度的测试中，有了较大突破。　　</w:t>
      </w:r>
    </w:p>
    <w:p>
      <w:pPr>
        <w:adjustRightInd w:val="0"/>
        <w:spacing w:line="500" w:lineRule="exact"/>
        <w:ind w:firstLine="640" w:firstLineChars="200"/>
        <w:outlineLvl w:val="2"/>
        <w:rPr>
          <w:rFonts w:ascii="仿宋" w:hAnsi="仿宋" w:eastAsia="仿宋"/>
          <w:bCs/>
          <w:sz w:val="32"/>
          <w:szCs w:val="32"/>
        </w:rPr>
      </w:pPr>
      <w:r>
        <w:rPr>
          <w:rFonts w:hint="eastAsia" w:ascii="仿宋" w:hAnsi="仿宋" w:eastAsia="仿宋"/>
          <w:bCs/>
          <w:sz w:val="32"/>
          <w:szCs w:val="32"/>
        </w:rPr>
        <w:t>三、学理论、促发展。　　</w:t>
      </w:r>
    </w:p>
    <w:p>
      <w:pPr>
        <w:adjustRightInd w:val="0"/>
        <w:spacing w:line="500" w:lineRule="exact"/>
        <w:ind w:firstLine="640" w:firstLineChars="200"/>
        <w:outlineLvl w:val="2"/>
        <w:rPr>
          <w:rFonts w:ascii="仿宋" w:hAnsi="仿宋" w:eastAsia="仿宋"/>
          <w:bCs/>
          <w:sz w:val="32"/>
          <w:szCs w:val="32"/>
        </w:rPr>
      </w:pPr>
      <w:r>
        <w:rPr>
          <w:rFonts w:hint="eastAsia" w:ascii="仿宋" w:hAnsi="仿宋" w:eastAsia="仿宋"/>
          <w:bCs/>
          <w:sz w:val="32"/>
          <w:szCs w:val="32"/>
        </w:rPr>
        <w:t>本年度我校每周进行一次教研活动，活动主题与教师业务紧密相连，内容含盖了教学、训练、教师职业发展。　　</w:t>
      </w:r>
    </w:p>
    <w:p>
      <w:pPr>
        <w:adjustRightInd w:val="0"/>
        <w:spacing w:line="500" w:lineRule="exact"/>
        <w:ind w:firstLine="640" w:firstLineChars="200"/>
        <w:outlineLvl w:val="2"/>
        <w:rPr>
          <w:rFonts w:ascii="仿宋" w:hAnsi="仿宋" w:eastAsia="仿宋"/>
          <w:bCs/>
          <w:sz w:val="32"/>
          <w:szCs w:val="32"/>
        </w:rPr>
      </w:pPr>
      <w:r>
        <w:rPr>
          <w:rFonts w:hint="eastAsia" w:ascii="仿宋" w:hAnsi="仿宋" w:eastAsia="仿宋"/>
          <w:bCs/>
          <w:sz w:val="32"/>
          <w:szCs w:val="32"/>
        </w:rPr>
        <w:t>四、学校开展丰富的少年宫教学。　</w:t>
      </w:r>
    </w:p>
    <w:p>
      <w:pPr>
        <w:adjustRightInd w:val="0"/>
        <w:spacing w:line="500" w:lineRule="exact"/>
        <w:ind w:firstLine="640" w:firstLineChars="200"/>
        <w:outlineLvl w:val="2"/>
        <w:rPr>
          <w:rFonts w:ascii="仿宋" w:hAnsi="仿宋" w:eastAsia="仿宋"/>
          <w:bCs/>
          <w:sz w:val="32"/>
          <w:szCs w:val="32"/>
        </w:rPr>
      </w:pPr>
      <w:r>
        <w:rPr>
          <w:rFonts w:hint="eastAsia" w:ascii="仿宋" w:hAnsi="仿宋" w:eastAsia="仿宋"/>
          <w:bCs/>
          <w:sz w:val="32"/>
          <w:szCs w:val="32"/>
        </w:rPr>
        <w:t>我校于每周三下午第三节课外活动组织学生参加乡村少年宫活动。并开设有泥塑、声乐、美术、跆拳道、书法、棋艺等十余个由专业教师任课的兴趣小组，学生根据自己的喜好选择不同的小组参与活动。</w:t>
      </w:r>
    </w:p>
    <w:p>
      <w:pPr>
        <w:spacing w:line="500" w:lineRule="exact"/>
        <w:ind w:left="635"/>
        <w:rPr>
          <w:rFonts w:ascii="仿宋" w:hAnsi="仿宋" w:eastAsia="仿宋" w:cs="仿宋"/>
          <w:sz w:val="32"/>
          <w:szCs w:val="32"/>
        </w:rPr>
      </w:pPr>
      <w:r>
        <w:rPr>
          <w:rFonts w:hint="eastAsia" w:ascii="仿宋" w:hAnsi="仿宋" w:eastAsia="仿宋" w:cs="仿宋"/>
          <w:sz w:val="32"/>
          <w:szCs w:val="32"/>
        </w:rPr>
        <w:t>五、做实安全维稳工作</w:t>
      </w:r>
    </w:p>
    <w:p>
      <w:pPr>
        <w:spacing w:line="500" w:lineRule="exact"/>
        <w:ind w:firstLine="640"/>
        <w:rPr>
          <w:rFonts w:ascii="仿宋" w:hAnsi="仿宋" w:eastAsia="仿宋"/>
          <w:bCs/>
          <w:sz w:val="32"/>
          <w:szCs w:val="32"/>
        </w:rPr>
      </w:pPr>
      <w:r>
        <w:rPr>
          <w:rFonts w:hint="eastAsia" w:ascii="仿宋" w:hAnsi="仿宋" w:eastAsia="仿宋" w:cs="仿宋"/>
          <w:sz w:val="32"/>
          <w:szCs w:val="32"/>
        </w:rPr>
        <w:t>坚守安全第一，全面落实岗位职责，无死角排查整治安全隐患，全方位守护监管，多层面多形式加强安全教育，重要安全处处讲，反复讲，印发告知书，签订责任书，添置硬件，归齐软件。与家长加强政策宣讲，畅通联系网络，广开反馈渠道，主动做好矛盾化解和疑误解答。一年来，无安全责任事故和上访事件。</w:t>
      </w:r>
      <w:r>
        <w:rPr>
          <w:rFonts w:hint="eastAsia" w:ascii="仿宋" w:hAnsi="仿宋" w:eastAsia="仿宋"/>
          <w:bCs/>
          <w:sz w:val="32"/>
          <w:szCs w:val="32"/>
        </w:rPr>
        <w:t>　</w:t>
      </w:r>
    </w:p>
    <w:p>
      <w:pPr>
        <w:spacing w:line="576" w:lineRule="exact"/>
        <w:ind w:firstLine="640" w:firstLineChars="200"/>
        <w:rPr>
          <w:rFonts w:ascii="仿宋" w:hAnsi="仿宋" w:eastAsia="仿宋" w:cs="仿宋"/>
          <w:sz w:val="32"/>
          <w:szCs w:val="32"/>
        </w:rPr>
      </w:pPr>
      <w:r>
        <w:rPr>
          <w:rFonts w:hint="eastAsia" w:ascii="仿宋" w:hAnsi="仿宋" w:eastAsia="仿宋" w:cs="仿宋"/>
          <w:sz w:val="32"/>
          <w:szCs w:val="32"/>
        </w:rPr>
        <w:t>六、教师发展</w:t>
      </w:r>
    </w:p>
    <w:p>
      <w:pPr>
        <w:spacing w:line="576" w:lineRule="exact"/>
        <w:ind w:firstLine="640" w:firstLineChars="200"/>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党建为本。统一思想，占领高地，规范行为。一个支部就是一座堡垒，一个党员就是一面旗帜。在纪律作风整顿年充分把</w:t>
      </w:r>
      <w:r>
        <w:rPr>
          <w:rFonts w:ascii="仿宋" w:hAnsi="仿宋" w:eastAsia="仿宋" w:cs="仿宋"/>
          <w:sz w:val="32"/>
          <w:szCs w:val="32"/>
        </w:rPr>
        <w:t>?</w:t>
      </w:r>
      <w:r>
        <w:rPr>
          <w:rFonts w:hint="eastAsia" w:ascii="仿宋" w:hAnsi="仿宋" w:eastAsia="仿宋" w:cs="仿宋"/>
          <w:sz w:val="32"/>
          <w:szCs w:val="32"/>
        </w:rPr>
        <w:t>°以案促改”主题活动同学校发展、教师发展、学生发展相结合，突出实效性。努力践行党组织领导下的校长负责制，统一教职工思想，占领育人高地，规范师生行为。目前，我校教师队伍，政治信念坚定立场稳，政治氛围融洽人心齐，政治生活严肃有辣味，政治文化和谐风气正，政治纪律严明守底线，政治规矩严格讲规程，政治操守廉洁形象好。</w:t>
      </w:r>
    </w:p>
    <w:p>
      <w:pPr>
        <w:spacing w:line="576" w:lineRule="exact"/>
        <w:ind w:firstLine="640" w:firstLineChars="200"/>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精神是源。学校</w:t>
      </w:r>
      <w:r>
        <w:rPr>
          <w:rFonts w:ascii="仿宋" w:hAnsi="仿宋" w:eastAsia="仿宋" w:cs="仿宋"/>
          <w:sz w:val="32"/>
          <w:szCs w:val="32"/>
        </w:rPr>
        <w:t>?</w:t>
      </w:r>
      <w:r>
        <w:rPr>
          <w:rFonts w:hint="eastAsia" w:ascii="仿宋" w:hAnsi="仿宋" w:eastAsia="仿宋" w:cs="仿宋"/>
          <w:sz w:val="32"/>
          <w:szCs w:val="32"/>
        </w:rPr>
        <w:t>°善水</w:t>
      </w:r>
      <w:r>
        <w:rPr>
          <w:rFonts w:ascii="仿宋" w:hAnsi="仿宋" w:eastAsia="仿宋" w:cs="仿宋"/>
          <w:sz w:val="32"/>
          <w:szCs w:val="32"/>
        </w:rPr>
        <w:t>?</w:t>
      </w:r>
      <w:r>
        <w:rPr>
          <w:rFonts w:hint="eastAsia" w:ascii="仿宋" w:hAnsi="仿宋" w:eastAsia="仿宋" w:cs="仿宋"/>
          <w:sz w:val="32"/>
          <w:szCs w:val="32"/>
        </w:rPr>
        <w:t>±文化主题中的柔韧、谦逊、坚持是全校师生的价值追求，也是我们不断向上的精神之源。在师生中提倡团队精神，在团队中不断学习，培养精神特质。</w:t>
      </w:r>
    </w:p>
    <w:p>
      <w:pPr>
        <w:spacing w:line="576" w:lineRule="exact"/>
        <w:ind w:firstLine="640" w:firstLineChars="200"/>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培训之乐。我们创造一切机会，走出去、请进来。一年来，学校邀请了广元市小学数学杜甫名师工作室、杭州拱墅区名优教师团队来校把诊问脉、传经送宝；和广元市实验小学长期结对，实施城乡手拉手项目，让我校教师且学且思共成长；和区内元坝一小、卫子小学、昭化小学组成昭化区中国好老师共同体，相互学习、相互帮助、资源共享、共同成长；和区内名校元坝一小结对帮扶，实施共建，方向明、目标清、措施力，效果优；</w:t>
      </w:r>
      <w:r>
        <w:rPr>
          <w:rFonts w:ascii="仿宋" w:hAnsi="仿宋" w:eastAsia="仿宋" w:cs="仿宋"/>
          <w:sz w:val="32"/>
          <w:szCs w:val="32"/>
        </w:rPr>
        <w:t>2021</w:t>
      </w:r>
      <w:r>
        <w:rPr>
          <w:rFonts w:hint="eastAsia" w:ascii="仿宋" w:hAnsi="仿宋" w:eastAsia="仿宋" w:cs="仿宋"/>
          <w:sz w:val="32"/>
          <w:szCs w:val="32"/>
        </w:rPr>
        <w:t>年春季带领教师团队到朝天区羊木镇小学观摩学习，他们的天地课堂、农耕文化带给我们太多的思考，行在教育路上，既要仰望星空，又要贴地而行，探索适合校情、富有地方底蕴和特色的渐进理想教育之路。本年度先后与元坝一小、黄龙小学、丁家小学、张家小学开展了以课堂建构和学科教学为主题的教学研究、分享。学校内部，一年来，以课堂教学为主阵地，以教学研究为主旋律开展系列活动，助力青年教师专业大提升，一周一主题，人人露一手。一年来学校外派教师到省、市、区参加各种培训达</w:t>
      </w:r>
      <w:r>
        <w:rPr>
          <w:rFonts w:ascii="仿宋" w:hAnsi="仿宋" w:eastAsia="仿宋" w:cs="仿宋"/>
          <w:sz w:val="32"/>
          <w:szCs w:val="32"/>
        </w:rPr>
        <w:t>13</w:t>
      </w:r>
      <w:r>
        <w:rPr>
          <w:rFonts w:hint="eastAsia" w:ascii="仿宋" w:hAnsi="仿宋" w:eastAsia="仿宋" w:cs="仿宋"/>
          <w:sz w:val="32"/>
          <w:szCs w:val="32"/>
        </w:rPr>
        <w:t>人次。教学研究引领教学实践，本年度我校市级课题和区级课题均顺利结题，市级课题研究成果荣获市级二等奖。种种途径，大力促进了我校师资队伍的专业成长。</w:t>
      </w:r>
    </w:p>
    <w:p>
      <w:pPr>
        <w:spacing w:line="576" w:lineRule="exact"/>
        <w:ind w:firstLine="640" w:firstLineChars="200"/>
        <w:rPr>
          <w:rFonts w:ascii="仿宋" w:hAnsi="仿宋" w:eastAsia="仿宋" w:cs="仿宋"/>
          <w:sz w:val="32"/>
          <w:szCs w:val="32"/>
        </w:rPr>
      </w:pPr>
      <w:r>
        <w:rPr>
          <w:rFonts w:ascii="仿宋" w:hAnsi="仿宋" w:eastAsia="仿宋" w:cs="仿宋"/>
          <w:sz w:val="32"/>
          <w:szCs w:val="32"/>
        </w:rPr>
        <w:t>4.</w:t>
      </w:r>
      <w:r>
        <w:rPr>
          <w:rFonts w:hint="eastAsia" w:ascii="仿宋" w:hAnsi="仿宋" w:eastAsia="仿宋" w:cs="仿宋"/>
          <w:sz w:val="32"/>
          <w:szCs w:val="32"/>
        </w:rPr>
        <w:t>平台相助。立足课堂实施三大工程：即聚焦核心素养、深化课堂教学改革、重建理想课堂。一年来的努力，数学组提出了新授课的基本流程：创设教学情境</w:t>
      </w:r>
      <w:r>
        <w:rPr>
          <w:rFonts w:ascii="仿宋" w:hAnsi="仿宋" w:eastAsia="仿宋" w:cs="仿宋"/>
          <w:sz w:val="32"/>
          <w:szCs w:val="32"/>
        </w:rPr>
        <w:t>——</w:t>
      </w:r>
      <w:r>
        <w:rPr>
          <w:rFonts w:hint="eastAsia" w:ascii="仿宋" w:hAnsi="仿宋" w:eastAsia="仿宋" w:cs="仿宋"/>
          <w:sz w:val="32"/>
          <w:szCs w:val="32"/>
        </w:rPr>
        <w:t>提出有价值的数学信息</w:t>
      </w:r>
      <w:r>
        <w:rPr>
          <w:rFonts w:ascii="仿宋" w:hAnsi="仿宋" w:eastAsia="仿宋" w:cs="仿宋"/>
          <w:sz w:val="32"/>
          <w:szCs w:val="32"/>
        </w:rPr>
        <w:t>——</w:t>
      </w:r>
      <w:r>
        <w:rPr>
          <w:rFonts w:hint="eastAsia" w:ascii="仿宋" w:hAnsi="仿宋" w:eastAsia="仿宋" w:cs="仿宋"/>
          <w:sz w:val="32"/>
          <w:szCs w:val="32"/>
        </w:rPr>
        <w:t>提出有效的数学问题</w:t>
      </w:r>
      <w:r>
        <w:rPr>
          <w:rFonts w:ascii="仿宋" w:hAnsi="仿宋" w:eastAsia="仿宋" w:cs="仿宋"/>
          <w:sz w:val="32"/>
          <w:szCs w:val="32"/>
        </w:rPr>
        <w:t>——</w:t>
      </w:r>
      <w:r>
        <w:rPr>
          <w:rFonts w:hint="eastAsia" w:ascii="仿宋" w:hAnsi="仿宋" w:eastAsia="仿宋" w:cs="仿宋"/>
          <w:sz w:val="32"/>
          <w:szCs w:val="32"/>
        </w:rPr>
        <w:t>合作分析解决问题</w:t>
      </w:r>
      <w:r>
        <w:rPr>
          <w:rFonts w:ascii="仿宋" w:hAnsi="仿宋" w:eastAsia="仿宋" w:cs="仿宋"/>
          <w:sz w:val="32"/>
          <w:szCs w:val="32"/>
        </w:rPr>
        <w:t>——</w:t>
      </w:r>
      <w:r>
        <w:rPr>
          <w:rFonts w:hint="eastAsia" w:ascii="仿宋" w:hAnsi="仿宋" w:eastAsia="仿宋" w:cs="仿宋"/>
          <w:sz w:val="32"/>
          <w:szCs w:val="32"/>
        </w:rPr>
        <w:t>展示交流</w:t>
      </w:r>
      <w:r>
        <w:rPr>
          <w:rFonts w:ascii="仿宋" w:hAnsi="仿宋" w:eastAsia="仿宋" w:cs="仿宋"/>
          <w:sz w:val="32"/>
          <w:szCs w:val="32"/>
        </w:rPr>
        <w:t>——</w:t>
      </w:r>
      <w:r>
        <w:rPr>
          <w:rFonts w:hint="eastAsia" w:ascii="仿宋" w:hAnsi="仿宋" w:eastAsia="仿宋" w:cs="仿宋"/>
          <w:sz w:val="32"/>
          <w:szCs w:val="32"/>
        </w:rPr>
        <w:t>巩固升华、拓展延伸；语文组提出阅读教学基本模式：创设情境、激趣导课</w:t>
      </w:r>
      <w:r>
        <w:rPr>
          <w:rFonts w:ascii="仿宋" w:hAnsi="仿宋" w:eastAsia="仿宋" w:cs="仿宋"/>
          <w:sz w:val="32"/>
          <w:szCs w:val="32"/>
        </w:rPr>
        <w:t>——</w:t>
      </w:r>
      <w:r>
        <w:rPr>
          <w:rFonts w:hint="eastAsia" w:ascii="仿宋" w:hAnsi="仿宋" w:eastAsia="仿宋" w:cs="仿宋"/>
          <w:sz w:val="32"/>
          <w:szCs w:val="32"/>
        </w:rPr>
        <w:t>自主读书、整体感知</w:t>
      </w:r>
      <w:r>
        <w:rPr>
          <w:rFonts w:ascii="仿宋" w:hAnsi="仿宋" w:eastAsia="仿宋" w:cs="仿宋"/>
          <w:sz w:val="32"/>
          <w:szCs w:val="32"/>
        </w:rPr>
        <w:t>——</w:t>
      </w:r>
      <w:r>
        <w:rPr>
          <w:rFonts w:hint="eastAsia" w:ascii="仿宋" w:hAnsi="仿宋" w:eastAsia="仿宋" w:cs="仿宋"/>
          <w:sz w:val="32"/>
          <w:szCs w:val="32"/>
        </w:rPr>
        <w:t>合作探究、解读文本</w:t>
      </w:r>
      <w:r>
        <w:rPr>
          <w:rFonts w:ascii="仿宋" w:hAnsi="仿宋" w:eastAsia="仿宋" w:cs="仿宋"/>
          <w:sz w:val="32"/>
          <w:szCs w:val="32"/>
        </w:rPr>
        <w:t>——</w:t>
      </w:r>
      <w:r>
        <w:rPr>
          <w:rFonts w:hint="eastAsia" w:ascii="仿宋" w:hAnsi="仿宋" w:eastAsia="仿宋" w:cs="仿宋"/>
          <w:sz w:val="32"/>
          <w:szCs w:val="32"/>
        </w:rPr>
        <w:t>朗读背诵、体会情感</w:t>
      </w:r>
      <w:r>
        <w:rPr>
          <w:rFonts w:ascii="仿宋" w:hAnsi="仿宋" w:eastAsia="仿宋" w:cs="仿宋"/>
          <w:sz w:val="32"/>
          <w:szCs w:val="32"/>
        </w:rPr>
        <w:t>——</w:t>
      </w:r>
      <w:r>
        <w:rPr>
          <w:rFonts w:hint="eastAsia" w:ascii="仿宋" w:hAnsi="仿宋" w:eastAsia="仿宋" w:cs="仿宋"/>
          <w:sz w:val="32"/>
          <w:szCs w:val="32"/>
        </w:rPr>
        <w:t>交流感受、课外延伸。一年来，教师获得各级各类荣誉及奖项共计</w:t>
      </w:r>
      <w:r>
        <w:rPr>
          <w:rFonts w:ascii="仿宋" w:hAnsi="仿宋" w:eastAsia="仿宋" w:cs="仿宋"/>
          <w:sz w:val="32"/>
          <w:szCs w:val="32"/>
        </w:rPr>
        <w:t>24</w:t>
      </w:r>
      <w:r>
        <w:rPr>
          <w:rFonts w:hint="eastAsia" w:ascii="仿宋" w:hAnsi="仿宋" w:eastAsia="仿宋" w:cs="仿宋"/>
          <w:sz w:val="32"/>
          <w:szCs w:val="32"/>
        </w:rPr>
        <w:t>人次、发表及获奖论文</w:t>
      </w:r>
      <w:r>
        <w:rPr>
          <w:rFonts w:ascii="仿宋" w:hAnsi="仿宋" w:eastAsia="仿宋" w:cs="仿宋"/>
          <w:sz w:val="32"/>
          <w:szCs w:val="32"/>
        </w:rPr>
        <w:t>28</w:t>
      </w:r>
      <w:r>
        <w:rPr>
          <w:rFonts w:hint="eastAsia" w:ascii="仿宋" w:hAnsi="仿宋" w:eastAsia="仿宋" w:cs="仿宋"/>
          <w:sz w:val="32"/>
          <w:szCs w:val="32"/>
        </w:rPr>
        <w:t>篇。</w:t>
      </w:r>
    </w:p>
    <w:p>
      <w:pPr>
        <w:spacing w:line="576" w:lineRule="exact"/>
        <w:ind w:firstLine="640" w:firstLineChars="200"/>
        <w:rPr>
          <w:rFonts w:ascii="仿宋" w:hAnsi="仿宋" w:eastAsia="仿宋" w:cs="仿宋"/>
          <w:sz w:val="32"/>
          <w:szCs w:val="32"/>
        </w:rPr>
      </w:pPr>
      <w:r>
        <w:rPr>
          <w:rFonts w:hint="eastAsia" w:ascii="仿宋" w:hAnsi="仿宋" w:eastAsia="仿宋"/>
          <w:bCs/>
          <w:sz w:val="32"/>
          <w:szCs w:val="32"/>
        </w:rPr>
        <w:t>回头看看走过的路，有辛勤的汗水，也有丰收的喜悦。成绩属于过去，未来在于不断地进取，我校在今后的工作中，将进一步提高思辨能力，激发工作热情，外树形象，内修涵养，脚踏实地地完成教育教学任务。</w:t>
      </w:r>
      <w:r>
        <w:rPr>
          <w:rFonts w:hint="eastAsia" w:ascii="仿宋" w:hAnsi="仿宋" w:eastAsia="仿宋" w:cs="仿宋"/>
          <w:sz w:val="32"/>
          <w:szCs w:val="32"/>
        </w:rPr>
        <w:t>学校支部带领全体教师扎根山区守初心，立德树人担使命，潜心教书，勤恳育人，学校风清气正，团结奋进，发展形势向好。总之，们将继续坚决贯彻执行党的二十大精神，为振兴乡村教育，接续奋斗，砥砺前行</w:t>
      </w:r>
    </w:p>
    <w:p>
      <w:pPr>
        <w:pStyle w:val="16"/>
        <w:ind w:left="31680" w:firstLine="31680"/>
      </w:pPr>
    </w:p>
    <w:p>
      <w:pPr>
        <w:rPr>
          <w:rFonts w:ascii="黑体" w:hAnsi="黑体" w:eastAsia="黑体"/>
        </w:rPr>
      </w:pPr>
      <w:bookmarkStart w:id="19" w:name="_Toc15396602"/>
      <w:bookmarkStart w:id="20" w:name="_Toc15377204"/>
      <w:r>
        <w:rPr>
          <w:rFonts w:ascii="黑体" w:hAnsi="黑体" w:eastAsia="黑体"/>
        </w:rPr>
        <w:br w:type="page"/>
      </w:r>
    </w:p>
    <w:p>
      <w:pPr>
        <w:pStyle w:val="3"/>
        <w:ind w:right="440"/>
        <w:jc w:val="center"/>
        <w:rPr>
          <w:rStyle w:val="22"/>
          <w:rFonts w:ascii="黑体" w:hAnsi="黑体" w:eastAsia="黑体"/>
          <w:b w:val="0"/>
          <w:bCs/>
        </w:rPr>
      </w:pPr>
      <w:r>
        <w:rPr>
          <w:rFonts w:hint="eastAsia" w:ascii="黑体" w:hAnsi="黑体" w:eastAsia="黑体"/>
          <w:b w:val="0"/>
        </w:rPr>
        <w:t>第二部分</w:t>
      </w:r>
      <w:r>
        <w:rPr>
          <w:rFonts w:ascii="黑体" w:hAnsi="黑体" w:eastAsia="黑体"/>
          <w:b w:val="0"/>
        </w:rPr>
        <w:t xml:space="preserve"> 2021</w:t>
      </w:r>
      <w:r>
        <w:rPr>
          <w:rFonts w:hint="eastAsia" w:ascii="黑体" w:hAnsi="黑体" w:eastAsia="黑体"/>
          <w:b w:val="0"/>
        </w:rPr>
        <w:t>年度</w:t>
      </w:r>
      <w:r>
        <w:rPr>
          <w:rStyle w:val="22"/>
          <w:rFonts w:hint="eastAsia" w:ascii="黑体" w:hAnsi="黑体" w:eastAsia="黑体"/>
          <w:b w:val="0"/>
          <w:bCs/>
        </w:rPr>
        <w:t>单位决算情况说明</w:t>
      </w:r>
      <w:bookmarkEnd w:id="19"/>
      <w:bookmarkEnd w:id="20"/>
    </w:p>
    <w:p/>
    <w:p>
      <w:pPr>
        <w:pStyle w:val="37"/>
        <w:numPr>
          <w:ilvl w:val="0"/>
          <w:numId w:val="2"/>
        </w:numPr>
        <w:spacing w:line="600" w:lineRule="exact"/>
        <w:ind w:firstLineChars="0"/>
        <w:outlineLvl w:val="1"/>
        <w:rPr>
          <w:rStyle w:val="38"/>
          <w:rFonts w:ascii="黑体" w:hAnsi="黑体" w:eastAsia="黑体"/>
          <w:b w:val="0"/>
        </w:rPr>
      </w:pPr>
      <w:bookmarkStart w:id="21" w:name="_Toc15396603"/>
      <w:bookmarkStart w:id="22" w:name="_Toc15377205"/>
      <w:r>
        <w:rPr>
          <w:rFonts w:hint="eastAsia" w:ascii="黑体" w:hAnsi="黑体" w:eastAsia="黑体"/>
          <w:sz w:val="32"/>
          <w:szCs w:val="32"/>
        </w:rPr>
        <w:t>收</w:t>
      </w:r>
      <w:r>
        <w:rPr>
          <w:rStyle w:val="38"/>
          <w:rFonts w:hint="eastAsia" w:ascii="黑体" w:hAnsi="黑体" w:eastAsia="黑体"/>
          <w:b w:val="0"/>
        </w:rPr>
        <w:t>入支出决算总体情况说明</w:t>
      </w:r>
      <w:bookmarkEnd w:id="21"/>
      <w:bookmarkEnd w:id="22"/>
    </w:p>
    <w:p>
      <w:pPr>
        <w:spacing w:line="600" w:lineRule="exact"/>
        <w:ind w:firstLine="640" w:firstLineChars="200"/>
        <w:outlineLvl w:val="1"/>
      </w:pPr>
      <w:r>
        <w:rPr>
          <w:rFonts w:ascii="仿宋" w:hAnsi="仿宋" w:eastAsia="仿宋"/>
          <w:sz w:val="32"/>
          <w:szCs w:val="32"/>
        </w:rPr>
        <w:t>2021</w:t>
      </w:r>
      <w:r>
        <w:rPr>
          <w:rFonts w:hint="eastAsia" w:ascii="仿宋" w:hAnsi="仿宋" w:eastAsia="仿宋"/>
          <w:sz w:val="32"/>
          <w:szCs w:val="32"/>
        </w:rPr>
        <w:t>年度收、支总计</w:t>
      </w:r>
      <w:r>
        <w:rPr>
          <w:rFonts w:ascii="仿宋" w:hAnsi="仿宋" w:eastAsia="仿宋"/>
          <w:color w:val="000000"/>
          <w:sz w:val="32"/>
          <w:szCs w:val="32"/>
        </w:rPr>
        <w:t>759.46</w:t>
      </w:r>
      <w:r>
        <w:rPr>
          <w:rFonts w:hint="eastAsia" w:ascii="仿宋" w:hAnsi="仿宋" w:eastAsia="仿宋"/>
          <w:sz w:val="32"/>
          <w:szCs w:val="32"/>
        </w:rPr>
        <w:t>万元。与</w:t>
      </w:r>
      <w:r>
        <w:rPr>
          <w:rFonts w:ascii="仿宋" w:hAnsi="仿宋" w:eastAsia="仿宋"/>
          <w:sz w:val="32"/>
          <w:szCs w:val="32"/>
        </w:rPr>
        <w:t>2020</w:t>
      </w:r>
      <w:r>
        <w:rPr>
          <w:rFonts w:hint="eastAsia" w:ascii="仿宋" w:hAnsi="仿宋" w:eastAsia="仿宋"/>
          <w:sz w:val="32"/>
          <w:szCs w:val="32"/>
        </w:rPr>
        <w:t>年相比，收、支总计各增加</w:t>
      </w:r>
      <w:r>
        <w:rPr>
          <w:rFonts w:ascii="仿宋" w:hAnsi="仿宋" w:eastAsia="仿宋"/>
          <w:color w:val="000000"/>
          <w:sz w:val="32"/>
          <w:szCs w:val="32"/>
        </w:rPr>
        <w:t>15.47</w:t>
      </w:r>
      <w:r>
        <w:rPr>
          <w:rFonts w:hint="eastAsia" w:ascii="仿宋" w:hAnsi="仿宋" w:eastAsia="仿宋"/>
          <w:sz w:val="32"/>
          <w:szCs w:val="32"/>
        </w:rPr>
        <w:t>万元，增长</w:t>
      </w:r>
      <w:r>
        <w:rPr>
          <w:rFonts w:ascii="仿宋" w:hAnsi="仿宋" w:eastAsia="仿宋"/>
          <w:color w:val="000000"/>
          <w:sz w:val="32"/>
          <w:szCs w:val="32"/>
        </w:rPr>
        <w:t>2.08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color w:val="000000"/>
          <w:sz w:val="32"/>
          <w:szCs w:val="32"/>
        </w:rPr>
        <w:t>基本支出增加</w:t>
      </w:r>
      <w:r>
        <w:rPr>
          <w:rFonts w:hint="eastAsia" w:ascii="仿宋" w:hAnsi="仿宋" w:eastAsia="仿宋"/>
          <w:sz w:val="32"/>
          <w:szCs w:val="32"/>
        </w:rPr>
        <w:t>。</w:t>
      </w:r>
    </w:p>
    <w:p>
      <w:pPr>
        <w:pStyle w:val="37"/>
        <w:numPr>
          <w:ilvl w:val="0"/>
          <w:numId w:val="2"/>
        </w:numPr>
        <w:spacing w:line="600" w:lineRule="exact"/>
        <w:ind w:firstLineChars="0"/>
        <w:outlineLvl w:val="1"/>
        <w:rPr>
          <w:rStyle w:val="38"/>
          <w:rFonts w:ascii="黑体" w:hAnsi="黑体" w:eastAsia="黑体"/>
          <w:b w:val="0"/>
        </w:rPr>
      </w:pPr>
      <w:r>
        <w:pict>
          <v:shape id="_x0000_s1026" o:spid="_x0000_s1026" o:spt="75" type="#_x0000_t75" style="position:absolute;left:0pt;margin-left:15.9pt;margin-top:1.3pt;height:162.95pt;width:384.35pt;mso-wrap-distance-bottom:0pt;mso-wrap-distance-top:0pt;z-index:251660288;mso-width-relative:page;mso-height-relative:page;" o:ole="t" filled="f" o:preferrelative="t" stroked="f" coordsize="21600,21600">
            <v:path/>
            <v:fill on="f" focussize="0,0"/>
            <v:stroke on="f" joinstyle="miter"/>
            <v:imagedata r:id="rId7" o:title=""/>
            <o:lock v:ext="edit" aspectratio="t"/>
            <w10:wrap type="topAndBottom"/>
          </v:shape>
          <o:OLEObject Type="Embed" ProgID="Excel.Chart.8" ShapeID="_x0000_s1026" DrawAspect="Content" ObjectID="_1468075725" r:id="rId6">
            <o:LockedField>false</o:LockedField>
          </o:OLEObject>
        </w:pict>
      </w:r>
      <w:r>
        <w:rPr>
          <w:rFonts w:hint="eastAsia" w:ascii="黑体" w:hAnsi="黑体" w:eastAsia="黑体"/>
          <w:sz w:val="32"/>
          <w:szCs w:val="32"/>
        </w:rPr>
        <w:t>收</w:t>
      </w:r>
      <w:r>
        <w:rPr>
          <w:rStyle w:val="38"/>
          <w:rFonts w:hint="eastAsia" w:ascii="黑体" w:hAnsi="黑体" w:eastAsia="黑体"/>
          <w:b w:val="0"/>
        </w:rPr>
        <w:t>入决算情况说明</w:t>
      </w:r>
      <w:bookmarkEnd w:id="16"/>
      <w:bookmarkEnd w:id="17"/>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年本年收入合计</w:t>
      </w:r>
      <w:r>
        <w:rPr>
          <w:rFonts w:ascii="仿宋" w:hAnsi="仿宋" w:eastAsia="仿宋"/>
          <w:color w:val="000000"/>
          <w:sz w:val="32"/>
          <w:szCs w:val="32"/>
        </w:rPr>
        <w:t>759.46</w:t>
      </w:r>
      <w:r>
        <w:rPr>
          <w:rFonts w:hint="eastAsia" w:ascii="仿宋" w:hAnsi="仿宋" w:eastAsia="仿宋"/>
          <w:sz w:val="32"/>
          <w:szCs w:val="32"/>
        </w:rPr>
        <w:t>万元，其中：一般公共预算财政拨款收入</w:t>
      </w:r>
      <w:r>
        <w:rPr>
          <w:rFonts w:ascii="仿宋" w:hAnsi="仿宋" w:eastAsia="仿宋"/>
          <w:color w:val="000000"/>
          <w:sz w:val="32"/>
          <w:szCs w:val="32"/>
        </w:rPr>
        <w:t>757.96</w:t>
      </w:r>
      <w:r>
        <w:rPr>
          <w:rFonts w:hint="eastAsia" w:ascii="仿宋" w:hAnsi="仿宋" w:eastAsia="仿宋"/>
          <w:sz w:val="32"/>
          <w:szCs w:val="32"/>
        </w:rPr>
        <w:t>万元，占</w:t>
      </w:r>
      <w:r>
        <w:rPr>
          <w:rFonts w:ascii="仿宋" w:hAnsi="仿宋" w:eastAsia="仿宋"/>
          <w:color w:val="000000"/>
          <w:sz w:val="32"/>
          <w:szCs w:val="32"/>
        </w:rPr>
        <w:t>99.87%</w:t>
      </w:r>
      <w:r>
        <w:rPr>
          <w:rFonts w:hint="eastAsia" w:ascii="仿宋" w:hAnsi="仿宋" w:eastAsia="仿宋"/>
          <w:sz w:val="32"/>
          <w:szCs w:val="32"/>
        </w:rPr>
        <w:t>；政府性基金预算财政拨款收入</w:t>
      </w:r>
      <w:r>
        <w:rPr>
          <w:rFonts w:ascii="仿宋" w:hAnsi="仿宋" w:eastAsia="仿宋"/>
          <w:color w:val="000000"/>
          <w:sz w:val="32"/>
          <w:szCs w:val="32"/>
        </w:rPr>
        <w:t>1.5</w:t>
      </w:r>
      <w:r>
        <w:rPr>
          <w:rFonts w:hint="eastAsia" w:ascii="仿宋" w:hAnsi="仿宋" w:eastAsia="仿宋"/>
          <w:sz w:val="32"/>
          <w:szCs w:val="32"/>
        </w:rPr>
        <w:t>万元，占</w:t>
      </w:r>
      <w:r>
        <w:rPr>
          <w:rFonts w:ascii="仿宋" w:hAnsi="仿宋" w:eastAsia="仿宋"/>
          <w:color w:val="000000"/>
          <w:sz w:val="32"/>
          <w:szCs w:val="32"/>
        </w:rPr>
        <w:t>0.13</w:t>
      </w:r>
      <w:r>
        <w:rPr>
          <w:rFonts w:ascii="仿宋" w:hAnsi="仿宋" w:eastAsia="仿宋"/>
          <w:sz w:val="32"/>
          <w:szCs w:val="32"/>
        </w:rPr>
        <w:t>%</w:t>
      </w:r>
      <w:r>
        <w:rPr>
          <w:rFonts w:hint="eastAsia" w:ascii="仿宋" w:hAnsi="仿宋" w:eastAsia="仿宋"/>
          <w:sz w:val="32"/>
          <w:szCs w:val="32"/>
        </w:rPr>
        <w:t>。</w:t>
      </w:r>
    </w:p>
    <w:p>
      <w:pPr>
        <w:pStyle w:val="16"/>
        <w:ind w:left="31680" w:firstLine="31680"/>
      </w:pPr>
      <w:r>
        <w:pict>
          <v:shape id="_x0000_s1027" o:spid="_x0000_s1027" o:spt="75" type="#_x0000_t75" style="position:absolute;left:0pt;margin-left:-3.95pt;margin-top:1.65pt;height:177pt;width:439.2pt;mso-wrap-distance-bottom:0pt;mso-wrap-distance-top:0pt;z-index:251661312;mso-width-relative:page;mso-height-relative:page;" o:ole="t" filled="f" o:preferrelative="t" stroked="f" coordsize="21600,21600">
            <v:path/>
            <v:fill on="f" focussize="0,0"/>
            <v:stroke on="f" joinstyle="miter"/>
            <v:imagedata r:id="rId9" o:title=""/>
            <o:lock v:ext="edit" aspectratio="t"/>
            <w10:wrap type="topAndBottom"/>
          </v:shape>
          <o:OLEObject Type="Embed" ProgID="Excel.Chart.8" ShapeID="_x0000_s1027" DrawAspect="Content" ObjectID="_1468075726" r:id="rId8">
            <o:LockedField>false</o:LockedField>
          </o:OLEObject>
        </w:pict>
      </w:r>
    </w:p>
    <w:p>
      <w:pPr>
        <w:pStyle w:val="16"/>
        <w:ind w:left="0" w:leftChars="0" w:firstLine="31680"/>
        <w:rPr>
          <w:rStyle w:val="38"/>
          <w:rFonts w:ascii="黑体" w:hAnsi="黑体" w:eastAsia="黑体"/>
          <w:b w:val="0"/>
        </w:rPr>
      </w:pPr>
      <w:bookmarkStart w:id="23" w:name="_Toc15377207"/>
      <w:bookmarkStart w:id="24" w:name="_Toc15396605"/>
      <w:r>
        <w:rPr>
          <w:rFonts w:hint="eastAsia" w:ascii="黑体" w:hAnsi="黑体" w:eastAsia="黑体"/>
          <w:sz w:val="32"/>
          <w:szCs w:val="32"/>
        </w:rPr>
        <w:t>三、支</w:t>
      </w:r>
      <w:r>
        <w:rPr>
          <w:rStyle w:val="38"/>
          <w:rFonts w:hint="eastAsia" w:ascii="黑体" w:hAnsi="黑体" w:eastAsia="黑体"/>
          <w:b w:val="0"/>
        </w:rPr>
        <w:t>出决算情况说明</w:t>
      </w:r>
      <w:bookmarkEnd w:id="23"/>
      <w:bookmarkEnd w:id="24"/>
    </w:p>
    <w:p>
      <w:pPr>
        <w:spacing w:line="600" w:lineRule="exact"/>
        <w:ind w:firstLine="420" w:firstLineChars="200"/>
        <w:outlineLvl w:val="1"/>
        <w:rPr>
          <w:rFonts w:ascii="仿宋" w:hAnsi="仿宋" w:eastAsia="仿宋"/>
          <w:sz w:val="32"/>
          <w:szCs w:val="32"/>
        </w:rPr>
      </w:pPr>
      <w:r>
        <w:pict>
          <v:shape id="_x0000_s1028" o:spid="_x0000_s1028" o:spt="75" type="#_x0000_t75" style="position:absolute;left:0pt;margin-left:2.5pt;margin-top:69.55pt;height:229.85pt;width:423.4pt;mso-wrap-distance-bottom:0pt;mso-wrap-distance-top:0pt;z-index:251659264;mso-width-relative:page;mso-height-relative:page;" o:ole="t" filled="f" o:preferrelative="t" stroked="f" coordsize="21600,21600">
            <v:path/>
            <v:fill on="f" focussize="0,0"/>
            <v:stroke on="f" joinstyle="miter"/>
            <v:imagedata r:id="rId11" o:title=""/>
            <o:lock v:ext="edit" aspectratio="t"/>
            <w10:wrap type="topAndBottom"/>
          </v:shape>
          <o:OLEObject Type="Embed" ProgID="Excel.Chart.8" ShapeID="_x0000_s1028" DrawAspect="Content" ObjectID="_1468075727" r:id="rId10">
            <o:LockedField>false</o:LockedField>
          </o:OLEObject>
        </w:pict>
      </w:r>
      <w:r>
        <w:rPr>
          <w:rFonts w:ascii="仿宋" w:hAnsi="仿宋" w:eastAsia="仿宋"/>
          <w:sz w:val="32"/>
          <w:szCs w:val="32"/>
        </w:rPr>
        <w:t>2021</w:t>
      </w:r>
      <w:r>
        <w:rPr>
          <w:rFonts w:hint="eastAsia" w:ascii="仿宋" w:hAnsi="仿宋" w:eastAsia="仿宋"/>
          <w:sz w:val="32"/>
          <w:szCs w:val="32"/>
        </w:rPr>
        <w:t>年本年支出合计</w:t>
      </w:r>
      <w:r>
        <w:rPr>
          <w:rFonts w:ascii="仿宋" w:hAnsi="仿宋" w:eastAsia="仿宋"/>
          <w:sz w:val="32"/>
          <w:szCs w:val="32"/>
        </w:rPr>
        <w:t>759.46</w:t>
      </w:r>
      <w:r>
        <w:rPr>
          <w:rFonts w:hint="eastAsia" w:ascii="仿宋" w:hAnsi="仿宋" w:eastAsia="仿宋"/>
          <w:sz w:val="32"/>
          <w:szCs w:val="32"/>
        </w:rPr>
        <w:t>万元，其中：基本支出</w:t>
      </w:r>
      <w:r>
        <w:rPr>
          <w:rFonts w:ascii="仿宋" w:hAnsi="仿宋" w:eastAsia="仿宋"/>
          <w:sz w:val="32"/>
          <w:szCs w:val="32"/>
        </w:rPr>
        <w:t>547.96</w:t>
      </w:r>
      <w:r>
        <w:rPr>
          <w:rFonts w:hint="eastAsia" w:ascii="仿宋" w:hAnsi="仿宋" w:eastAsia="仿宋"/>
          <w:sz w:val="32"/>
          <w:szCs w:val="32"/>
        </w:rPr>
        <w:t>万元，占</w:t>
      </w:r>
      <w:r>
        <w:rPr>
          <w:rFonts w:ascii="仿宋" w:hAnsi="仿宋" w:eastAsia="仿宋"/>
          <w:sz w:val="32"/>
          <w:szCs w:val="32"/>
        </w:rPr>
        <w:t>72.15%</w:t>
      </w:r>
      <w:r>
        <w:rPr>
          <w:rFonts w:hint="eastAsia" w:ascii="仿宋" w:hAnsi="仿宋" w:eastAsia="仿宋"/>
          <w:sz w:val="32"/>
          <w:szCs w:val="32"/>
        </w:rPr>
        <w:t>；项目支出</w:t>
      </w:r>
      <w:r>
        <w:rPr>
          <w:rFonts w:ascii="仿宋" w:hAnsi="仿宋" w:eastAsia="仿宋"/>
          <w:sz w:val="32"/>
          <w:szCs w:val="32"/>
        </w:rPr>
        <w:t>211.51</w:t>
      </w:r>
      <w:r>
        <w:rPr>
          <w:rFonts w:hint="eastAsia" w:ascii="仿宋" w:hAnsi="仿宋" w:eastAsia="仿宋"/>
          <w:sz w:val="32"/>
          <w:szCs w:val="32"/>
        </w:rPr>
        <w:t>万元，占</w:t>
      </w:r>
      <w:r>
        <w:rPr>
          <w:rFonts w:ascii="仿宋" w:hAnsi="仿宋" w:eastAsia="仿宋"/>
          <w:sz w:val="32"/>
          <w:szCs w:val="32"/>
        </w:rPr>
        <w:t>37.85%</w:t>
      </w:r>
      <w:r>
        <w:rPr>
          <w:rFonts w:hint="eastAsia" w:ascii="仿宋" w:hAnsi="仿宋" w:eastAsia="仿宋"/>
          <w:sz w:val="32"/>
          <w:szCs w:val="32"/>
        </w:rPr>
        <w:t>。</w:t>
      </w:r>
    </w:p>
    <w:p>
      <w:pPr>
        <w:spacing w:line="600" w:lineRule="exact"/>
        <w:ind w:firstLine="640" w:firstLineChars="200"/>
        <w:outlineLvl w:val="1"/>
        <w:rPr>
          <w:rStyle w:val="38"/>
          <w:rFonts w:ascii="黑体" w:hAnsi="黑体" w:eastAsia="黑体"/>
          <w:b w:val="0"/>
        </w:rPr>
      </w:pPr>
      <w:bookmarkStart w:id="25" w:name="_Toc15396606"/>
      <w:bookmarkStart w:id="26" w:name="_Toc15377208"/>
      <w:r>
        <w:rPr>
          <w:rFonts w:hint="eastAsia" w:ascii="黑体" w:hAnsi="黑体" w:eastAsia="黑体"/>
          <w:sz w:val="32"/>
          <w:szCs w:val="32"/>
        </w:rPr>
        <w:t>四、财</w:t>
      </w:r>
      <w:r>
        <w:rPr>
          <w:rStyle w:val="38"/>
          <w:rFonts w:hint="eastAsia" w:ascii="黑体" w:hAnsi="黑体" w:eastAsia="黑体"/>
          <w:b w:val="0"/>
        </w:rPr>
        <w:t>政拨款收入支出决算总体情况说明</w:t>
      </w:r>
      <w:bookmarkEnd w:id="25"/>
      <w:bookmarkEnd w:id="26"/>
    </w:p>
    <w:p>
      <w:pPr>
        <w:spacing w:line="600" w:lineRule="exact"/>
        <w:ind w:firstLine="64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年财政拨款收、支总计</w:t>
      </w:r>
      <w:r>
        <w:rPr>
          <w:rFonts w:ascii="仿宋" w:hAnsi="仿宋" w:eastAsia="仿宋"/>
          <w:sz w:val="32"/>
          <w:szCs w:val="32"/>
        </w:rPr>
        <w:t>759.46</w:t>
      </w:r>
      <w:r>
        <w:rPr>
          <w:rFonts w:hint="eastAsia" w:ascii="仿宋" w:hAnsi="仿宋" w:eastAsia="仿宋"/>
          <w:sz w:val="32"/>
          <w:szCs w:val="32"/>
        </w:rPr>
        <w:t>万元。与</w:t>
      </w:r>
      <w:r>
        <w:rPr>
          <w:rFonts w:ascii="仿宋" w:hAnsi="仿宋" w:eastAsia="仿宋"/>
          <w:sz w:val="32"/>
          <w:szCs w:val="32"/>
        </w:rPr>
        <w:t>2020</w:t>
      </w:r>
      <w:r>
        <w:rPr>
          <w:rFonts w:hint="eastAsia" w:ascii="仿宋" w:hAnsi="仿宋" w:eastAsia="仿宋"/>
          <w:sz w:val="32"/>
          <w:szCs w:val="32"/>
        </w:rPr>
        <w:t>年相比，财政拨款收、支总计各增加</w:t>
      </w:r>
      <w:r>
        <w:rPr>
          <w:rFonts w:ascii="仿宋" w:hAnsi="仿宋" w:eastAsia="仿宋"/>
          <w:color w:val="000000"/>
          <w:sz w:val="32"/>
          <w:szCs w:val="32"/>
        </w:rPr>
        <w:t>15.47</w:t>
      </w:r>
      <w:r>
        <w:rPr>
          <w:rFonts w:hint="eastAsia" w:ascii="仿宋" w:hAnsi="仿宋" w:eastAsia="仿宋"/>
          <w:sz w:val="32"/>
          <w:szCs w:val="32"/>
        </w:rPr>
        <w:t>万元，增长</w:t>
      </w:r>
      <w:r>
        <w:rPr>
          <w:rFonts w:ascii="仿宋" w:hAnsi="仿宋" w:eastAsia="仿宋"/>
          <w:color w:val="000000"/>
          <w:sz w:val="32"/>
          <w:szCs w:val="32"/>
        </w:rPr>
        <w:t>2.08</w:t>
      </w:r>
      <w:r>
        <w:rPr>
          <w:rFonts w:ascii="仿宋" w:hAnsi="仿宋" w:eastAsia="仿宋"/>
          <w:sz w:val="32"/>
          <w:szCs w:val="32"/>
        </w:rPr>
        <w:t>%</w:t>
      </w:r>
      <w:r>
        <w:rPr>
          <w:rFonts w:hint="eastAsia" w:ascii="仿宋" w:hAnsi="仿宋" w:eastAsia="仿宋"/>
          <w:sz w:val="32"/>
          <w:szCs w:val="32"/>
        </w:rPr>
        <w:t>。主要变动原因是基本支出增加。</w:t>
      </w:r>
    </w:p>
    <w:p>
      <w:pPr>
        <w:pStyle w:val="16"/>
        <w:ind w:left="31680" w:firstLine="31680"/>
      </w:pPr>
      <w:r>
        <w:pict>
          <v:shape id="_x0000_s1029" o:spid="_x0000_s1029" o:spt="75" type="#_x0000_t75" style="position:absolute;left:0pt;margin-left:-0.6pt;margin-top:15.9pt;height:217.15pt;width:384.35pt;mso-wrap-distance-bottom:0pt;mso-wrap-distance-top:0pt;z-index:251662336;mso-width-relative:page;mso-height-relative:page;" o:ole="t" filled="f" o:preferrelative="t" stroked="f" coordsize="21600,21600">
            <v:path/>
            <v:fill on="f" focussize="0,0"/>
            <v:stroke on="f" joinstyle="miter"/>
            <v:imagedata r:id="rId13" o:title=""/>
            <o:lock v:ext="edit" aspectratio="t"/>
            <w10:wrap type="topAndBottom"/>
          </v:shape>
          <o:OLEObject Type="Embed" ProgID="Excel.Chart.8" ShapeID="_x0000_s1029" DrawAspect="Content" ObjectID="_1468075728" r:id="rId12">
            <o:LockedField>false</o:LockedField>
          </o:OLEObject>
        </w:pict>
      </w:r>
    </w:p>
    <w:p>
      <w:pPr>
        <w:spacing w:line="600" w:lineRule="exact"/>
        <w:ind w:firstLine="640" w:firstLineChars="200"/>
        <w:outlineLvl w:val="1"/>
        <w:rPr>
          <w:rStyle w:val="38"/>
          <w:rFonts w:ascii="黑体" w:hAnsi="黑体" w:eastAsia="黑体"/>
          <w:b w:val="0"/>
        </w:rPr>
      </w:pPr>
      <w:bookmarkStart w:id="27" w:name="_Toc15396607"/>
      <w:bookmarkStart w:id="28" w:name="_Toc15377209"/>
      <w:r>
        <w:rPr>
          <w:rFonts w:hint="eastAsia" w:ascii="黑体" w:hAnsi="黑体" w:eastAsia="黑体"/>
          <w:sz w:val="32"/>
          <w:szCs w:val="32"/>
        </w:rPr>
        <w:t>五、</w:t>
      </w:r>
      <w:r>
        <w:rPr>
          <w:rFonts w:hint="eastAsia" w:ascii="黑体" w:hAnsi="黑体" w:eastAsia="黑体"/>
          <w:b/>
          <w:sz w:val="32"/>
          <w:szCs w:val="32"/>
        </w:rPr>
        <w:t>一</w:t>
      </w:r>
      <w:r>
        <w:rPr>
          <w:rStyle w:val="38"/>
          <w:rFonts w:hint="eastAsia" w:ascii="黑体" w:hAnsi="黑体" w:eastAsia="黑体"/>
          <w:b w:val="0"/>
        </w:rPr>
        <w:t>般公共预算财政拨款支出决算情况说明</w:t>
      </w:r>
      <w:bookmarkEnd w:id="27"/>
      <w:bookmarkEnd w:id="28"/>
    </w:p>
    <w:p>
      <w:pPr>
        <w:spacing w:line="600" w:lineRule="exact"/>
        <w:ind w:firstLine="643" w:firstLineChars="200"/>
        <w:outlineLvl w:val="2"/>
        <w:rPr>
          <w:rFonts w:ascii="仿宋" w:hAnsi="仿宋" w:eastAsia="仿宋"/>
          <w:b/>
          <w:sz w:val="32"/>
          <w:szCs w:val="32"/>
        </w:rPr>
      </w:pPr>
      <w:bookmarkStart w:id="29" w:name="_Toc15377210"/>
      <w:r>
        <w:rPr>
          <w:rFonts w:hint="eastAsia" w:ascii="仿宋" w:hAnsi="仿宋" w:eastAsia="仿宋"/>
          <w:b/>
          <w:sz w:val="32"/>
          <w:szCs w:val="32"/>
        </w:rPr>
        <w:t>（一）一般公共预算财政拨款支出决算总体情况</w:t>
      </w:r>
      <w:bookmarkEnd w:id="29"/>
    </w:p>
    <w:p>
      <w:pPr>
        <w:spacing w:line="600" w:lineRule="exact"/>
        <w:ind w:firstLine="640"/>
        <w:rPr>
          <w:rFonts w:ascii="仿宋" w:hAnsi="仿宋" w:eastAsia="仿宋"/>
          <w:b/>
          <w:sz w:val="32"/>
          <w:szCs w:val="32"/>
        </w:rPr>
      </w:pPr>
      <w:r>
        <w:rPr>
          <w:rFonts w:ascii="仿宋" w:hAnsi="仿宋" w:eastAsia="仿宋"/>
          <w:sz w:val="32"/>
          <w:szCs w:val="32"/>
        </w:rPr>
        <w:t>2021</w:t>
      </w:r>
      <w:r>
        <w:rPr>
          <w:rFonts w:hint="eastAsia" w:ascii="仿宋" w:hAnsi="仿宋" w:eastAsia="仿宋"/>
          <w:sz w:val="32"/>
          <w:szCs w:val="32"/>
        </w:rPr>
        <w:t>年一般公共预算财政拨款支出</w:t>
      </w:r>
      <w:r>
        <w:rPr>
          <w:rFonts w:ascii="仿宋" w:hAnsi="仿宋" w:eastAsia="仿宋"/>
          <w:sz w:val="32"/>
          <w:szCs w:val="32"/>
        </w:rPr>
        <w:t>757.96</w:t>
      </w:r>
      <w:r>
        <w:rPr>
          <w:rFonts w:hint="eastAsia" w:ascii="仿宋" w:hAnsi="仿宋" w:eastAsia="仿宋"/>
          <w:sz w:val="32"/>
          <w:szCs w:val="32"/>
        </w:rPr>
        <w:t>万元，占本年支出合计的</w:t>
      </w:r>
      <w:r>
        <w:rPr>
          <w:rFonts w:ascii="仿宋" w:hAnsi="仿宋" w:eastAsia="仿宋"/>
          <w:sz w:val="32"/>
          <w:szCs w:val="32"/>
        </w:rPr>
        <w:t>99.87%</w:t>
      </w:r>
      <w:r>
        <w:rPr>
          <w:rFonts w:hint="eastAsia" w:ascii="仿宋" w:hAnsi="仿宋" w:eastAsia="仿宋"/>
          <w:sz w:val="32"/>
          <w:szCs w:val="32"/>
        </w:rPr>
        <w:t>。与</w:t>
      </w:r>
      <w:r>
        <w:rPr>
          <w:rFonts w:ascii="仿宋" w:hAnsi="仿宋" w:eastAsia="仿宋"/>
          <w:sz w:val="32"/>
          <w:szCs w:val="32"/>
        </w:rPr>
        <w:t>2020</w:t>
      </w:r>
      <w:r>
        <w:rPr>
          <w:rFonts w:hint="eastAsia" w:ascii="仿宋" w:hAnsi="仿宋" w:eastAsia="仿宋"/>
          <w:sz w:val="32"/>
          <w:szCs w:val="32"/>
        </w:rPr>
        <w:t>年</w:t>
      </w:r>
      <w:r>
        <w:rPr>
          <w:rFonts w:ascii="仿宋" w:hAnsi="仿宋" w:eastAsia="仿宋"/>
          <w:sz w:val="32"/>
          <w:szCs w:val="32"/>
        </w:rPr>
        <w:t>739.52</w:t>
      </w:r>
      <w:r>
        <w:rPr>
          <w:rFonts w:hint="eastAsia" w:ascii="仿宋" w:hAnsi="仿宋" w:eastAsia="仿宋"/>
          <w:sz w:val="32"/>
          <w:szCs w:val="32"/>
        </w:rPr>
        <w:t>万元相比，一般公共预算财政拨款支出增加</w:t>
      </w:r>
      <w:r>
        <w:rPr>
          <w:rFonts w:ascii="仿宋" w:hAnsi="仿宋" w:eastAsia="仿宋"/>
          <w:color w:val="000000"/>
          <w:sz w:val="32"/>
          <w:szCs w:val="32"/>
        </w:rPr>
        <w:t>18.44</w:t>
      </w:r>
      <w:r>
        <w:rPr>
          <w:rFonts w:hint="eastAsia" w:ascii="仿宋" w:hAnsi="仿宋" w:eastAsia="仿宋"/>
          <w:sz w:val="32"/>
          <w:szCs w:val="32"/>
        </w:rPr>
        <w:t>万元，增长</w:t>
      </w:r>
      <w:r>
        <w:rPr>
          <w:rFonts w:ascii="仿宋" w:hAnsi="仿宋" w:eastAsia="仿宋"/>
          <w:color w:val="000000"/>
          <w:sz w:val="32"/>
          <w:szCs w:val="32"/>
        </w:rPr>
        <w:t>2.29</w:t>
      </w:r>
      <w:r>
        <w:rPr>
          <w:rFonts w:ascii="仿宋" w:hAnsi="仿宋" w:eastAsia="仿宋"/>
          <w:sz w:val="32"/>
          <w:szCs w:val="32"/>
        </w:rPr>
        <w:t>%</w:t>
      </w:r>
      <w:r>
        <w:rPr>
          <w:rFonts w:hint="eastAsia" w:ascii="仿宋" w:hAnsi="仿宋" w:eastAsia="仿宋"/>
          <w:sz w:val="32"/>
          <w:szCs w:val="32"/>
        </w:rPr>
        <w:t>。主要变动原因是基本支出增加。</w:t>
      </w:r>
    </w:p>
    <w:p>
      <w:pPr>
        <w:spacing w:line="600" w:lineRule="exact"/>
        <w:ind w:firstLine="420" w:firstLineChars="200"/>
        <w:outlineLvl w:val="2"/>
        <w:rPr>
          <w:rFonts w:ascii="仿宋" w:hAnsi="仿宋" w:eastAsia="仿宋"/>
          <w:b/>
          <w:sz w:val="32"/>
          <w:szCs w:val="32"/>
        </w:rPr>
      </w:pPr>
      <w:r>
        <w:pict>
          <v:shape id="_x0000_s1030" o:spid="_x0000_s1030" o:spt="75" type="#_x0000_t75" style="position:absolute;left:0pt;margin-left:-0.6pt;margin-top:8.8pt;height:190.05pt;width:404.6pt;mso-wrap-distance-bottom:0.1pt;mso-wrap-distance-top:0pt;z-index:251662336;mso-width-relative:page;mso-height-relative:page;" o:ole="t" filled="f" o:preferrelative="t" stroked="f" coordsize="21600,21600">
            <v:path/>
            <v:fill on="f" focussize="0,0"/>
            <v:stroke on="f" joinstyle="miter"/>
            <v:imagedata r:id="rId15" o:title=""/>
            <o:lock v:ext="edit" aspectratio="t"/>
            <w10:wrap type="topAndBottom"/>
          </v:shape>
          <o:OLEObject Type="Embed" ProgID="Excel.Chart.8" ShapeID="_x0000_s1030" DrawAspect="Content" ObjectID="_1468075729" r:id="rId14">
            <o:LockedField>false</o:LockedField>
          </o:OLEObject>
        </w:pict>
      </w:r>
      <w:r>
        <w:rPr>
          <w:rFonts w:hint="eastAsia" w:ascii="仿宋" w:hAnsi="仿宋" w:eastAsia="仿宋"/>
          <w:b/>
          <w:sz w:val="32"/>
          <w:szCs w:val="32"/>
        </w:rPr>
        <w:t>（二）一般公共预算财政拨款支出决算结构情况</w:t>
      </w:r>
      <w:bookmarkEnd w:id="18"/>
    </w:p>
    <w:p>
      <w:pPr>
        <w:spacing w:line="600" w:lineRule="exact"/>
        <w:ind w:firstLine="640"/>
        <w:rPr>
          <w:rFonts w:ascii="仿宋" w:hAnsi="仿宋" w:eastAsia="仿宋"/>
          <w:sz w:val="32"/>
          <w:szCs w:val="32"/>
        </w:rPr>
      </w:pPr>
      <w:r>
        <w:pict>
          <v:shape id="_x0000_s1031" o:spid="_x0000_s1031" o:spt="75" type="#_x0000_t75" style="position:absolute;left:0pt;margin-left:3.15pt;margin-top:74.85pt;height:199.2pt;width:401.3pt;mso-wrap-distance-bottom:0pt;mso-wrap-distance-top:0pt;z-index:251663360;mso-width-relative:page;mso-height-relative:page;" o:ole="t" filled="f" o:preferrelative="t" stroked="f" coordsize="21600,21600">
            <v:path/>
            <v:fill on="f" focussize="0,0"/>
            <v:stroke on="f" joinstyle="miter"/>
            <v:imagedata r:id="rId17" o:title=""/>
            <o:lock v:ext="edit" aspectratio="t"/>
            <w10:wrap type="topAndBottom"/>
          </v:shape>
          <o:OLEObject Type="Embed" ProgID="Excel.Chart.8" ShapeID="_x0000_s1031" DrawAspect="Content" ObjectID="_1468075730" r:id="rId16">
            <o:LockedField>false</o:LockedField>
          </o:OLEObject>
        </w:pict>
      </w:r>
      <w:r>
        <w:rPr>
          <w:rFonts w:ascii="仿宋" w:hAnsi="仿宋" w:eastAsia="仿宋"/>
          <w:sz w:val="32"/>
          <w:szCs w:val="32"/>
        </w:rPr>
        <w:t>2021</w:t>
      </w:r>
      <w:r>
        <w:rPr>
          <w:rFonts w:hint="eastAsia" w:ascii="仿宋" w:hAnsi="仿宋" w:eastAsia="仿宋"/>
          <w:sz w:val="32"/>
          <w:szCs w:val="32"/>
        </w:rPr>
        <w:t>年一般公共预算财政拨款支出</w:t>
      </w:r>
      <w:r>
        <w:rPr>
          <w:rFonts w:ascii="仿宋" w:hAnsi="仿宋" w:eastAsia="仿宋"/>
          <w:sz w:val="32"/>
          <w:szCs w:val="32"/>
        </w:rPr>
        <w:t>757.96</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教育支出（类）</w:t>
      </w:r>
      <w:r>
        <w:rPr>
          <w:rFonts w:ascii="仿宋" w:hAnsi="仿宋" w:eastAsia="仿宋"/>
          <w:sz w:val="32"/>
          <w:szCs w:val="32"/>
        </w:rPr>
        <w:t>757.96</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w:t>
      </w:r>
    </w:p>
    <w:p>
      <w:pPr>
        <w:spacing w:line="600" w:lineRule="exact"/>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7444"/>
      <w:bookmarkStart w:id="32" w:name="_Toc15378460"/>
      <w:bookmarkStart w:id="33" w:name="_Toc15377213"/>
      <w:r>
        <w:rPr>
          <w:rFonts w:ascii="仿宋" w:hAnsi="仿宋" w:eastAsia="仿宋"/>
          <w:b/>
          <w:sz w:val="32"/>
          <w:szCs w:val="32"/>
        </w:rPr>
        <w:t>2021</w:t>
      </w:r>
      <w:r>
        <w:rPr>
          <w:rFonts w:hint="eastAsia" w:ascii="仿宋" w:hAnsi="仿宋" w:eastAsia="仿宋"/>
          <w:b/>
          <w:sz w:val="32"/>
          <w:szCs w:val="32"/>
        </w:rPr>
        <w:t>年一般公共预算支出决算数为</w:t>
      </w:r>
      <w:r>
        <w:rPr>
          <w:rFonts w:ascii="仿宋" w:hAnsi="仿宋" w:eastAsia="仿宋"/>
          <w:sz w:val="32"/>
          <w:szCs w:val="32"/>
        </w:rPr>
        <w:t>757.96</w:t>
      </w:r>
      <w:r>
        <w:rPr>
          <w:rFonts w:hint="eastAsia" w:ascii="仿宋" w:hAnsi="仿宋" w:eastAsia="仿宋"/>
          <w:b/>
          <w:sz w:val="32"/>
          <w:szCs w:val="32"/>
        </w:rPr>
        <w:t>万元</w:t>
      </w:r>
      <w:r>
        <w:rPr>
          <w:rFonts w:hint="eastAsia" w:ascii="仿宋" w:hAnsi="仿宋" w:eastAsia="仿宋"/>
          <w:sz w:val="32"/>
          <w:szCs w:val="32"/>
        </w:rPr>
        <w:t>，</w:t>
      </w:r>
      <w:r>
        <w:rPr>
          <w:rStyle w:val="19"/>
          <w:rFonts w:hint="eastAsia" w:ascii="仿宋" w:hAnsi="仿宋" w:eastAsia="仿宋"/>
          <w:bCs/>
          <w:sz w:val="32"/>
          <w:szCs w:val="32"/>
        </w:rPr>
        <w:t>完成预算</w:t>
      </w:r>
      <w:r>
        <w:rPr>
          <w:rStyle w:val="19"/>
          <w:rFonts w:ascii="仿宋" w:hAnsi="仿宋" w:eastAsia="仿宋"/>
          <w:bCs/>
          <w:sz w:val="32"/>
          <w:szCs w:val="32"/>
        </w:rPr>
        <w:t>100%</w:t>
      </w:r>
      <w:r>
        <w:rPr>
          <w:rStyle w:val="19"/>
          <w:rFonts w:hint="eastAsia" w:ascii="仿宋" w:hAnsi="仿宋" w:eastAsia="仿宋"/>
          <w:bCs/>
          <w:sz w:val="32"/>
          <w:szCs w:val="32"/>
        </w:rPr>
        <w:t>。其中：</w:t>
      </w:r>
      <w:bookmarkEnd w:id="31"/>
      <w:bookmarkEnd w:id="32"/>
      <w:bookmarkEnd w:id="33"/>
    </w:p>
    <w:p>
      <w:pPr>
        <w:spacing w:line="600" w:lineRule="exact"/>
        <w:ind w:firstLine="643" w:firstLineChars="200"/>
        <w:rPr>
          <w:rFonts w:ascii="仿宋" w:hAnsi="仿宋" w:eastAsia="仿宋"/>
          <w:b/>
          <w:sz w:val="32"/>
          <w:szCs w:val="32"/>
        </w:rPr>
      </w:pPr>
      <w:r>
        <w:rPr>
          <w:rStyle w:val="19"/>
          <w:rFonts w:ascii="仿宋" w:hAnsi="仿宋" w:eastAsia="仿宋"/>
          <w:bCs/>
          <w:sz w:val="32"/>
          <w:szCs w:val="32"/>
        </w:rPr>
        <w:t>1.</w:t>
      </w:r>
      <w:r>
        <w:rPr>
          <w:rStyle w:val="19"/>
          <w:rFonts w:hint="eastAsia" w:ascii="仿宋" w:hAnsi="仿宋" w:eastAsia="仿宋"/>
          <w:bCs/>
          <w:sz w:val="32"/>
          <w:szCs w:val="32"/>
        </w:rPr>
        <w:t>教育</w:t>
      </w:r>
      <w:r>
        <w:rPr>
          <w:rStyle w:val="19"/>
          <w:rFonts w:ascii="仿宋" w:hAnsi="仿宋" w:eastAsia="仿宋"/>
          <w:bCs/>
          <w:sz w:val="32"/>
          <w:szCs w:val="32"/>
        </w:rPr>
        <w:t>205</w:t>
      </w:r>
      <w:r>
        <w:rPr>
          <w:rStyle w:val="19"/>
          <w:rFonts w:hint="eastAsia" w:ascii="仿宋" w:hAnsi="仿宋" w:eastAsia="仿宋"/>
          <w:bCs/>
          <w:sz w:val="32"/>
          <w:szCs w:val="32"/>
        </w:rPr>
        <w:t>（类）普通教育</w:t>
      </w:r>
      <w:r>
        <w:rPr>
          <w:rStyle w:val="19"/>
          <w:rFonts w:ascii="仿宋" w:hAnsi="仿宋" w:eastAsia="仿宋"/>
          <w:bCs/>
          <w:sz w:val="32"/>
          <w:szCs w:val="32"/>
        </w:rPr>
        <w:t>02</w:t>
      </w:r>
      <w:r>
        <w:rPr>
          <w:rStyle w:val="19"/>
          <w:rFonts w:hint="eastAsia" w:ascii="仿宋" w:hAnsi="仿宋" w:eastAsia="仿宋"/>
          <w:bCs/>
          <w:sz w:val="32"/>
          <w:szCs w:val="32"/>
        </w:rPr>
        <w:t>（款）小学教育</w:t>
      </w:r>
      <w:r>
        <w:rPr>
          <w:rStyle w:val="19"/>
          <w:rFonts w:ascii="仿宋" w:hAnsi="仿宋" w:eastAsia="仿宋"/>
          <w:bCs/>
          <w:sz w:val="32"/>
          <w:szCs w:val="32"/>
        </w:rPr>
        <w:t>02</w:t>
      </w:r>
      <w:r>
        <w:rPr>
          <w:rStyle w:val="19"/>
          <w:rFonts w:hint="eastAsia" w:ascii="仿宋" w:hAnsi="仿宋" w:eastAsia="仿宋"/>
          <w:bCs/>
          <w:sz w:val="32"/>
          <w:szCs w:val="32"/>
        </w:rPr>
        <w:t>（项）</w:t>
      </w:r>
      <w:r>
        <w:rPr>
          <w:rStyle w:val="19"/>
          <w:rFonts w:ascii="仿宋" w:hAnsi="仿宋" w:eastAsia="仿宋"/>
          <w:bCs/>
          <w:sz w:val="32"/>
          <w:szCs w:val="32"/>
        </w:rPr>
        <w:t>:</w:t>
      </w:r>
      <w:r>
        <w:rPr>
          <w:rFonts w:ascii="仿宋" w:hAnsi="仿宋" w:eastAsia="仿宋"/>
          <w:b/>
          <w:bCs/>
          <w:sz w:val="32"/>
          <w:szCs w:val="32"/>
        </w:rPr>
        <w:t xml:space="preserve"> </w:t>
      </w:r>
      <w:r>
        <w:rPr>
          <w:rStyle w:val="19"/>
          <w:rFonts w:hint="eastAsia" w:ascii="仿宋" w:hAnsi="仿宋" w:eastAsia="仿宋"/>
          <w:b w:val="0"/>
          <w:bCs/>
          <w:sz w:val="32"/>
          <w:szCs w:val="32"/>
        </w:rPr>
        <w:t>支出决算为</w:t>
      </w:r>
      <w:r>
        <w:rPr>
          <w:rStyle w:val="19"/>
          <w:rFonts w:ascii="仿宋" w:hAnsi="仿宋" w:eastAsia="仿宋"/>
          <w:b w:val="0"/>
          <w:bCs/>
          <w:sz w:val="32"/>
          <w:szCs w:val="32"/>
        </w:rPr>
        <w:t>547.96</w:t>
      </w:r>
      <w:r>
        <w:rPr>
          <w:rStyle w:val="19"/>
          <w:rFonts w:hint="eastAsia" w:ascii="仿宋" w:hAnsi="仿宋" w:eastAsia="仿宋"/>
          <w:b w:val="0"/>
          <w:bCs/>
          <w:sz w:val="32"/>
          <w:szCs w:val="32"/>
        </w:rPr>
        <w:t>万元，完成预算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pPr>
        <w:spacing w:line="600" w:lineRule="exact"/>
        <w:ind w:firstLine="643" w:firstLineChars="200"/>
        <w:rPr>
          <w:rStyle w:val="19"/>
          <w:rFonts w:ascii="仿宋" w:hAnsi="仿宋" w:eastAsia="仿宋"/>
          <w:b w:val="0"/>
          <w:bCs/>
          <w:sz w:val="32"/>
          <w:szCs w:val="32"/>
        </w:rPr>
      </w:pPr>
      <w:r>
        <w:rPr>
          <w:rStyle w:val="19"/>
          <w:rFonts w:ascii="仿宋" w:hAnsi="仿宋" w:eastAsia="仿宋"/>
          <w:bCs/>
          <w:sz w:val="32"/>
          <w:szCs w:val="32"/>
        </w:rPr>
        <w:t>2.</w:t>
      </w:r>
      <w:r>
        <w:rPr>
          <w:rStyle w:val="19"/>
          <w:rFonts w:hint="eastAsia" w:ascii="仿宋" w:hAnsi="仿宋" w:eastAsia="仿宋"/>
          <w:bCs/>
          <w:sz w:val="32"/>
          <w:szCs w:val="32"/>
        </w:rPr>
        <w:t>教育</w:t>
      </w:r>
      <w:r>
        <w:rPr>
          <w:rStyle w:val="19"/>
          <w:rFonts w:ascii="仿宋" w:hAnsi="仿宋" w:eastAsia="仿宋"/>
          <w:bCs/>
          <w:sz w:val="32"/>
          <w:szCs w:val="32"/>
        </w:rPr>
        <w:t>205</w:t>
      </w:r>
      <w:r>
        <w:rPr>
          <w:rStyle w:val="19"/>
          <w:rFonts w:hint="eastAsia" w:ascii="仿宋" w:hAnsi="仿宋" w:eastAsia="仿宋"/>
          <w:bCs/>
          <w:sz w:val="32"/>
          <w:szCs w:val="32"/>
        </w:rPr>
        <w:t>（类）普通教育</w:t>
      </w:r>
      <w:r>
        <w:rPr>
          <w:rStyle w:val="19"/>
          <w:rFonts w:ascii="仿宋" w:hAnsi="仿宋" w:eastAsia="仿宋"/>
          <w:bCs/>
          <w:sz w:val="32"/>
          <w:szCs w:val="32"/>
        </w:rPr>
        <w:t>02</w:t>
      </w:r>
      <w:r>
        <w:rPr>
          <w:rStyle w:val="19"/>
          <w:rFonts w:hint="eastAsia" w:ascii="仿宋" w:hAnsi="仿宋" w:eastAsia="仿宋"/>
          <w:bCs/>
          <w:sz w:val="32"/>
          <w:szCs w:val="32"/>
        </w:rPr>
        <w:t>（款）其他普通教育支出</w:t>
      </w:r>
      <w:r>
        <w:rPr>
          <w:rStyle w:val="19"/>
          <w:rFonts w:ascii="仿宋" w:hAnsi="仿宋" w:eastAsia="仿宋"/>
          <w:bCs/>
          <w:sz w:val="32"/>
          <w:szCs w:val="32"/>
        </w:rPr>
        <w:t>99</w:t>
      </w:r>
      <w:r>
        <w:rPr>
          <w:rStyle w:val="19"/>
          <w:rFonts w:hint="eastAsia" w:ascii="仿宋" w:hAnsi="仿宋" w:eastAsia="仿宋"/>
          <w:bCs/>
          <w:sz w:val="32"/>
          <w:szCs w:val="32"/>
        </w:rPr>
        <w:t>（项）</w:t>
      </w:r>
      <w:r>
        <w:rPr>
          <w:rStyle w:val="19"/>
          <w:rFonts w:ascii="仿宋" w:hAnsi="仿宋" w:eastAsia="仿宋"/>
          <w:bCs/>
          <w:sz w:val="32"/>
          <w:szCs w:val="32"/>
        </w:rPr>
        <w:t>:</w:t>
      </w:r>
      <w:r>
        <w:rPr>
          <w:rFonts w:ascii="仿宋" w:hAnsi="仿宋" w:eastAsia="仿宋"/>
          <w:b/>
          <w:bCs/>
          <w:sz w:val="32"/>
          <w:szCs w:val="32"/>
        </w:rPr>
        <w:t xml:space="preserve"> </w:t>
      </w:r>
      <w:r>
        <w:rPr>
          <w:rStyle w:val="19"/>
          <w:rFonts w:hint="eastAsia" w:ascii="仿宋" w:hAnsi="仿宋" w:eastAsia="仿宋"/>
          <w:b w:val="0"/>
          <w:bCs/>
          <w:sz w:val="32"/>
          <w:szCs w:val="32"/>
        </w:rPr>
        <w:t>支出决算为</w:t>
      </w:r>
      <w:r>
        <w:rPr>
          <w:rStyle w:val="19"/>
          <w:rFonts w:ascii="仿宋" w:hAnsi="仿宋" w:eastAsia="仿宋"/>
          <w:b w:val="0"/>
          <w:bCs/>
          <w:sz w:val="32"/>
          <w:szCs w:val="32"/>
        </w:rPr>
        <w:t>210</w:t>
      </w:r>
      <w:r>
        <w:rPr>
          <w:rStyle w:val="19"/>
          <w:rFonts w:hint="eastAsia" w:ascii="仿宋" w:hAnsi="仿宋" w:eastAsia="仿宋"/>
          <w:b w:val="0"/>
          <w:bCs/>
          <w:sz w:val="32"/>
          <w:szCs w:val="32"/>
        </w:rPr>
        <w:t>万元，完成预算</w:t>
      </w:r>
      <w:r>
        <w:rPr>
          <w:rStyle w:val="19"/>
          <w:rFonts w:ascii="仿宋" w:hAnsi="仿宋" w:eastAsia="仿宋"/>
          <w:b w:val="0"/>
          <w:bCs/>
          <w:sz w:val="32"/>
          <w:szCs w:val="32"/>
        </w:rPr>
        <w:t>100%</w:t>
      </w:r>
      <w:r>
        <w:rPr>
          <w:rStyle w:val="19"/>
          <w:rFonts w:hint="eastAsia" w:ascii="仿宋" w:hAnsi="仿宋" w:eastAsia="仿宋"/>
          <w:b w:val="0"/>
          <w:bCs/>
          <w:sz w:val="32"/>
          <w:szCs w:val="32"/>
        </w:rPr>
        <w:t>。，决算数等于预算数。</w:t>
      </w:r>
    </w:p>
    <w:p>
      <w:pPr>
        <w:tabs>
          <w:tab w:val="right" w:pos="8306"/>
        </w:tabs>
        <w:spacing w:line="600" w:lineRule="exact"/>
        <w:ind w:firstLine="960" w:firstLineChars="300"/>
        <w:outlineLvl w:val="1"/>
        <w:rPr>
          <w:rStyle w:val="38"/>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8"/>
          <w:rFonts w:hint="eastAsia" w:ascii="黑体" w:hAnsi="黑体" w:eastAsia="黑体"/>
          <w:b w:val="0"/>
        </w:rPr>
        <w:t>般公共预算财政拨款基本支出决算情况说明</w:t>
      </w:r>
      <w:bookmarkEnd w:id="34"/>
      <w:bookmarkEnd w:id="35"/>
      <w:r>
        <w:rPr>
          <w:rStyle w:val="38"/>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年一般公共预算财政拨款基本支出</w:t>
      </w:r>
      <w:r>
        <w:rPr>
          <w:rFonts w:ascii="仿宋" w:hAnsi="仿宋" w:eastAsia="仿宋"/>
          <w:sz w:val="32"/>
          <w:szCs w:val="32"/>
        </w:rPr>
        <w:t>547.96</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sz w:val="32"/>
          <w:szCs w:val="32"/>
        </w:rPr>
        <w:t>491.46</w:t>
      </w:r>
      <w:r>
        <w:rPr>
          <w:rFonts w:hint="eastAsia" w:ascii="仿宋" w:hAnsi="仿宋" w:eastAsia="仿宋"/>
          <w:sz w:val="32"/>
          <w:szCs w:val="32"/>
        </w:rPr>
        <w:t>万元，主要包括：基本工资、津贴补贴、绩效工资、机关事业单位基本养老保险缴费、职业年金缴费、职工基本医疗保险缴费、其他社会保障缴费、住房公积金、生活补助、助学金、奖励金。</w:t>
      </w:r>
    </w:p>
    <w:p>
      <w:pPr>
        <w:spacing w:line="600" w:lineRule="exact"/>
        <w:ind w:firstLine="645"/>
        <w:rPr>
          <w:rFonts w:ascii="仿宋" w:hAnsi="仿宋" w:eastAsia="仿宋"/>
          <w:b/>
          <w:sz w:val="32"/>
          <w:szCs w:val="32"/>
        </w:rPr>
      </w:pPr>
      <w:r>
        <w:rPr>
          <w:rFonts w:hint="eastAsia" w:ascii="仿宋" w:hAnsi="仿宋" w:eastAsia="仿宋"/>
          <w:sz w:val="32"/>
          <w:szCs w:val="32"/>
        </w:rPr>
        <w:t>公用经费</w:t>
      </w:r>
      <w:r>
        <w:rPr>
          <w:rFonts w:ascii="仿宋" w:hAnsi="仿宋" w:eastAsia="仿宋"/>
          <w:sz w:val="32"/>
          <w:szCs w:val="32"/>
        </w:rPr>
        <w:t>56.5</w:t>
      </w:r>
      <w:r>
        <w:rPr>
          <w:rFonts w:hint="eastAsia" w:ascii="仿宋" w:hAnsi="仿宋" w:eastAsia="仿宋"/>
          <w:sz w:val="32"/>
          <w:szCs w:val="32"/>
        </w:rPr>
        <w:t>万元，主要包括：办公费、印刷费、手续费、水费、电费、邮电费、差旅费、维修（护）费、培训费、公务接待费、工会经费等。</w:t>
      </w:r>
    </w:p>
    <w:p>
      <w:pPr>
        <w:spacing w:line="600" w:lineRule="exact"/>
        <w:ind w:firstLine="640"/>
        <w:outlineLvl w:val="1"/>
        <w:rPr>
          <w:rStyle w:val="38"/>
          <w:rFonts w:ascii="黑体" w:hAnsi="黑体" w:eastAsia="黑体"/>
          <w:b w:val="0"/>
        </w:rPr>
      </w:pPr>
      <w:bookmarkStart w:id="36" w:name="_Toc15396609"/>
      <w:bookmarkStart w:id="37" w:name="_Toc15377215"/>
      <w:r>
        <w:rPr>
          <w:rFonts w:hint="eastAsia" w:ascii="黑体" w:eastAsia="黑体"/>
          <w:sz w:val="32"/>
          <w:szCs w:val="32"/>
        </w:rPr>
        <w:t>七、</w:t>
      </w:r>
      <w:r>
        <w:rPr>
          <w:rStyle w:val="38"/>
          <w:rFonts w:hint="eastAsia" w:ascii="黑体" w:hAnsi="黑体" w:eastAsia="黑体"/>
        </w:rPr>
        <w:t>“</w:t>
      </w:r>
      <w:r>
        <w:rPr>
          <w:rStyle w:val="38"/>
          <w:rFonts w:hint="eastAsia" w:ascii="黑体" w:hAnsi="黑体" w:eastAsia="黑体"/>
          <w:b w:val="0"/>
        </w:rPr>
        <w:t>三公”经费财政拨款支出决算情况说明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2021</w:t>
      </w:r>
      <w:r>
        <w:rPr>
          <w:rFonts w:hint="eastAsia" w:ascii="仿宋" w:hAnsi="仿宋" w:eastAsia="仿宋"/>
          <w:sz w:val="32"/>
          <w:szCs w:val="32"/>
        </w:rPr>
        <w:t>年“三公”经费财政拨款支出决算为</w:t>
      </w:r>
      <w:r>
        <w:rPr>
          <w:rFonts w:ascii="仿宋" w:hAnsi="仿宋" w:eastAsia="仿宋"/>
          <w:sz w:val="32"/>
          <w:szCs w:val="32"/>
        </w:rPr>
        <w:t>0.89</w:t>
      </w:r>
      <w:r>
        <w:rPr>
          <w:rFonts w:hint="eastAsia" w:ascii="仿宋" w:hAnsi="仿宋" w:eastAsia="仿宋"/>
          <w:sz w:val="32"/>
          <w:szCs w:val="32"/>
        </w:rPr>
        <w:t>万元，完成预算</w:t>
      </w:r>
      <w:r>
        <w:rPr>
          <w:rFonts w:ascii="仿宋" w:hAnsi="仿宋" w:eastAsia="仿宋"/>
          <w:sz w:val="32"/>
          <w:szCs w:val="32"/>
        </w:rPr>
        <w:t>95.70%</w:t>
      </w:r>
      <w:r>
        <w:rPr>
          <w:rFonts w:hint="eastAsia" w:ascii="仿宋" w:hAnsi="仿宋" w:eastAsia="仿宋"/>
          <w:sz w:val="32"/>
          <w:szCs w:val="32"/>
        </w:rPr>
        <w:t>，决算数小于预算数的主要原因是</w:t>
      </w:r>
      <w:r>
        <w:rPr>
          <w:rFonts w:hint="eastAsia" w:ascii="仿宋" w:hAnsi="仿宋" w:eastAsia="仿宋"/>
          <w:color w:val="000000"/>
          <w:sz w:val="32"/>
          <w:szCs w:val="32"/>
        </w:rPr>
        <w:t>认真贯彻落实中央八项规定精神，采取有效措施严格控制接待范围和接待标准。</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420" w:firstLineChars="200"/>
        <w:rPr>
          <w:rFonts w:ascii="仿宋" w:hAnsi="仿宋" w:eastAsia="仿宋"/>
          <w:b/>
          <w:sz w:val="32"/>
          <w:szCs w:val="32"/>
        </w:rPr>
      </w:pPr>
      <w:r>
        <w:pict>
          <v:shape id="_x0000_s1032" o:spid="_x0000_s1032" o:spt="75" alt="" type="#_x0000_t75" style="position:absolute;left:0pt;margin-left:-0.85pt;margin-top:153.9pt;height:166.45pt;width:401.3pt;mso-wrap-distance-bottom:0pt;mso-wrap-distance-top:0pt;z-index:251664384;mso-width-relative:page;mso-height-relative:page;" o:ole="t" filled="f" o:preferrelative="t" stroked="f" coordsize="21600,21600">
            <v:path/>
            <v:fill on="f" focussize="0,0"/>
            <v:stroke on="f"/>
            <v:imagedata r:id="rId19" o:title=""/>
            <o:lock v:ext="edit" aspectratio="t"/>
            <w10:wrap type="topAndBottom"/>
          </v:shape>
          <o:OLEObject Type="Embed" ProgID="Excel.Chart.8" ShapeID="_x0000_s1032" DrawAspect="Content" ObjectID="_1468075731" r:id="rId18">
            <o:LockedField>false</o:LockedField>
          </o:OLEObject>
        </w:pict>
      </w:r>
      <w:r>
        <w:rPr>
          <w:rFonts w:ascii="仿宋" w:hAnsi="仿宋" w:eastAsia="仿宋"/>
          <w:sz w:val="32"/>
          <w:szCs w:val="32"/>
        </w:rPr>
        <w:t>2021</w:t>
      </w:r>
      <w:r>
        <w:rPr>
          <w:rFonts w:hint="eastAsia" w:ascii="仿宋" w:hAnsi="仿宋" w:eastAsia="仿宋"/>
          <w:sz w:val="32"/>
          <w:szCs w:val="32"/>
        </w:rPr>
        <w:t>年“三公”经费财政拨款支出决算中，因公出国（境）费支出决算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公务用车购置及运行维护费支出决算</w:t>
      </w:r>
      <w:r>
        <w:rPr>
          <w:rFonts w:ascii="仿宋" w:hAnsi="仿宋" w:eastAsia="仿宋"/>
          <w:sz w:val="32"/>
          <w:szCs w:val="32"/>
        </w:rPr>
        <w:t>0</w:t>
      </w:r>
      <w:r>
        <w:rPr>
          <w:rFonts w:hint="eastAsia" w:ascii="仿宋" w:hAnsi="仿宋" w:eastAsia="仿宋"/>
          <w:sz w:val="32"/>
          <w:szCs w:val="32"/>
        </w:rPr>
        <w:t>万元，当年未安排预算</w:t>
      </w:r>
      <w:r>
        <w:rPr>
          <w:rFonts w:hint="eastAsia" w:eastAsia="仿宋"/>
          <w:sz w:val="32"/>
          <w:szCs w:val="32"/>
        </w:rPr>
        <w:t>，与上年持平；</w:t>
      </w:r>
      <w:r>
        <w:rPr>
          <w:rFonts w:hint="eastAsia" w:ascii="仿宋" w:hAnsi="仿宋" w:eastAsia="仿宋"/>
          <w:sz w:val="32"/>
          <w:szCs w:val="32"/>
        </w:rPr>
        <w:t>公务接待费支出决算</w:t>
      </w:r>
      <w:r>
        <w:rPr>
          <w:rFonts w:ascii="仿宋" w:hAnsi="仿宋" w:eastAsia="仿宋"/>
          <w:sz w:val="32"/>
          <w:szCs w:val="32"/>
        </w:rPr>
        <w:t>0.89</w:t>
      </w:r>
      <w:r>
        <w:rPr>
          <w:rFonts w:hint="eastAsia" w:ascii="仿宋" w:hAnsi="仿宋" w:eastAsia="仿宋"/>
          <w:sz w:val="32"/>
          <w:szCs w:val="32"/>
        </w:rPr>
        <w:t>万元，占</w:t>
      </w:r>
      <w:r>
        <w:rPr>
          <w:rFonts w:ascii="仿宋" w:hAnsi="仿宋" w:eastAsia="仿宋"/>
          <w:sz w:val="32"/>
          <w:szCs w:val="32"/>
        </w:rPr>
        <w:t>100%</w:t>
      </w:r>
      <w:r>
        <w:rPr>
          <w:rFonts w:hint="eastAsia" w:ascii="仿宋" w:hAnsi="仿宋" w:eastAsia="仿宋"/>
          <w:sz w:val="32"/>
          <w:szCs w:val="32"/>
        </w:rPr>
        <w:t>。具体情况如下：</w:t>
      </w:r>
    </w:p>
    <w:p>
      <w:pPr>
        <w:spacing w:line="600" w:lineRule="exact"/>
        <w:ind w:firstLine="640"/>
        <w:rPr>
          <w:rFonts w:ascii="仿宋_GB2312" w:eastAsia="仿宋_GB2312" w:cs="仿宋_GB2312"/>
          <w:b/>
          <w:sz w:val="32"/>
          <w:szCs w:val="32"/>
        </w:rPr>
      </w:pPr>
      <w:r>
        <w:rPr>
          <w:rFonts w:ascii="仿宋_GB2312" w:eastAsia="仿宋_GB2312" w:cs="仿宋_GB2312"/>
          <w:b/>
          <w:sz w:val="32"/>
          <w:szCs w:val="32"/>
        </w:rPr>
        <w:t>1.</w:t>
      </w:r>
      <w:r>
        <w:rPr>
          <w:rFonts w:hint="eastAsia" w:ascii="仿宋_GB2312" w:eastAsia="仿宋_GB2312" w:cs="仿宋_GB2312"/>
          <w:b/>
          <w:sz w:val="32"/>
          <w:szCs w:val="32"/>
        </w:rPr>
        <w:t>因公出国（境）经费支出</w:t>
      </w:r>
      <w:r>
        <w:rPr>
          <w:rFonts w:ascii="仿宋_GB2312" w:eastAsia="仿宋_GB2312" w:cs="仿宋_GB2312"/>
          <w:sz w:val="32"/>
          <w:szCs w:val="32"/>
        </w:rPr>
        <w:t>0</w:t>
      </w:r>
      <w:r>
        <w:rPr>
          <w:rFonts w:hint="eastAsia" w:ascii="仿宋_GB2312" w:eastAsia="仿宋_GB2312" w:cs="仿宋_GB2312"/>
          <w:sz w:val="32"/>
          <w:szCs w:val="32"/>
        </w:rPr>
        <w:t>万元，</w:t>
      </w:r>
      <w:r>
        <w:rPr>
          <w:rStyle w:val="19"/>
          <w:rFonts w:hint="eastAsia" w:ascii="仿宋" w:hAnsi="仿宋" w:eastAsia="仿宋" w:cs="仿宋"/>
          <w:b w:val="0"/>
          <w:bCs/>
          <w:sz w:val="32"/>
          <w:szCs w:val="32"/>
        </w:rPr>
        <w:t>年初未安排预算，与上年数持平。</w:t>
      </w:r>
    </w:p>
    <w:p>
      <w:pPr>
        <w:spacing w:line="600" w:lineRule="exact"/>
        <w:ind w:firstLine="640"/>
        <w:rPr>
          <w:rFonts w:ascii="仿宋_GB2312" w:eastAsia="仿宋_GB2312" w:cs="仿宋_GB2312"/>
          <w:b/>
          <w:sz w:val="32"/>
          <w:szCs w:val="32"/>
        </w:rPr>
      </w:pPr>
      <w:r>
        <w:rPr>
          <w:rFonts w:ascii="仿宋_GB2312" w:eastAsia="仿宋_GB2312" w:cs="仿宋_GB2312"/>
          <w:b/>
          <w:sz w:val="32"/>
          <w:szCs w:val="32"/>
        </w:rPr>
        <w:t>2.</w:t>
      </w:r>
      <w:r>
        <w:rPr>
          <w:rFonts w:hint="eastAsia" w:ascii="仿宋_GB2312" w:eastAsia="仿宋_GB2312" w:cs="仿宋_GB2312"/>
          <w:b/>
          <w:sz w:val="32"/>
          <w:szCs w:val="32"/>
        </w:rPr>
        <w:t>公务用车购置及运行维护费支出</w:t>
      </w:r>
      <w:r>
        <w:rPr>
          <w:rFonts w:ascii="仿宋_GB2312" w:eastAsia="仿宋_GB2312" w:cs="仿宋_GB2312"/>
          <w:sz w:val="32"/>
          <w:szCs w:val="32"/>
        </w:rPr>
        <w:t>0</w:t>
      </w:r>
      <w:r>
        <w:rPr>
          <w:rFonts w:hint="eastAsia" w:ascii="仿宋_GB2312" w:eastAsia="仿宋_GB2312" w:cs="仿宋_GB2312"/>
          <w:sz w:val="32"/>
          <w:szCs w:val="32"/>
        </w:rPr>
        <w:t>万元</w:t>
      </w:r>
      <w:r>
        <w:rPr>
          <w:rFonts w:ascii="仿宋_GB2312" w:eastAsia="仿宋_GB2312" w:cs="仿宋_GB2312"/>
          <w:sz w:val="32"/>
          <w:szCs w:val="32"/>
        </w:rPr>
        <w:t>,</w:t>
      </w:r>
      <w:r>
        <w:rPr>
          <w:rStyle w:val="19"/>
          <w:rFonts w:hint="eastAsia" w:ascii="仿宋" w:hAnsi="仿宋" w:eastAsia="仿宋" w:cs="仿宋"/>
          <w:b w:val="0"/>
          <w:bCs/>
          <w:sz w:val="32"/>
          <w:szCs w:val="32"/>
        </w:rPr>
        <w:t>年初未安排预算，与上年数持平。</w:t>
      </w:r>
    </w:p>
    <w:p>
      <w:pPr>
        <w:spacing w:line="600" w:lineRule="exact"/>
        <w:ind w:firstLine="643" w:firstLineChars="200"/>
        <w:rPr>
          <w:rFonts w:ascii="仿宋_GB2312" w:eastAsia="仿宋_GB2312" w:cs="仿宋_GB2312"/>
          <w:bCs/>
          <w:color w:val="000000"/>
          <w:sz w:val="32"/>
          <w:szCs w:val="32"/>
        </w:rPr>
      </w:pPr>
      <w:r>
        <w:rPr>
          <w:rFonts w:hint="eastAsia" w:ascii="仿宋_GB2312" w:eastAsia="仿宋_GB2312" w:cs="仿宋_GB2312"/>
          <w:b/>
          <w:bCs/>
          <w:color w:val="000000"/>
          <w:sz w:val="32"/>
          <w:szCs w:val="32"/>
        </w:rPr>
        <w:t>其中：</w:t>
      </w:r>
      <w:r>
        <w:rPr>
          <w:rFonts w:hint="eastAsia" w:ascii="仿宋_GB2312" w:eastAsia="仿宋_GB2312" w:cs="仿宋_GB2312"/>
          <w:b/>
          <w:color w:val="000000"/>
          <w:sz w:val="32"/>
          <w:szCs w:val="32"/>
        </w:rPr>
        <w:t>公务用车购置支出</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万元。全年按规定更新购置公务用车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r>
        <w:rPr>
          <w:rFonts w:hint="eastAsia" w:ascii="仿宋_GB2312" w:eastAsia="仿宋_GB2312" w:cs="仿宋_GB2312"/>
          <w:color w:val="000000"/>
          <w:sz w:val="32"/>
          <w:szCs w:val="32"/>
        </w:rPr>
        <w:t>主要原因是我单位未购置公务用车。</w:t>
      </w:r>
      <w:r>
        <w:rPr>
          <w:rFonts w:hint="eastAsia" w:ascii="仿宋_GB2312" w:eastAsia="仿宋_GB2312" w:cs="仿宋_GB2312"/>
          <w:bCs/>
          <w:color w:val="000000"/>
          <w:sz w:val="32"/>
          <w:szCs w:val="32"/>
        </w:rPr>
        <w:t>截止</w:t>
      </w:r>
      <w:r>
        <w:rPr>
          <w:rFonts w:ascii="仿宋_GB2312" w:eastAsia="仿宋_GB2312" w:cs="仿宋_GB2312"/>
          <w:bCs/>
          <w:color w:val="000000"/>
          <w:sz w:val="32"/>
          <w:szCs w:val="32"/>
        </w:rPr>
        <w:t>2021</w:t>
      </w:r>
      <w:r>
        <w:rPr>
          <w:rFonts w:hint="eastAsia" w:ascii="仿宋_GB2312" w:eastAsia="仿宋_GB2312" w:cs="仿宋_GB2312"/>
          <w:bCs/>
          <w:color w:val="000000"/>
          <w:sz w:val="32"/>
          <w:szCs w:val="32"/>
        </w:rPr>
        <w:t>年</w:t>
      </w:r>
      <w:r>
        <w:rPr>
          <w:rFonts w:ascii="仿宋_GB2312" w:eastAsia="仿宋_GB2312" w:cs="仿宋_GB2312"/>
          <w:bCs/>
          <w:color w:val="000000"/>
          <w:sz w:val="32"/>
          <w:szCs w:val="32"/>
        </w:rPr>
        <w:t>12</w:t>
      </w:r>
      <w:r>
        <w:rPr>
          <w:rFonts w:hint="eastAsia" w:ascii="仿宋_GB2312" w:eastAsia="仿宋_GB2312" w:cs="仿宋_GB2312"/>
          <w:bCs/>
          <w:color w:val="000000"/>
          <w:sz w:val="32"/>
          <w:szCs w:val="32"/>
        </w:rPr>
        <w:t>月底，单位共有公务用车</w:t>
      </w:r>
      <w:r>
        <w:rPr>
          <w:rFonts w:ascii="仿宋_GB2312" w:eastAsia="仿宋_GB2312" w:cs="仿宋_GB2312"/>
          <w:bCs/>
          <w:color w:val="000000"/>
          <w:sz w:val="32"/>
          <w:szCs w:val="32"/>
        </w:rPr>
        <w:t>0</w:t>
      </w:r>
      <w:r>
        <w:rPr>
          <w:rFonts w:hint="eastAsia" w:ascii="仿宋_GB2312" w:eastAsia="仿宋_GB2312" w:cs="仿宋_GB2312"/>
          <w:bCs/>
          <w:color w:val="000000"/>
          <w:sz w:val="32"/>
          <w:szCs w:val="32"/>
        </w:rPr>
        <w:t>辆。</w:t>
      </w:r>
    </w:p>
    <w:p>
      <w:pPr>
        <w:spacing w:line="600" w:lineRule="exact"/>
        <w:ind w:firstLine="643" w:firstLineChars="200"/>
      </w:pPr>
      <w:r>
        <w:rPr>
          <w:rFonts w:hint="eastAsia" w:ascii="仿宋_GB2312" w:eastAsia="仿宋_GB2312" w:cs="仿宋_GB2312"/>
          <w:b/>
          <w:color w:val="000000"/>
          <w:sz w:val="32"/>
          <w:szCs w:val="32"/>
        </w:rPr>
        <w:t>公务用车运行维护费支出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万元。主要原因是我单位无公务用车。</w:t>
      </w:r>
    </w:p>
    <w:p>
      <w:pPr>
        <w:spacing w:line="600" w:lineRule="exact"/>
        <w:ind w:firstLine="640"/>
        <w:rPr>
          <w:rFonts w:eastAsia="仿宋"/>
          <w:sz w:val="32"/>
          <w:szCs w:val="32"/>
        </w:rPr>
      </w:pPr>
      <w:r>
        <w:rPr>
          <w:rFonts w:ascii="仿宋_GB2312" w:eastAsia="仿宋_GB2312"/>
          <w:b/>
          <w:sz w:val="32"/>
          <w:szCs w:val="32"/>
        </w:rPr>
        <w:t>3.</w:t>
      </w:r>
      <w:r>
        <w:rPr>
          <w:rFonts w:hint="eastAsia" w:eastAsia="仿宋"/>
          <w:b/>
          <w:sz w:val="32"/>
          <w:szCs w:val="32"/>
        </w:rPr>
        <w:t>公务接待费支出</w:t>
      </w:r>
      <w:r>
        <w:rPr>
          <w:rFonts w:ascii="仿宋" w:hAnsi="仿宋" w:eastAsia="仿宋"/>
          <w:sz w:val="32"/>
          <w:szCs w:val="32"/>
        </w:rPr>
        <w:t>0.89</w:t>
      </w:r>
      <w:r>
        <w:rPr>
          <w:rFonts w:hint="eastAsia" w:ascii="仿宋" w:hAnsi="仿宋" w:eastAsia="仿宋"/>
          <w:sz w:val="32"/>
          <w:szCs w:val="32"/>
        </w:rPr>
        <w:t>万元，完成预算</w:t>
      </w:r>
      <w:r>
        <w:rPr>
          <w:rFonts w:ascii="仿宋" w:hAnsi="仿宋" w:eastAsia="仿宋"/>
          <w:sz w:val="32"/>
          <w:szCs w:val="32"/>
        </w:rPr>
        <w:t>95.70%</w:t>
      </w:r>
      <w:r>
        <w:rPr>
          <w:rFonts w:hint="eastAsia" w:eastAsia="仿宋"/>
          <w:sz w:val="32"/>
          <w:szCs w:val="32"/>
        </w:rPr>
        <w:t>。公务接待费支出决算</w:t>
      </w:r>
      <w:r>
        <w:rPr>
          <w:rFonts w:hint="eastAsia" w:ascii="仿宋_GB2312" w:eastAsia="仿宋_GB2312"/>
          <w:sz w:val="32"/>
          <w:szCs w:val="32"/>
        </w:rPr>
        <w:t>与</w:t>
      </w:r>
      <w:r>
        <w:rPr>
          <w:rFonts w:ascii="仿宋_GB2312" w:eastAsia="仿宋_GB2312"/>
          <w:sz w:val="32"/>
          <w:szCs w:val="32"/>
        </w:rPr>
        <w:t>2020</w:t>
      </w:r>
      <w:r>
        <w:rPr>
          <w:rFonts w:hint="eastAsia" w:ascii="仿宋_GB2312" w:eastAsia="仿宋_GB2312"/>
          <w:sz w:val="32"/>
          <w:szCs w:val="32"/>
        </w:rPr>
        <w:t>年减少</w:t>
      </w:r>
      <w:r>
        <w:rPr>
          <w:rFonts w:ascii="仿宋_GB2312" w:eastAsia="仿宋_GB2312"/>
          <w:sz w:val="32"/>
          <w:szCs w:val="32"/>
        </w:rPr>
        <w:t>0.03</w:t>
      </w:r>
      <w:r>
        <w:rPr>
          <w:rFonts w:hint="eastAsia" w:ascii="仿宋_GB2312" w:eastAsia="仿宋_GB2312"/>
          <w:sz w:val="32"/>
          <w:szCs w:val="32"/>
        </w:rPr>
        <w:t>万元</w:t>
      </w:r>
      <w:r>
        <w:rPr>
          <w:rFonts w:hint="eastAsia" w:eastAsia="仿宋"/>
          <w:sz w:val="32"/>
          <w:szCs w:val="32"/>
        </w:rPr>
        <w:t>。主要原因是</w:t>
      </w:r>
      <w:r>
        <w:rPr>
          <w:rFonts w:hint="eastAsia" w:ascii="仿宋" w:hAnsi="仿宋" w:eastAsia="仿宋"/>
          <w:sz w:val="32"/>
          <w:szCs w:val="32"/>
        </w:rPr>
        <w:t>认</w:t>
      </w:r>
      <w:r>
        <w:rPr>
          <w:rFonts w:hint="eastAsia" w:ascii="仿宋" w:hAnsi="仿宋" w:eastAsia="仿宋"/>
          <w:color w:val="000000"/>
          <w:sz w:val="32"/>
          <w:szCs w:val="32"/>
        </w:rPr>
        <w:t>真贯彻落实中央八项规定精神，采取有效措施严格控制接待范围和接待标准。</w:t>
      </w:r>
      <w:r>
        <w:rPr>
          <w:rFonts w:hint="eastAsia" w:eastAsia="仿宋"/>
          <w:sz w:val="32"/>
          <w:szCs w:val="32"/>
        </w:rPr>
        <w:t>其中：</w:t>
      </w:r>
    </w:p>
    <w:p>
      <w:pPr>
        <w:spacing w:line="600" w:lineRule="exact"/>
        <w:ind w:firstLine="640"/>
        <w:rPr>
          <w:rFonts w:eastAsia="仿宋"/>
          <w:sz w:val="32"/>
          <w:szCs w:val="32"/>
        </w:rPr>
      </w:pPr>
      <w:r>
        <w:rPr>
          <w:rFonts w:hint="eastAsia" w:eastAsia="仿宋"/>
          <w:b/>
          <w:bCs/>
          <w:sz w:val="32"/>
          <w:szCs w:val="32"/>
        </w:rPr>
        <w:t>国内公务接待支出</w:t>
      </w:r>
      <w:r>
        <w:rPr>
          <w:rFonts w:eastAsia="仿宋"/>
          <w:sz w:val="32"/>
          <w:szCs w:val="32"/>
        </w:rPr>
        <w:t>0.89</w:t>
      </w:r>
      <w:r>
        <w:rPr>
          <w:rFonts w:hint="eastAsia" w:eastAsia="仿宋"/>
          <w:sz w:val="32"/>
          <w:szCs w:val="32"/>
        </w:rPr>
        <w:t>万元，主要用于接待上级来访、</w:t>
      </w:r>
      <w:r>
        <w:rPr>
          <w:rFonts w:hint="eastAsia" w:ascii="仿宋_GB2312" w:eastAsia="仿宋_GB2312"/>
          <w:color w:val="000000"/>
          <w:sz w:val="32"/>
          <w:szCs w:val="32"/>
        </w:rPr>
        <w:t>教育教学活动交流、</w:t>
      </w:r>
      <w:r>
        <w:rPr>
          <w:rFonts w:hint="eastAsia" w:ascii="仿宋_GB2312" w:eastAsia="仿宋_GB2312"/>
          <w:sz w:val="32"/>
          <w:szCs w:val="32"/>
        </w:rPr>
        <w:t>学生活动费及运动会学生用餐、交通费、体检费等</w:t>
      </w:r>
      <w:r>
        <w:rPr>
          <w:rFonts w:hint="eastAsia" w:eastAsia="仿宋"/>
          <w:sz w:val="32"/>
          <w:szCs w:val="32"/>
        </w:rPr>
        <w:t>。国内公务接待</w:t>
      </w:r>
      <w:r>
        <w:rPr>
          <w:rFonts w:eastAsia="仿宋"/>
          <w:sz w:val="32"/>
          <w:szCs w:val="32"/>
        </w:rPr>
        <w:t>49</w:t>
      </w:r>
      <w:r>
        <w:rPr>
          <w:rFonts w:hint="eastAsia" w:eastAsia="仿宋"/>
          <w:sz w:val="32"/>
          <w:szCs w:val="32"/>
        </w:rPr>
        <w:t>批次，</w:t>
      </w:r>
      <w:r>
        <w:rPr>
          <w:rFonts w:eastAsia="仿宋"/>
          <w:sz w:val="32"/>
          <w:szCs w:val="32"/>
        </w:rPr>
        <w:t>183</w:t>
      </w:r>
      <w:r>
        <w:rPr>
          <w:rFonts w:hint="eastAsia" w:eastAsia="仿宋"/>
          <w:sz w:val="32"/>
          <w:szCs w:val="32"/>
        </w:rPr>
        <w:t>人次（不包括陪同人员），共计支出</w:t>
      </w:r>
      <w:r>
        <w:rPr>
          <w:rFonts w:eastAsia="仿宋"/>
          <w:sz w:val="32"/>
          <w:szCs w:val="32"/>
        </w:rPr>
        <w:t>0.89</w:t>
      </w:r>
      <w:r>
        <w:rPr>
          <w:rFonts w:hint="eastAsia" w:eastAsia="仿宋"/>
          <w:sz w:val="32"/>
          <w:szCs w:val="32"/>
        </w:rPr>
        <w:t>万元，具体内容包括接待上级来访</w:t>
      </w:r>
      <w:r>
        <w:rPr>
          <w:rFonts w:eastAsia="仿宋"/>
          <w:sz w:val="32"/>
          <w:szCs w:val="32"/>
        </w:rPr>
        <w:t>0.2</w:t>
      </w:r>
      <w:r>
        <w:rPr>
          <w:rFonts w:hint="eastAsia" w:eastAsia="仿宋"/>
          <w:sz w:val="32"/>
          <w:szCs w:val="32"/>
        </w:rPr>
        <w:t>万元、</w:t>
      </w:r>
      <w:r>
        <w:rPr>
          <w:rFonts w:hint="eastAsia" w:ascii="仿宋_GB2312" w:eastAsia="仿宋_GB2312"/>
          <w:color w:val="000000"/>
          <w:sz w:val="32"/>
          <w:szCs w:val="32"/>
        </w:rPr>
        <w:t>教育教学活动交流</w:t>
      </w:r>
      <w:r>
        <w:rPr>
          <w:rFonts w:ascii="仿宋_GB2312" w:eastAsia="仿宋_GB2312"/>
          <w:color w:val="000000"/>
          <w:sz w:val="32"/>
          <w:szCs w:val="32"/>
        </w:rPr>
        <w:t>0.1</w:t>
      </w:r>
      <w:r>
        <w:rPr>
          <w:rFonts w:hint="eastAsia" w:ascii="仿宋_GB2312" w:eastAsia="仿宋_GB2312"/>
          <w:color w:val="000000"/>
          <w:sz w:val="32"/>
          <w:szCs w:val="32"/>
        </w:rPr>
        <w:t>万元、</w:t>
      </w:r>
      <w:r>
        <w:rPr>
          <w:rFonts w:hint="eastAsia" w:ascii="仿宋_GB2312" w:eastAsia="仿宋_GB2312"/>
          <w:sz w:val="32"/>
          <w:szCs w:val="32"/>
        </w:rPr>
        <w:t>学生活动费及运动会学生用餐、交通费、体检费等</w:t>
      </w:r>
      <w:r>
        <w:rPr>
          <w:rFonts w:ascii="仿宋_GB2312" w:eastAsia="仿宋_GB2312"/>
          <w:sz w:val="32"/>
          <w:szCs w:val="32"/>
        </w:rPr>
        <w:t>0.59</w:t>
      </w:r>
      <w:r>
        <w:rPr>
          <w:rFonts w:hint="eastAsia" w:ascii="仿宋_GB2312" w:eastAsia="仿宋_GB2312"/>
          <w:sz w:val="32"/>
          <w:szCs w:val="32"/>
        </w:rPr>
        <w:t>万元。</w:t>
      </w:r>
    </w:p>
    <w:p>
      <w:pPr>
        <w:spacing w:line="600" w:lineRule="exact"/>
        <w:ind w:firstLine="640" w:firstLineChars="200"/>
        <w:rPr>
          <w:rFonts w:eastAsia="仿宋"/>
          <w:sz w:val="32"/>
          <w:szCs w:val="32"/>
        </w:rPr>
      </w:pPr>
      <w:r>
        <w:rPr>
          <w:rFonts w:hint="eastAsia" w:eastAsia="仿宋"/>
          <w:sz w:val="32"/>
          <w:szCs w:val="32"/>
        </w:rPr>
        <w:t>外事接待支出</w:t>
      </w:r>
      <w:r>
        <w:rPr>
          <w:rFonts w:ascii="仿宋" w:hAnsi="仿宋" w:eastAsia="仿宋"/>
          <w:sz w:val="32"/>
          <w:szCs w:val="32"/>
        </w:rPr>
        <w:t>0</w:t>
      </w:r>
      <w:r>
        <w:rPr>
          <w:rFonts w:hint="eastAsia" w:ascii="仿宋_GB2312" w:eastAsia="仿宋_GB2312"/>
          <w:sz w:val="32"/>
          <w:szCs w:val="32"/>
        </w:rPr>
        <w:t>万元，外事接待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人，共计支出</w:t>
      </w:r>
      <w:r>
        <w:rPr>
          <w:rFonts w:ascii="仿宋_GB2312" w:eastAsia="仿宋_GB2312"/>
          <w:sz w:val="32"/>
          <w:szCs w:val="32"/>
        </w:rPr>
        <w:t>0</w:t>
      </w:r>
      <w:r>
        <w:rPr>
          <w:rFonts w:hint="eastAsia" w:ascii="仿宋_GB2312" w:eastAsia="仿宋_GB2312"/>
          <w:sz w:val="32"/>
          <w:szCs w:val="32"/>
        </w:rPr>
        <w:t>万元。</w:t>
      </w:r>
      <w:r>
        <w:rPr>
          <w:rFonts w:hint="eastAsia" w:eastAsia="仿宋"/>
          <w:sz w:val="32"/>
          <w:szCs w:val="32"/>
        </w:rPr>
        <w:t>外事接待支出</w:t>
      </w:r>
      <w:r>
        <w:rPr>
          <w:rFonts w:hint="eastAsia" w:ascii="仿宋_GB2312" w:eastAsia="仿宋_GB2312" w:cs="仿宋_GB2312"/>
          <w:color w:val="000000"/>
          <w:sz w:val="32"/>
          <w:szCs w:val="32"/>
        </w:rPr>
        <w:t>决算与</w:t>
      </w:r>
      <w:r>
        <w:rPr>
          <w:rFonts w:ascii="仿宋_GB2312" w:eastAsia="仿宋_GB2312" w:cs="仿宋_GB2312"/>
          <w:color w:val="000000"/>
          <w:sz w:val="32"/>
          <w:szCs w:val="32"/>
        </w:rPr>
        <w:t>2020</w:t>
      </w:r>
      <w:r>
        <w:rPr>
          <w:rFonts w:hint="eastAsia" w:ascii="仿宋_GB2312" w:eastAsia="仿宋_GB2312" w:cs="仿宋_GB2312"/>
          <w:color w:val="000000"/>
          <w:sz w:val="32"/>
          <w:szCs w:val="32"/>
        </w:rPr>
        <w:t>年持平</w:t>
      </w:r>
      <w:r>
        <w:rPr>
          <w:rFonts w:hint="eastAsia" w:eastAsia="仿宋"/>
          <w:sz w:val="32"/>
          <w:szCs w:val="32"/>
        </w:rPr>
        <w:t>。</w:t>
      </w:r>
    </w:p>
    <w:p>
      <w:pPr>
        <w:spacing w:line="600" w:lineRule="exact"/>
        <w:outlineLvl w:val="1"/>
        <w:rPr>
          <w:rFonts w:ascii="黑体" w:eastAsia="黑体"/>
          <w:sz w:val="32"/>
          <w:szCs w:val="32"/>
        </w:rPr>
      </w:pPr>
      <w:bookmarkStart w:id="40" w:name="_Toc15396610"/>
      <w:bookmarkStart w:id="41" w:name="_Toc15377218"/>
    </w:p>
    <w:p>
      <w:pPr>
        <w:pStyle w:val="2"/>
      </w:pPr>
    </w:p>
    <w:p>
      <w:pPr>
        <w:spacing w:line="600" w:lineRule="exact"/>
        <w:ind w:firstLine="640"/>
        <w:outlineLvl w:val="1"/>
        <w:rPr>
          <w:rStyle w:val="38"/>
          <w:rFonts w:ascii="黑体" w:hAnsi="黑体" w:eastAsia="黑体"/>
        </w:rPr>
      </w:pPr>
      <w:r>
        <w:rPr>
          <w:rFonts w:hint="eastAsia" w:ascii="黑体" w:eastAsia="黑体"/>
          <w:sz w:val="32"/>
          <w:szCs w:val="32"/>
        </w:rPr>
        <w:t>八、</w:t>
      </w:r>
      <w:r>
        <w:rPr>
          <w:rStyle w:val="38"/>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年政府性基金预算财政拨款支出</w:t>
      </w:r>
      <w:r>
        <w:rPr>
          <w:rFonts w:ascii="仿宋_GB2312" w:eastAsia="仿宋_GB2312"/>
          <w:sz w:val="32"/>
          <w:szCs w:val="32"/>
        </w:rPr>
        <w:t>1.51</w:t>
      </w:r>
      <w:r>
        <w:rPr>
          <w:rFonts w:hint="eastAsia" w:ascii="仿宋_GB2312" w:eastAsia="仿宋_GB2312"/>
          <w:sz w:val="32"/>
          <w:szCs w:val="32"/>
        </w:rPr>
        <w:t>万元。</w:t>
      </w:r>
      <w:r>
        <w:rPr>
          <w:rFonts w:ascii="仿宋_GB2312" w:eastAsia="仿宋_GB2312"/>
          <w:color w:val="000000"/>
          <w:sz w:val="32"/>
          <w:szCs w:val="32"/>
        </w:rPr>
        <w:t>2021</w:t>
      </w:r>
      <w:r>
        <w:rPr>
          <w:rFonts w:hint="eastAsia" w:ascii="仿宋_GB2312" w:eastAsia="仿宋_GB2312"/>
          <w:color w:val="000000"/>
          <w:sz w:val="32"/>
          <w:szCs w:val="32"/>
        </w:rPr>
        <w:t>年本单位未在政府性基金预算拨款安排“三公”经费支出</w:t>
      </w:r>
      <w:r>
        <w:rPr>
          <w:rFonts w:hint="eastAsia" w:ascii="仿宋_GB2312" w:eastAsia="仿宋_GB2312"/>
          <w:sz w:val="32"/>
          <w:szCs w:val="32"/>
        </w:rPr>
        <w:t>。</w:t>
      </w:r>
    </w:p>
    <w:p>
      <w:pPr>
        <w:pStyle w:val="16"/>
        <w:ind w:left="31680" w:firstLine="31680"/>
      </w:pPr>
    </w:p>
    <w:p>
      <w:pPr>
        <w:numPr>
          <w:ilvl w:val="0"/>
          <w:numId w:val="3"/>
        </w:numPr>
        <w:spacing w:line="600" w:lineRule="exact"/>
        <w:ind w:firstLine="640"/>
        <w:outlineLvl w:val="1"/>
        <w:rPr>
          <w:rStyle w:val="38"/>
          <w:rFonts w:ascii="黑体" w:hAnsi="黑体" w:eastAsia="黑体"/>
          <w:b w:val="0"/>
        </w:rPr>
      </w:pPr>
      <w:bookmarkStart w:id="42" w:name="_Toc15377219"/>
      <w:bookmarkStart w:id="43" w:name="_Toc15396611"/>
      <w:r>
        <w:rPr>
          <w:rStyle w:val="38"/>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年国有资本经营预算财政拨款支出</w:t>
      </w:r>
      <w:r>
        <w:rPr>
          <w:rFonts w:ascii="仿宋_GB2312" w:eastAsia="仿宋_GB2312"/>
          <w:sz w:val="32"/>
          <w:szCs w:val="32"/>
        </w:rPr>
        <w:t>0</w:t>
      </w:r>
      <w:r>
        <w:rPr>
          <w:rFonts w:hint="eastAsia" w:ascii="仿宋_GB2312" w:eastAsia="仿宋_GB2312"/>
          <w:sz w:val="32"/>
          <w:szCs w:val="32"/>
        </w:rPr>
        <w:t>万元，年初未安排预算。</w:t>
      </w:r>
    </w:p>
    <w:p>
      <w:pPr>
        <w:spacing w:line="580" w:lineRule="exact"/>
        <w:rPr>
          <w:rFonts w:ascii="方正小标宋简体" w:hAnsi="方正小标宋简体" w:eastAsia="方正小标宋简体" w:cs="方正小标宋简体"/>
          <w:sz w:val="44"/>
          <w:szCs w:val="44"/>
        </w:rPr>
      </w:pPr>
    </w:p>
    <w:p>
      <w:pPr>
        <w:numPr>
          <w:ilvl w:val="0"/>
          <w:numId w:val="3"/>
        </w:numPr>
        <w:spacing w:line="600" w:lineRule="exact"/>
        <w:ind w:firstLine="640"/>
        <w:outlineLvl w:val="1"/>
        <w:rPr>
          <w:rStyle w:val="38"/>
          <w:rFonts w:ascii="黑体" w:hAnsi="黑体" w:eastAsia="黑体"/>
          <w:b w:val="0"/>
        </w:rPr>
      </w:pPr>
      <w:bookmarkStart w:id="44" w:name="_Toc15377221"/>
      <w:bookmarkStart w:id="45" w:name="_Toc15396612"/>
      <w:r>
        <w:rPr>
          <w:rStyle w:val="38"/>
          <w:rFonts w:hint="eastAsia" w:ascii="黑体" w:hAnsi="黑体" w:eastAsia="黑体"/>
          <w:b w:val="0"/>
        </w:rPr>
        <w:t>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年度预算编制阶段，因无项目支出，故不涉及事前评估和项目绩效目标，预算执行过程中，对追加预算乡村少年宫运行经费项目和校舍维修项目编制了绩效目标，并开展了绩效运行监控，年终执行完毕后，对</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个项目开展了绩效自评，</w:t>
      </w:r>
      <w:r>
        <w:rPr>
          <w:rFonts w:ascii="仿宋_GB2312" w:hAnsi="仿宋_GB2312" w:eastAsia="仿宋_GB2312" w:cs="仿宋_GB2312"/>
          <w:sz w:val="32"/>
          <w:szCs w:val="32"/>
        </w:rPr>
        <w:t>2021</w:t>
      </w:r>
      <w:r>
        <w:rPr>
          <w:rFonts w:hint="eastAsia" w:ascii="仿宋_GB2312" w:hAnsi="仿宋_GB2312" w:eastAsia="仿宋_GB2312" w:cs="仿宋_GB2312"/>
          <w:sz w:val="32"/>
          <w:szCs w:val="32"/>
        </w:rPr>
        <w:t>年部门预算项目绩效目标自评表见附件（第四部分）。</w:t>
      </w:r>
    </w:p>
    <w:p>
      <w:pPr>
        <w:pStyle w:val="2"/>
        <w:spacing w:before="93"/>
      </w:pPr>
    </w:p>
    <w:p>
      <w:pPr>
        <w:numPr>
          <w:ilvl w:val="0"/>
          <w:numId w:val="3"/>
        </w:numPr>
        <w:spacing w:line="600" w:lineRule="exact"/>
        <w:ind w:firstLine="640"/>
        <w:outlineLvl w:val="1"/>
        <w:rPr>
          <w:rStyle w:val="38"/>
          <w:rFonts w:ascii="黑体" w:hAnsi="黑体" w:eastAsia="黑体"/>
          <w:b w:val="0"/>
        </w:rPr>
      </w:pPr>
      <w:r>
        <w:rPr>
          <w:rStyle w:val="38"/>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rPr>
          <w:rFonts w:ascii="仿宋_GB2312" w:eastAsia="仿宋_GB2312" w:cs="仿宋_GB2312"/>
          <w:color w:val="000000"/>
          <w:sz w:val="32"/>
          <w:szCs w:val="32"/>
        </w:rPr>
      </w:pPr>
      <w:bookmarkStart w:id="47" w:name="_Toc15377223"/>
      <w:r>
        <w:rPr>
          <w:rFonts w:ascii="仿宋_GB2312" w:eastAsia="仿宋_GB2312" w:cs="仿宋_GB2312"/>
          <w:color w:val="000000"/>
          <w:sz w:val="32"/>
          <w:szCs w:val="32"/>
        </w:rPr>
        <w:t>2021</w:t>
      </w:r>
      <w:r>
        <w:rPr>
          <w:rFonts w:hint="eastAsia" w:ascii="仿宋_GB2312" w:eastAsia="仿宋_GB2312" w:cs="仿宋_GB2312"/>
          <w:color w:val="000000"/>
          <w:sz w:val="32"/>
          <w:szCs w:val="32"/>
        </w:rPr>
        <w:t>年，</w:t>
      </w:r>
      <w:r>
        <w:rPr>
          <w:rFonts w:hint="eastAsia" w:ascii="仿宋_GB2312" w:eastAsia="仿宋_GB2312" w:cs="仿宋_GB2312"/>
          <w:sz w:val="32"/>
          <w:szCs w:val="32"/>
        </w:rPr>
        <w:t>我部门机关</w:t>
      </w:r>
      <w:r>
        <w:rPr>
          <w:rFonts w:hint="eastAsia" w:ascii="仿宋_GB2312" w:eastAsia="仿宋_GB2312" w:cs="仿宋_GB2312"/>
          <w:color w:val="000000"/>
          <w:sz w:val="32"/>
          <w:szCs w:val="32"/>
        </w:rPr>
        <w:t>运行经费支出</w:t>
      </w:r>
      <w:r>
        <w:rPr>
          <w:rFonts w:ascii="仿宋_GB2312" w:eastAsia="仿宋_GB2312" w:cs="仿宋_GB2312"/>
          <w:color w:val="000000"/>
          <w:sz w:val="32"/>
          <w:szCs w:val="32"/>
        </w:rPr>
        <w:t>0</w:t>
      </w:r>
      <w:r>
        <w:rPr>
          <w:rFonts w:hint="eastAsia" w:ascii="仿宋_GB2312" w:eastAsia="仿宋_GB2312" w:cs="仿宋_GB2312"/>
          <w:color w:val="000000"/>
          <w:sz w:val="32"/>
          <w:szCs w:val="32"/>
        </w:rPr>
        <w:t>元，与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。主要原因是本单位为事业单位，未发生机关运行经费支出。</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highlight w:val="yellow"/>
        </w:rPr>
      </w:pPr>
      <w:r>
        <w:rPr>
          <w:rFonts w:ascii="仿宋_GB2312" w:eastAsia="仿宋_GB2312"/>
          <w:sz w:val="32"/>
          <w:szCs w:val="32"/>
        </w:rPr>
        <w:t>2021</w:t>
      </w:r>
      <w:r>
        <w:rPr>
          <w:rFonts w:hint="eastAsia" w:ascii="仿宋_GB2312" w:eastAsia="仿宋_GB2312"/>
          <w:sz w:val="32"/>
          <w:szCs w:val="32"/>
        </w:rPr>
        <w:t>年，我单位政府采购支出</w:t>
      </w:r>
      <w:r>
        <w:rPr>
          <w:rFonts w:hint="eastAsia" w:ascii="仿宋_GB2312" w:eastAsia="仿宋_GB2312"/>
          <w:color w:val="000000"/>
          <w:sz w:val="32"/>
          <w:szCs w:val="32"/>
        </w:rPr>
        <w:t>年初未预算采购经费，</w:t>
      </w:r>
      <w:r>
        <w:rPr>
          <w:rFonts w:hint="eastAsia" w:ascii="仿宋_GB2312" w:eastAsia="仿宋_GB2312"/>
          <w:sz w:val="32"/>
          <w:szCs w:val="32"/>
        </w:rPr>
        <w:t>政府采购支出总额</w:t>
      </w:r>
      <w:r>
        <w:rPr>
          <w:rFonts w:ascii="仿宋_GB2312" w:eastAsia="仿宋_GB2312"/>
          <w:sz w:val="32"/>
          <w:szCs w:val="32"/>
        </w:rPr>
        <w:t>0</w:t>
      </w:r>
      <w:r>
        <w:rPr>
          <w:rFonts w:hint="eastAsia" w:ascii="仿宋_GB2312" w:eastAsia="仿宋_GB2312"/>
          <w:sz w:val="32"/>
          <w:szCs w:val="32"/>
        </w:rPr>
        <w:t>万元。</w:t>
      </w:r>
      <w:r>
        <w:rPr>
          <w:rFonts w:hint="eastAsia" w:ascii="仿宋_GB2312" w:eastAsia="仿宋_GB2312" w:cs="仿宋_GB2312"/>
          <w:color w:val="000000"/>
          <w:sz w:val="32"/>
          <w:szCs w:val="32"/>
        </w:rPr>
        <w:t>与</w:t>
      </w:r>
      <w:r>
        <w:rPr>
          <w:rFonts w:ascii="仿宋_GB2312" w:eastAsia="仿宋_GB2312"/>
          <w:sz w:val="32"/>
          <w:szCs w:val="32"/>
        </w:rPr>
        <w:t>2020</w:t>
      </w:r>
      <w:r>
        <w:rPr>
          <w:rFonts w:hint="eastAsia" w:ascii="仿宋_GB2312" w:eastAsia="仿宋_GB2312"/>
          <w:sz w:val="32"/>
          <w:szCs w:val="32"/>
        </w:rPr>
        <w:t>年决算数持平</w:t>
      </w:r>
      <w:r>
        <w:rPr>
          <w:rFonts w:hint="eastAsia" w:ascii="仿宋_GB2312" w:eastAsia="仿宋_GB2312" w:cs="仿宋_GB2312"/>
          <w:color w:val="000000"/>
          <w:sz w:val="32"/>
          <w:szCs w:val="32"/>
        </w:rPr>
        <w:t>。</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2021</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日，我单位共有车辆</w:t>
      </w:r>
      <w:r>
        <w:rPr>
          <w:rFonts w:ascii="仿宋_GB2312" w:eastAsia="仿宋_GB2312"/>
          <w:sz w:val="32"/>
          <w:szCs w:val="32"/>
        </w:rPr>
        <w:t>0</w:t>
      </w:r>
      <w:r>
        <w:rPr>
          <w:rFonts w:hint="eastAsia" w:ascii="仿宋_GB2312" w:eastAsia="仿宋_GB2312"/>
          <w:sz w:val="32"/>
          <w:szCs w:val="32"/>
        </w:rPr>
        <w:t>辆，其中：主要领导干部用车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0</w:t>
      </w:r>
      <w:r>
        <w:rPr>
          <w:rFonts w:hint="eastAsia" w:ascii="仿宋_GB2312" w:eastAsia="仿宋_GB2312"/>
          <w:sz w:val="32"/>
          <w:szCs w:val="32"/>
        </w:rPr>
        <w:t>辆，单价</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台（套），单价</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w:t>
      </w:r>
    </w:p>
    <w:p>
      <w:pPr>
        <w:pStyle w:val="2"/>
        <w:spacing w:before="93"/>
        <w:rPr>
          <w:highlight w:val="yellow"/>
        </w:rPr>
      </w:pPr>
    </w:p>
    <w:p>
      <w:pPr>
        <w:widowControl/>
        <w:jc w:val="left"/>
        <w:rPr>
          <w:rFonts w:ascii="仿宋_GB2312" w:eastAsia="仿宋_GB2312"/>
          <w:b/>
          <w:sz w:val="32"/>
          <w:szCs w:val="32"/>
        </w:rPr>
      </w:pPr>
    </w:p>
    <w:p>
      <w:pPr>
        <w:numPr>
          <w:ilvl w:val="0"/>
          <w:numId w:val="4"/>
        </w:numPr>
        <w:spacing w:line="600" w:lineRule="exact"/>
        <w:ind w:firstLine="660" w:firstLineChars="150"/>
        <w:jc w:val="center"/>
        <w:outlineLvl w:val="0"/>
        <w:rPr>
          <w:rFonts w:ascii="黑体" w:hAnsi="黑体" w:eastAsia="黑体"/>
          <w:bCs/>
          <w:kern w:val="44"/>
          <w:sz w:val="44"/>
          <w:szCs w:val="44"/>
        </w:rPr>
      </w:pPr>
      <w:bookmarkStart w:id="49" w:name="_Toc15396613"/>
      <w:bookmarkStart w:id="50" w:name="_Toc15377225"/>
      <w:r>
        <w:rPr>
          <w:rFonts w:hint="eastAsia" w:ascii="黑体" w:hAnsi="黑体" w:eastAsia="黑体"/>
          <w:sz w:val="44"/>
          <w:szCs w:val="44"/>
        </w:rPr>
        <w:t>名</w:t>
      </w:r>
      <w:r>
        <w:rPr>
          <w:rStyle w:val="22"/>
          <w:rFonts w:hint="eastAsia" w:ascii="黑体" w:hAnsi="黑体" w:eastAsia="黑体"/>
          <w:b w:val="0"/>
        </w:rPr>
        <w:t>词解释</w:t>
      </w:r>
      <w:bookmarkEnd w:id="49"/>
      <w:bookmarkEnd w:id="50"/>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使用非财政拨款结余：指事业单位使用以前年度积累的非财政拨款结余弥补当年收支差额的金额。</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年初结转和结余：指以前年度尚未完成、结转到本年按有关规定继续使用的资金。</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结余分配：指事业单位按照会计制度规定缴纳的所得税、提取的专用结余以及转入非财政拨款结余的金额等。</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eastAsia="仿宋_GB2312"/>
          <w:color w:val="auto"/>
          <w:sz w:val="32"/>
          <w:szCs w:val="32"/>
        </w:rPr>
        <w:t>年末结转和结余：指单位按有关规定结转到下年或以后年度继续使用的资金。</w:t>
      </w:r>
    </w:p>
    <w:p>
      <w:pPr>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教育（类）普通教育（款）小学教育（项）：指小学教育。</w:t>
      </w:r>
    </w:p>
    <w:p>
      <w:pPr>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教育（类）普通教育（款）小学教育（项）：指其他普通教育支出。</w:t>
      </w:r>
    </w:p>
    <w:p>
      <w:pPr>
        <w:ind w:firstLine="640" w:firstLineChars="200"/>
        <w:rPr>
          <w:rFonts w:ascii="仿宋_GB2312" w:eastAsia="仿宋_GB2312"/>
          <w:sz w:val="32"/>
          <w:szCs w:val="32"/>
        </w:rPr>
      </w:pPr>
      <w:r>
        <w:rPr>
          <w:rFonts w:ascii="仿宋_GB2312" w:eastAsia="仿宋_GB2312"/>
          <w:sz w:val="32"/>
          <w:szCs w:val="32"/>
        </w:rPr>
        <w:t>8.</w:t>
      </w:r>
      <w:r>
        <w:rPr>
          <w:rFonts w:hint="eastAsia" w:ascii="仿宋_GB2312" w:hAnsi="Calibri" w:eastAsia="仿宋_GB2312" w:cs="仿宋"/>
          <w:color w:val="000000"/>
          <w:kern w:val="0"/>
          <w:sz w:val="32"/>
          <w:szCs w:val="32"/>
        </w:rPr>
        <w:t>其他支出（类）彩票公益金安排的支出（款）用于体育事业的彩票公益金支出（项）：指用于体育事业的彩票公益金支出。</w:t>
      </w:r>
    </w:p>
    <w:p>
      <w:pPr>
        <w:spacing w:line="600" w:lineRule="exact"/>
        <w:ind w:firstLine="640" w:firstLineChars="200"/>
        <w:rPr>
          <w:rFonts w:ascii="仿宋_GB2312" w:hAnsi="Calibri" w:eastAsia="仿宋_GB2312" w:cs="仿宋"/>
          <w:color w:val="000000"/>
          <w:kern w:val="0"/>
          <w:sz w:val="32"/>
          <w:szCs w:val="32"/>
        </w:rPr>
      </w:pPr>
      <w:r>
        <w:rPr>
          <w:rFonts w:ascii="仿宋_GB2312" w:hAnsi="Calibri" w:eastAsia="仿宋_GB2312" w:cs="仿宋"/>
          <w:color w:val="000000"/>
          <w:kern w:val="0"/>
          <w:sz w:val="32"/>
          <w:szCs w:val="32"/>
        </w:rPr>
        <w:t>9.</w:t>
      </w:r>
      <w:r>
        <w:rPr>
          <w:rFonts w:hint="eastAsia" w:ascii="仿宋_GB2312" w:hAnsi="Calibri" w:eastAsia="仿宋_GB2312" w:cs="仿宋"/>
          <w:color w:val="000000"/>
          <w:kern w:val="0"/>
          <w:sz w:val="32"/>
          <w:szCs w:val="32"/>
        </w:rPr>
        <w:t>社会保障和就业支出（类）行政事业单位养老支出（款）机关事业单位基本养老保险缴费支出（项）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指机关事业单位实施养老保险制度由单位缴纳的基本养老保险费支出。</w:t>
      </w:r>
    </w:p>
    <w:p>
      <w:pPr>
        <w:pStyle w:val="16"/>
        <w:ind w:left="0" w:leftChars="0" w:firstLine="31680"/>
      </w:pPr>
      <w:r>
        <w:rPr>
          <w:rFonts w:ascii="仿宋_GB2312" w:hAnsi="Calibri" w:eastAsia="仿宋_GB2312" w:cs="仿宋"/>
          <w:color w:val="000000"/>
          <w:kern w:val="0"/>
          <w:sz w:val="32"/>
          <w:szCs w:val="32"/>
        </w:rPr>
        <w:t>10.</w:t>
      </w:r>
      <w:r>
        <w:rPr>
          <w:rFonts w:hint="eastAsia" w:ascii="仿宋_GB2312" w:hAnsi="Calibri" w:eastAsia="仿宋_GB2312" w:cs="仿宋"/>
          <w:color w:val="000000"/>
          <w:kern w:val="0"/>
          <w:sz w:val="32"/>
          <w:szCs w:val="32"/>
        </w:rPr>
        <w:t>社会保障和就业支出（类）其他社会保障和就业支出（款）其他社会保障和就业支出（项）</w:t>
      </w:r>
      <w:r>
        <w:rPr>
          <w:rFonts w:ascii="仿宋_GB2312" w:hAnsi="Calibri" w:eastAsia="仿宋_GB2312" w:cs="仿宋"/>
          <w:color w:val="000000"/>
          <w:kern w:val="0"/>
          <w:sz w:val="32"/>
          <w:szCs w:val="32"/>
        </w:rPr>
        <w:t xml:space="preserve">: </w:t>
      </w:r>
      <w:r>
        <w:rPr>
          <w:rFonts w:hint="eastAsia" w:ascii="仿宋_GB2312" w:hAnsi="Calibri" w:eastAsia="仿宋_GB2312" w:cs="仿宋"/>
          <w:color w:val="000000"/>
          <w:kern w:val="0"/>
          <w:sz w:val="32"/>
          <w:szCs w:val="32"/>
        </w:rPr>
        <w:t>指其他用于社会保障和就业方面的支出。</w:t>
      </w:r>
    </w:p>
    <w:p>
      <w:pPr>
        <w:pStyle w:val="2"/>
        <w:spacing w:before="93"/>
        <w:ind w:firstLine="640" w:firstLineChars="200"/>
      </w:pPr>
      <w:r>
        <w:rPr>
          <w:rFonts w:hAnsi="Calibri" w:cs="仿宋"/>
          <w:color w:val="000000"/>
          <w:sz w:val="32"/>
          <w:szCs w:val="32"/>
        </w:rPr>
        <w:t>11.</w:t>
      </w:r>
      <w:r>
        <w:rPr>
          <w:rFonts w:hint="eastAsia" w:hAnsi="Calibri" w:cs="仿宋"/>
          <w:color w:val="000000"/>
          <w:sz w:val="32"/>
          <w:szCs w:val="32"/>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spacing w:before="93"/>
        <w:ind w:firstLine="640" w:firstLineChars="200"/>
      </w:pPr>
      <w:r>
        <w:rPr>
          <w:rFonts w:hAnsi="Calibri" w:cs="仿宋"/>
          <w:color w:val="000000"/>
          <w:sz w:val="32"/>
          <w:szCs w:val="32"/>
        </w:rPr>
        <w:t>12.</w:t>
      </w:r>
      <w:r>
        <w:rPr>
          <w:rFonts w:hint="eastAsia" w:hAnsi="Calibri" w:cs="仿宋"/>
          <w:color w:val="000000"/>
          <w:sz w:val="32"/>
          <w:szCs w:val="32"/>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ascii="仿宋_GB2312" w:eastAsia="仿宋_GB2312"/>
          <w:sz w:val="32"/>
          <w:szCs w:val="32"/>
        </w:rPr>
        <w:t>13.</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ascii="仿宋_GB2312" w:eastAsia="仿宋_GB2312"/>
          <w:sz w:val="32"/>
          <w:szCs w:val="32"/>
        </w:rPr>
        <w:t>14.</w:t>
      </w:r>
      <w:r>
        <w:rPr>
          <w:rFonts w:hint="eastAsia" w:ascii="仿宋_GB2312" w:eastAsia="仿宋_GB2312"/>
          <w:sz w:val="32"/>
          <w:szCs w:val="32"/>
        </w:rPr>
        <w:t>项目支出：指在基本支出之外为完成特定行政任务和事业发展目标所发生的支出。</w:t>
      </w:r>
    </w:p>
    <w:p>
      <w:pPr>
        <w:pStyle w:val="36"/>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15.</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36"/>
        <w:spacing w:line="560" w:lineRule="exact"/>
        <w:ind w:firstLine="883" w:firstLineChars="200"/>
        <w:jc w:val="center"/>
        <w:rPr>
          <w:rStyle w:val="22"/>
          <w:rFonts w:ascii="黑体" w:hAnsi="黑体" w:eastAsia="黑体" w:cs="仿宋"/>
          <w:b w:val="0"/>
          <w:color w:val="auto"/>
        </w:rPr>
      </w:pPr>
      <w:r>
        <w:rPr>
          <w:rFonts w:ascii="宋体"/>
          <w:b/>
          <w:color w:val="auto"/>
          <w:sz w:val="44"/>
          <w:szCs w:val="44"/>
        </w:rPr>
        <w:br w:type="page"/>
      </w:r>
      <w:bookmarkStart w:id="52" w:name="_Toc15396614"/>
      <w:r>
        <w:rPr>
          <w:rFonts w:hint="eastAsia" w:ascii="黑体" w:hAnsi="黑体" w:eastAsia="黑体"/>
          <w:color w:val="auto"/>
          <w:sz w:val="44"/>
          <w:szCs w:val="44"/>
        </w:rPr>
        <w:t>第</w:t>
      </w:r>
      <w:r>
        <w:rPr>
          <w:rStyle w:val="22"/>
          <w:rFonts w:hint="eastAsia" w:ascii="黑体" w:hAnsi="黑体" w:eastAsia="黑体" w:cs="仿宋"/>
          <w:b w:val="0"/>
          <w:color w:val="auto"/>
        </w:rPr>
        <w:t>四部分</w:t>
      </w:r>
      <w:r>
        <w:rPr>
          <w:rStyle w:val="22"/>
          <w:rFonts w:ascii="黑体" w:hAnsi="黑体" w:eastAsia="黑体" w:cs="仿宋"/>
          <w:b w:val="0"/>
          <w:color w:val="auto"/>
        </w:rPr>
        <w:t xml:space="preserve"> </w:t>
      </w:r>
      <w:r>
        <w:rPr>
          <w:rStyle w:val="22"/>
          <w:rFonts w:hint="eastAsia" w:ascii="黑体" w:hAnsi="黑体" w:eastAsia="黑体" w:cs="仿宋"/>
          <w:b w:val="0"/>
          <w:color w:val="auto"/>
        </w:rPr>
        <w:t>附件</w:t>
      </w:r>
      <w:bookmarkEnd w:id="52"/>
    </w:p>
    <w:p>
      <w:pPr>
        <w:spacing w:line="572" w:lineRule="exact"/>
        <w:jc w:val="left"/>
        <w:outlineLvl w:val="0"/>
        <w:rPr>
          <w:rFonts w:ascii="仿宋_GB2312" w:hAnsi="仿宋_GB2312" w:eastAsia="黑体" w:cs="仿宋_GB2312"/>
          <w:sz w:val="32"/>
          <w:szCs w:val="32"/>
        </w:rPr>
      </w:pPr>
      <w:r>
        <w:rPr>
          <w:rFonts w:hint="eastAsia" w:ascii="黑体" w:hAnsi="黑体" w:eastAsia="黑体" w:cs="黑体"/>
          <w:sz w:val="32"/>
          <w:szCs w:val="32"/>
        </w:rPr>
        <w:t>附件</w:t>
      </w:r>
      <w:r>
        <w:rPr>
          <w:rFonts w:ascii="黑体" w:hAnsi="黑体" w:eastAsia="黑体" w:cs="黑体"/>
          <w:sz w:val="32"/>
          <w:szCs w:val="32"/>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vAlign w:val="center"/>
          </w:tcPr>
          <w:p>
            <w:pPr>
              <w:widowControl/>
              <w:jc w:val="center"/>
              <w:textAlignment w:val="center"/>
              <w:rPr>
                <w:rFonts w:ascii="宋体" w:cs="宋体"/>
                <w:b/>
                <w:sz w:val="32"/>
                <w:szCs w:val="32"/>
              </w:rPr>
            </w:pPr>
            <w:bookmarkStart w:id="53" w:name="_Toc15396618"/>
            <w:r>
              <w:rPr>
                <w:rFonts w:ascii="宋体" w:hAnsi="宋体" w:cs="宋体"/>
                <w:b/>
                <w:sz w:val="32"/>
                <w:szCs w:val="32"/>
              </w:rPr>
              <w:t>2021</w:t>
            </w:r>
            <w:r>
              <w:rPr>
                <w:rFonts w:hint="eastAsia" w:ascii="宋体" w:hAnsi="宋体" w:cs="宋体"/>
                <w:b/>
                <w:sz w:val="32"/>
                <w:szCs w:val="32"/>
              </w:rPr>
              <w:t>年部门预算项目绩效目标自评（乡村少年宫运行经费）</w:t>
            </w:r>
          </w:p>
        </w:tc>
        <w:tc>
          <w:tcPr>
            <w:tcW w:w="236" w:type="dxa"/>
            <w:tcBorders>
              <w:top w:val="nil"/>
              <w:left w:val="nil"/>
              <w:bottom w:val="nil"/>
              <w:right w:val="nil"/>
            </w:tcBorders>
            <w:vAlign w:val="center"/>
          </w:tcPr>
          <w:p>
            <w:pPr>
              <w:widowControl/>
              <w:jc w:val="center"/>
              <w:textAlignment w:val="center"/>
              <w:rPr>
                <w:rFonts w:ascii="宋体" w:cs="宋体"/>
                <w:b/>
                <w:kern w:val="0"/>
                <w:sz w:val="32"/>
                <w:szCs w:val="32"/>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r>
              <w:rPr>
                <w:rFonts w:ascii="宋体" w:hAnsi="宋体" w:cs="宋体"/>
                <w:sz w:val="24"/>
              </w:rPr>
              <w:t>360322</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r>
              <w:rPr>
                <w:rFonts w:hint="eastAsia" w:ascii="宋体" w:hAnsi="宋体" w:cs="宋体"/>
                <w:sz w:val="24"/>
              </w:rPr>
              <w:t>广元市昭化区柏林沟镇小学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项目预算</w:t>
            </w:r>
          </w:p>
          <w:p>
            <w:pPr>
              <w:widowControl/>
              <w:spacing w:line="320" w:lineRule="exact"/>
              <w:jc w:val="center"/>
              <w:textAlignment w:val="center"/>
              <w:rPr>
                <w:rFonts w:ascii="宋体" w:cs="宋体"/>
                <w:kern w:val="0"/>
                <w:sz w:val="24"/>
              </w:rPr>
            </w:pPr>
            <w:r>
              <w:rPr>
                <w:rFonts w:hint="eastAsia" w:ascii="宋体" w:hAnsi="宋体" w:cs="宋体"/>
                <w:kern w:val="0"/>
                <w:sz w:val="24"/>
              </w:rPr>
              <w:t>执行情况</w:t>
            </w:r>
          </w:p>
          <w:p>
            <w:pPr>
              <w:widowControl/>
              <w:spacing w:line="320" w:lineRule="exact"/>
              <w:jc w:val="center"/>
              <w:textAlignment w:val="center"/>
              <w:rPr>
                <w:rFonts w:asci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预算数：</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1.51</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执行数：</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1.51</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1.51</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1.51</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cs="宋体"/>
                <w:sz w:val="24"/>
              </w:rPr>
            </w:pPr>
            <w:r>
              <w:rPr>
                <w:rFonts w:hint="eastAsia" w:ascii="宋体" w:hAnsi="宋体" w:cs="宋体"/>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4605" w:type="dxa"/>
            <w:gridSpan w:val="3"/>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保障乡村少年宫正常运转。将</w:t>
            </w:r>
            <w:r>
              <w:rPr>
                <w:rFonts w:hint="eastAsia" w:ascii="宋体" w:cs="宋体"/>
                <w:sz w:val="22"/>
                <w:szCs w:val="22"/>
              </w:rPr>
              <w:t>“</w:t>
            </w:r>
            <w:r>
              <w:rPr>
                <w:rFonts w:hint="eastAsia" w:ascii="宋体" w:hAnsi="宋体" w:cs="宋体"/>
                <w:sz w:val="22"/>
                <w:szCs w:val="22"/>
              </w:rPr>
              <w:t>乡村学校少年宫</w:t>
            </w:r>
            <w:r>
              <w:rPr>
                <w:rFonts w:hint="eastAsia" w:ascii="宋体" w:cs="宋体"/>
                <w:sz w:val="22"/>
                <w:szCs w:val="22"/>
              </w:rPr>
              <w:t>”</w:t>
            </w:r>
            <w:r>
              <w:rPr>
                <w:rFonts w:hint="eastAsia" w:ascii="宋体" w:hAnsi="宋体" w:cs="宋体"/>
                <w:sz w:val="22"/>
                <w:szCs w:val="22"/>
              </w:rPr>
              <w:t>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保障了乡村少年宫的正常运转。满足了学生精神文化需求、促进了学生全面发展，是家长认可、布局合理、功能完备的未成年人教育阵地。</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乡村少年宫数量</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所</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所</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科学设置项目，</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扎实开展活动</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乡村少年宫正常运转</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正常运转</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正常运转</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专款专账</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专款专账</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运行经费保障期限</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w:t>
            </w:r>
            <w:r>
              <w:rPr>
                <w:rFonts w:hint="eastAsia" w:ascii="仿宋_GB2312" w:hAnsi="仿宋_GB2312" w:eastAsia="仿宋_GB2312" w:cs="仿宋_GB2312"/>
                <w:sz w:val="20"/>
                <w:szCs w:val="20"/>
              </w:rPr>
              <w:t>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运行经费年补助标准</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1.51</w:t>
            </w:r>
            <w:r>
              <w:rPr>
                <w:rFonts w:hint="eastAsia" w:ascii="仿宋_GB2312" w:hAnsi="仿宋_GB2312" w:eastAsia="仿宋_GB2312" w:cs="仿宋_GB2312"/>
                <w:sz w:val="20"/>
                <w:szCs w:val="20"/>
              </w:rPr>
              <w:t>万元</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1.51</w:t>
            </w:r>
            <w:r>
              <w:rPr>
                <w:rFonts w:hint="eastAsia" w:ascii="仿宋_GB2312" w:hAnsi="仿宋_GB2312" w:eastAsia="仿宋_GB2312" w:cs="仿宋_GB2312"/>
                <w:sz w:val="20"/>
                <w:szCs w:val="20"/>
              </w:rPr>
              <w:t>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r>
              <w:rPr>
                <w:rFonts w:ascii="仿宋_GB2312" w:hAnsi="仿宋_GB2312" w:eastAsia="仿宋_GB2312" w:cs="仿宋_GB2312"/>
                <w:sz w:val="20"/>
                <w:szCs w:val="20"/>
              </w:rPr>
              <w:t xml:space="preserve">  </w:t>
            </w:r>
            <w:r>
              <w:rPr>
                <w:rFonts w:hint="eastAsia" w:ascii="仿宋_GB2312" w:hAnsi="仿宋_GB2312" w:eastAsia="仿宋_GB2312" w:cs="仿宋_GB2312"/>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提升学生综合素质</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丰富学生课余生活</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学生满意度</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p>
        </w:tc>
        <w:tc>
          <w:tcPr>
            <w:tcW w:w="121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96%</w:t>
            </w:r>
          </w:p>
        </w:tc>
      </w:tr>
    </w:tbl>
    <w:p>
      <w:pPr>
        <w:spacing w:line="572" w:lineRule="exact"/>
        <w:jc w:val="left"/>
        <w:outlineLvl w:val="0"/>
        <w:rPr>
          <w:rFonts w:ascii="仿宋_GB2312" w:hAnsi="仿宋_GB2312" w:eastAsia="黑体" w:cs="仿宋_GB2312"/>
          <w:sz w:val="32"/>
          <w:szCs w:val="32"/>
        </w:rPr>
      </w:pPr>
      <w:r>
        <w:rPr>
          <w:rFonts w:hint="eastAsia" w:ascii="黑体" w:hAnsi="黑体" w:eastAsia="黑体" w:cs="黑体"/>
          <w:sz w:val="32"/>
          <w:szCs w:val="32"/>
        </w:rPr>
        <w:t>附件</w:t>
      </w:r>
      <w:r>
        <w:rPr>
          <w:rFonts w:ascii="黑体" w:hAnsi="黑体" w:eastAsia="黑体" w:cs="黑体"/>
          <w:sz w:val="32"/>
          <w:szCs w:val="32"/>
        </w:rPr>
        <w:t>2</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vAlign w:val="center"/>
          </w:tcPr>
          <w:p>
            <w:pPr>
              <w:widowControl/>
              <w:jc w:val="center"/>
              <w:textAlignment w:val="center"/>
              <w:rPr>
                <w:rFonts w:ascii="宋体" w:cs="宋体"/>
                <w:b/>
                <w:sz w:val="32"/>
                <w:szCs w:val="32"/>
              </w:rPr>
            </w:pPr>
            <w:r>
              <w:rPr>
                <w:rFonts w:ascii="宋体" w:hAnsi="宋体" w:cs="宋体"/>
                <w:b/>
                <w:sz w:val="32"/>
                <w:szCs w:val="32"/>
              </w:rPr>
              <w:t>2021</w:t>
            </w:r>
            <w:r>
              <w:rPr>
                <w:rFonts w:hint="eastAsia" w:ascii="宋体" w:hAnsi="宋体" w:cs="宋体"/>
                <w:b/>
                <w:sz w:val="32"/>
                <w:szCs w:val="32"/>
              </w:rPr>
              <w:t>年部门预算项目绩效目标自评（校舍维修）</w:t>
            </w:r>
          </w:p>
        </w:tc>
        <w:tc>
          <w:tcPr>
            <w:tcW w:w="236" w:type="dxa"/>
            <w:tcBorders>
              <w:top w:val="nil"/>
              <w:left w:val="nil"/>
              <w:bottom w:val="nil"/>
              <w:right w:val="nil"/>
            </w:tcBorders>
            <w:vAlign w:val="center"/>
          </w:tcPr>
          <w:p>
            <w:pPr>
              <w:widowControl/>
              <w:jc w:val="center"/>
              <w:textAlignment w:val="center"/>
              <w:rPr>
                <w:rFonts w:ascii="宋体" w:cs="宋体"/>
                <w:b/>
                <w:kern w:val="0"/>
                <w:sz w:val="32"/>
                <w:szCs w:val="32"/>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r>
              <w:rPr>
                <w:rFonts w:ascii="宋体" w:hAnsi="宋体" w:cs="宋体"/>
                <w:sz w:val="24"/>
              </w:rPr>
              <w:t>360322</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实施单位</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textAlignment w:val="center"/>
              <w:rPr>
                <w:rFonts w:ascii="宋体" w:cs="宋体"/>
                <w:sz w:val="24"/>
              </w:rPr>
            </w:pPr>
            <w:r>
              <w:rPr>
                <w:rFonts w:hint="eastAsia" w:ascii="宋体" w:hAnsi="宋体" w:cs="宋体"/>
                <w:sz w:val="24"/>
              </w:rPr>
              <w:t>广元市昭化区柏林沟镇小学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项目预算</w:t>
            </w:r>
          </w:p>
          <w:p>
            <w:pPr>
              <w:widowControl/>
              <w:spacing w:line="320" w:lineRule="exact"/>
              <w:jc w:val="center"/>
              <w:textAlignment w:val="center"/>
              <w:rPr>
                <w:rFonts w:ascii="宋体" w:cs="宋体"/>
                <w:kern w:val="0"/>
                <w:sz w:val="24"/>
              </w:rPr>
            </w:pPr>
            <w:r>
              <w:rPr>
                <w:rFonts w:hint="eastAsia" w:ascii="宋体" w:hAnsi="宋体" w:cs="宋体"/>
                <w:kern w:val="0"/>
                <w:sz w:val="24"/>
              </w:rPr>
              <w:t>执行情况</w:t>
            </w:r>
          </w:p>
          <w:p>
            <w:pPr>
              <w:widowControl/>
              <w:spacing w:line="320" w:lineRule="exact"/>
              <w:jc w:val="center"/>
              <w:textAlignment w:val="center"/>
              <w:rPr>
                <w:rFonts w:ascii="宋体" w:cs="宋体"/>
                <w:sz w:val="24"/>
              </w:rPr>
            </w:pPr>
            <w:r>
              <w:rPr>
                <w:rFonts w:hint="eastAsia" w:ascii="宋体" w:hAnsi="宋体" w:cs="宋体"/>
                <w:kern w:val="0"/>
                <w:sz w:val="24"/>
              </w:rPr>
              <w:t>（万元）</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预算数：</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210</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ascii="宋体" w:hAnsi="宋体" w:cs="宋体"/>
                <w:kern w:val="0"/>
                <w:sz w:val="24"/>
              </w:rPr>
              <w:t xml:space="preserve"> </w:t>
            </w:r>
            <w:r>
              <w:rPr>
                <w:rFonts w:hint="eastAsia" w:ascii="宋体" w:hAnsi="宋体" w:cs="宋体"/>
                <w:kern w:val="0"/>
                <w:sz w:val="24"/>
              </w:rPr>
              <w:t>执行数：</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210</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210</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kern w:val="0"/>
                <w:sz w:val="24"/>
              </w:rPr>
            </w:pPr>
            <w:r>
              <w:rPr>
                <w:rFonts w:hint="eastAsia" w:ascii="宋体" w:hAnsi="宋体" w:cs="宋体"/>
                <w:kern w:val="0"/>
                <w:sz w:val="24"/>
              </w:rPr>
              <w:t>其中：</w:t>
            </w:r>
          </w:p>
          <w:p>
            <w:pPr>
              <w:widowControl/>
              <w:spacing w:line="320" w:lineRule="exact"/>
              <w:jc w:val="left"/>
              <w:textAlignment w:val="center"/>
              <w:rPr>
                <w:rFonts w:ascii="宋体" w:cs="宋体"/>
                <w:sz w:val="24"/>
              </w:rPr>
            </w:pPr>
            <w:r>
              <w:rPr>
                <w:rFonts w:hint="eastAsia" w:ascii="宋体" w:hAnsi="宋体" w:cs="宋体"/>
                <w:kern w:val="0"/>
                <w:sz w:val="24"/>
              </w:rPr>
              <w:t>财政拨款</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ascii="宋体" w:hAnsi="宋体" w:cs="宋体"/>
                <w:sz w:val="24"/>
              </w:rPr>
              <w:t>210</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center"/>
              <w:rPr>
                <w:rFonts w:ascii="宋体" w:cs="宋体"/>
                <w:sz w:val="24"/>
              </w:rPr>
            </w:pPr>
            <w:r>
              <w:rPr>
                <w:rFonts w:hint="eastAsia" w:ascii="宋体" w:hAnsi="宋体" w:cs="宋体"/>
                <w:kern w:val="0"/>
                <w:sz w:val="24"/>
              </w:rPr>
              <w:t>其他资金</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kern w:val="0"/>
                <w:sz w:val="24"/>
              </w:rPr>
            </w:pPr>
            <w:r>
              <w:rPr>
                <w:rFonts w:hint="eastAsia" w:ascii="宋体" w:hAnsi="宋体" w:cs="宋体"/>
                <w:kern w:val="0"/>
                <w:sz w:val="24"/>
              </w:rPr>
              <w:t>年度总体目标</w:t>
            </w:r>
          </w:p>
          <w:p>
            <w:pPr>
              <w:widowControl/>
              <w:spacing w:line="320" w:lineRule="exact"/>
              <w:jc w:val="center"/>
              <w:textAlignment w:val="center"/>
              <w:rPr>
                <w:rFonts w:ascii="宋体" w:cs="宋体"/>
                <w:sz w:val="24"/>
              </w:rPr>
            </w:pPr>
            <w:r>
              <w:rPr>
                <w:rFonts w:hint="eastAsia" w:ascii="宋体" w:hAnsi="宋体" w:cs="宋体"/>
                <w:kern w:val="0"/>
                <w:sz w:val="24"/>
              </w:rPr>
              <w:t>完成情况</w:t>
            </w:r>
          </w:p>
        </w:tc>
        <w:tc>
          <w:tcPr>
            <w:tcW w:w="4605"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预期目标</w:t>
            </w:r>
          </w:p>
        </w:tc>
        <w:tc>
          <w:tcPr>
            <w:tcW w:w="3500"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宋体" w:cs="宋体"/>
                <w:sz w:val="24"/>
              </w:rPr>
            </w:pPr>
            <w:r>
              <w:rPr>
                <w:rFonts w:hint="eastAsia" w:ascii="宋体" w:hAnsi="宋体" w:cs="宋体"/>
                <w:kern w:val="0"/>
                <w:sz w:val="24"/>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宋体" w:cs="宋体"/>
                <w:sz w:val="24"/>
              </w:rPr>
            </w:pPr>
          </w:p>
        </w:tc>
        <w:tc>
          <w:tcPr>
            <w:tcW w:w="4605" w:type="dxa"/>
            <w:gridSpan w:val="3"/>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校舍维修面积</w:t>
            </w:r>
            <w:r>
              <w:rPr>
                <w:rFonts w:ascii="宋体" w:hAnsi="宋体" w:cs="宋体"/>
                <w:sz w:val="22"/>
                <w:szCs w:val="22"/>
              </w:rPr>
              <w:t>3000</w:t>
            </w:r>
            <w:r>
              <w:rPr>
                <w:rFonts w:hint="eastAsia" w:ascii="宋体" w:hAnsi="宋体" w:cs="宋体"/>
                <w:sz w:val="22"/>
                <w:szCs w:val="22"/>
              </w:rPr>
              <w:t>平方米，改善学校办学条件和基础设施配套，提供高质量硬件设施设备，营造良好的学习氛围。</w:t>
            </w:r>
          </w:p>
        </w:tc>
        <w:tc>
          <w:tcPr>
            <w:tcW w:w="3500" w:type="dxa"/>
            <w:gridSpan w:val="2"/>
            <w:tcBorders>
              <w:top w:val="single" w:color="000000" w:sz="4" w:space="0"/>
              <w:left w:val="single" w:color="000000" w:sz="4" w:space="0"/>
              <w:bottom w:val="single" w:color="000000" w:sz="4" w:space="0"/>
              <w:right w:val="single" w:color="000000" w:sz="4" w:space="0"/>
            </w:tcBorders>
          </w:tcPr>
          <w:p>
            <w:pPr>
              <w:widowControl/>
              <w:spacing w:line="320" w:lineRule="exact"/>
              <w:jc w:val="left"/>
              <w:textAlignment w:val="top"/>
              <w:rPr>
                <w:rFonts w:ascii="宋体" w:cs="宋体"/>
                <w:sz w:val="24"/>
              </w:rPr>
            </w:pPr>
            <w:r>
              <w:rPr>
                <w:rFonts w:hint="eastAsia" w:ascii="宋体" w:hAnsi="宋体" w:cs="宋体"/>
                <w:sz w:val="22"/>
                <w:szCs w:val="22"/>
              </w:rPr>
              <w:t>完成</w:t>
            </w:r>
            <w:r>
              <w:rPr>
                <w:rFonts w:ascii="宋体" w:hAnsi="宋体" w:cs="宋体"/>
                <w:sz w:val="22"/>
                <w:szCs w:val="22"/>
              </w:rPr>
              <w:t>3000</w:t>
            </w:r>
            <w:r>
              <w:rPr>
                <w:rFonts w:hint="eastAsia" w:ascii="宋体" w:hAnsi="宋体" w:cs="宋体"/>
                <w:sz w:val="22"/>
                <w:szCs w:val="22"/>
              </w:rPr>
              <w:t>平方米的校舍维修，改善了学校办学条件和基础设施配套，提供了高质量硬件设施设备，为近</w:t>
            </w:r>
            <w:r>
              <w:rPr>
                <w:rFonts w:ascii="宋体" w:hAnsi="宋体" w:cs="宋体"/>
                <w:sz w:val="22"/>
                <w:szCs w:val="22"/>
              </w:rPr>
              <w:t>150</w:t>
            </w:r>
            <w:r>
              <w:rPr>
                <w:rFonts w:hint="eastAsia" w:ascii="宋体" w:hAnsi="宋体" w:cs="宋体"/>
                <w:sz w:val="22"/>
                <w:szCs w:val="22"/>
              </w:rPr>
              <w:t>名师生营造了良好的学习环境。</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年度绩效指标完成情况</w:t>
            </w:r>
          </w:p>
        </w:tc>
        <w:tc>
          <w:tcPr>
            <w:tcW w:w="1005" w:type="dxa"/>
            <w:tcBorders>
              <w:top w:val="single" w:color="000000" w:sz="4" w:space="0"/>
              <w:left w:val="nil"/>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一级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二级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三级</w:t>
            </w:r>
          </w:p>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预期指标值</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center"/>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完成</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数量指标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改扩建面积</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30000m2</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3000m2</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质量指标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校舍维修竣工验收合格率</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校舍维修质量标准</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rPr>
                <w:rFonts w:ascii="宋体" w:cs="宋体"/>
                <w:b/>
                <w:bCs/>
                <w:sz w:val="18"/>
                <w:szCs w:val="18"/>
              </w:rPr>
            </w:pPr>
            <w:r>
              <w:rPr>
                <w:rFonts w:hint="eastAsia" w:ascii="仿宋_GB2312" w:hAnsi="仿宋_GB2312" w:eastAsia="仿宋_GB2312" w:cs="仿宋_GB2312"/>
                <w:sz w:val="20"/>
                <w:szCs w:val="20"/>
              </w:rPr>
              <w:t>农村学校校舍日常维修改造质量达标率</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时效指标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校舍维修建设周期</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6</w:t>
            </w:r>
            <w:r>
              <w:rPr>
                <w:rFonts w:hint="eastAsia" w:ascii="仿宋_GB2312" w:hAnsi="仿宋_GB2312" w:eastAsia="仿宋_GB2312" w:cs="仿宋_GB2312"/>
                <w:sz w:val="20"/>
                <w:szCs w:val="20"/>
              </w:rPr>
              <w:t>个月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6</w:t>
            </w:r>
            <w:r>
              <w:rPr>
                <w:rFonts w:hint="eastAsia" w:ascii="仿宋_GB2312" w:hAnsi="仿宋_GB2312" w:eastAsia="仿宋_GB2312" w:cs="仿宋_GB2312"/>
                <w:sz w:val="20"/>
                <w:szCs w:val="20"/>
              </w:rPr>
              <w:t>个月</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设备购置周期</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3</w:t>
            </w:r>
            <w:r>
              <w:rPr>
                <w:rFonts w:hint="eastAsia" w:ascii="仿宋_GB2312" w:hAnsi="仿宋_GB2312" w:eastAsia="仿宋_GB2312" w:cs="仿宋_GB2312"/>
                <w:sz w:val="20"/>
                <w:szCs w:val="20"/>
              </w:rPr>
              <w:t>个月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3</w:t>
            </w:r>
            <w:r>
              <w:rPr>
                <w:rFonts w:hint="eastAsia" w:ascii="仿宋_GB2312" w:hAnsi="仿宋_GB2312" w:eastAsia="仿宋_GB2312" w:cs="仿宋_GB2312"/>
                <w:sz w:val="20"/>
                <w:szCs w:val="20"/>
              </w:rPr>
              <w:t>个月</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top w:val="single" w:color="000000" w:sz="4" w:space="0"/>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000000" w:sz="4" w:space="0"/>
              <w:left w:val="single" w:color="000000" w:sz="4" w:space="0"/>
              <w:bottom w:val="single" w:color="auto"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成本指标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校舍维修类项目每平方米造价</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800</w:t>
            </w:r>
            <w:r>
              <w:rPr>
                <w:rFonts w:hint="eastAsia" w:ascii="仿宋_GB2312" w:hAnsi="仿宋_GB2312" w:eastAsia="仿宋_GB2312" w:cs="仿宋_GB2312"/>
                <w:sz w:val="20"/>
                <w:szCs w:val="20"/>
              </w:rPr>
              <w:t>元</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700</w:t>
            </w:r>
            <w:r>
              <w:rPr>
                <w:rFonts w:hint="eastAsia" w:ascii="仿宋_GB2312" w:hAnsi="仿宋_GB2312" w:eastAsia="仿宋_GB2312" w:cs="仿宋_GB2312"/>
                <w:sz w:val="20"/>
                <w:szCs w:val="20"/>
              </w:rPr>
              <w:t>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效益</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指标</w:t>
            </w:r>
          </w:p>
        </w:tc>
        <w:tc>
          <w:tcPr>
            <w:tcW w:w="12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社会效益</w:t>
            </w:r>
            <w:r>
              <w:rPr>
                <w:rFonts w:ascii="仿宋_GB2312" w:hAnsi="仿宋_GB2312" w:eastAsia="仿宋_GB2312" w:cs="仿宋_GB2312"/>
                <w:sz w:val="20"/>
                <w:szCs w:val="20"/>
              </w:rPr>
              <w:t xml:space="preserve">  </w:t>
            </w:r>
            <w:r>
              <w:rPr>
                <w:rFonts w:hint="eastAsia" w:ascii="仿宋_GB2312" w:hAnsi="仿宋_GB2312" w:eastAsia="仿宋_GB2312" w:cs="仿宋_GB2312"/>
                <w:sz w:val="20"/>
                <w:szCs w:val="20"/>
              </w:rPr>
              <w:t>指标</w:t>
            </w:r>
          </w:p>
        </w:tc>
        <w:tc>
          <w:tcPr>
            <w:tcW w:w="2385"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改善办学条件</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right w:val="single" w:color="auto"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生态效益</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指标</w:t>
            </w:r>
          </w:p>
        </w:tc>
        <w:tc>
          <w:tcPr>
            <w:tcW w:w="2385"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建筑能源消耗水平降低</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auto" w:sz="4" w:space="0"/>
            </w:tcBorders>
            <w:vAlign w:val="center"/>
          </w:tcPr>
          <w:p>
            <w:pPr>
              <w:spacing w:line="320" w:lineRule="exact"/>
              <w:jc w:val="center"/>
              <w:rPr>
                <w:rFonts w:ascii="仿宋_GB2312" w:hAnsi="仿宋_GB2312" w:eastAsia="仿宋_GB2312" w:cs="仿宋_GB2312"/>
                <w:sz w:val="28"/>
                <w:szCs w:val="28"/>
              </w:rPr>
            </w:pPr>
          </w:p>
        </w:tc>
        <w:tc>
          <w:tcPr>
            <w:tcW w:w="1215"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可持续影响指标</w:t>
            </w:r>
          </w:p>
        </w:tc>
        <w:tc>
          <w:tcPr>
            <w:tcW w:w="2385" w:type="dxa"/>
            <w:tcBorders>
              <w:top w:val="single" w:color="000000" w:sz="4" w:space="0"/>
              <w:left w:val="single" w:color="auto"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吸引外流学生持续回流</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restart"/>
            <w:tcBorders>
              <w:top w:val="single" w:color="000000" w:sz="4" w:space="0"/>
              <w:left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满意</w:t>
            </w:r>
          </w:p>
          <w:p>
            <w:pPr>
              <w:widowControl/>
              <w:spacing w:line="320" w:lineRule="exact"/>
              <w:jc w:val="center"/>
              <w:textAlignment w:val="bottom"/>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度指标</w:t>
            </w:r>
          </w:p>
        </w:tc>
        <w:tc>
          <w:tcPr>
            <w:tcW w:w="1215" w:type="dxa"/>
            <w:vMerge w:val="restart"/>
            <w:tcBorders>
              <w:top w:val="single" w:color="auto" w:sz="4" w:space="0"/>
              <w:left w:val="single" w:color="000000" w:sz="4" w:space="0"/>
              <w:bottom w:val="single" w:color="auto"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r>
              <w:rPr>
                <w:rFonts w:hint="eastAsia" w:ascii="仿宋_GB2312" w:hAnsi="仿宋_GB2312" w:eastAsia="仿宋_GB2312" w:cs="仿宋_GB2312"/>
                <w:kern w:val="0"/>
                <w:sz w:val="20"/>
                <w:szCs w:val="20"/>
              </w:rPr>
              <w:t>满意度</w:t>
            </w:r>
          </w:p>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kern w:val="0"/>
                <w:sz w:val="20"/>
                <w:szCs w:val="20"/>
              </w:rPr>
              <w:t>指标</w:t>
            </w: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师生生满意度</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97%</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vAlign w:val="center"/>
          </w:tcPr>
          <w:p>
            <w:pPr>
              <w:spacing w:line="320" w:lineRule="exact"/>
              <w:jc w:val="center"/>
              <w:rPr>
                <w:rFonts w:ascii="仿宋_GB2312" w:hAnsi="仿宋_GB2312" w:eastAsia="仿宋_GB2312" w:cs="仿宋_GB2312"/>
                <w:sz w:val="28"/>
                <w:szCs w:val="28"/>
              </w:rPr>
            </w:pPr>
          </w:p>
        </w:tc>
        <w:tc>
          <w:tcPr>
            <w:tcW w:w="1005" w:type="dxa"/>
            <w:vMerge w:val="continue"/>
            <w:tcBorders>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8"/>
                <w:szCs w:val="28"/>
              </w:rPr>
            </w:pPr>
          </w:p>
        </w:tc>
        <w:tc>
          <w:tcPr>
            <w:tcW w:w="1215" w:type="dxa"/>
            <w:vMerge w:val="continue"/>
            <w:tcBorders>
              <w:top w:val="single" w:color="auto" w:sz="4" w:space="0"/>
              <w:left w:val="single" w:color="000000" w:sz="4" w:space="0"/>
              <w:bottom w:val="single" w:color="auto"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kern w:val="0"/>
                <w:sz w:val="20"/>
                <w:szCs w:val="20"/>
              </w:rPr>
            </w:pPr>
          </w:p>
        </w:tc>
        <w:tc>
          <w:tcPr>
            <w:tcW w:w="2385"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left"/>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社会满意度</w:t>
            </w:r>
          </w:p>
        </w:tc>
        <w:tc>
          <w:tcPr>
            <w:tcW w:w="1178"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hint="eastAsia" w:ascii="仿宋_GB2312" w:hAnsi="仿宋_GB2312" w:eastAsia="仿宋_GB2312" w:cs="仿宋_GB2312"/>
                <w:sz w:val="20"/>
                <w:szCs w:val="20"/>
              </w:rPr>
              <w:t>≥</w:t>
            </w:r>
            <w:r>
              <w:rPr>
                <w:rFonts w:ascii="仿宋_GB2312" w:hAnsi="仿宋_GB2312" w:eastAsia="仿宋_GB2312" w:cs="仿宋_GB2312"/>
                <w:sz w:val="20"/>
                <w:szCs w:val="20"/>
              </w:rPr>
              <w:t>95%</w:t>
            </w:r>
          </w:p>
        </w:tc>
        <w:tc>
          <w:tcPr>
            <w:tcW w:w="2322" w:type="dxa"/>
            <w:tcBorders>
              <w:top w:val="single" w:color="000000" w:sz="4" w:space="0"/>
              <w:left w:val="single" w:color="000000" w:sz="4" w:space="0"/>
              <w:bottom w:val="single" w:color="000000" w:sz="4" w:space="0"/>
              <w:right w:val="single" w:color="000000" w:sz="4" w:space="0"/>
            </w:tcBorders>
            <w:vAlign w:val="center"/>
          </w:tcPr>
          <w:p>
            <w:pPr>
              <w:widowControl/>
              <w:spacing w:line="320" w:lineRule="exact"/>
              <w:jc w:val="center"/>
              <w:textAlignment w:val="bottom"/>
              <w:rPr>
                <w:rFonts w:ascii="仿宋_GB2312" w:hAnsi="仿宋_GB2312" w:eastAsia="仿宋_GB2312" w:cs="仿宋_GB2312"/>
                <w:sz w:val="20"/>
                <w:szCs w:val="20"/>
              </w:rPr>
            </w:pPr>
            <w:r>
              <w:rPr>
                <w:rFonts w:ascii="仿宋_GB2312" w:hAnsi="仿宋_GB2312" w:eastAsia="仿宋_GB2312" w:cs="仿宋_GB2312"/>
                <w:sz w:val="20"/>
                <w:szCs w:val="20"/>
              </w:rPr>
              <w:t>96%</w:t>
            </w:r>
          </w:p>
        </w:tc>
      </w:tr>
    </w:tbl>
    <w:p>
      <w:pPr>
        <w:spacing w:line="600" w:lineRule="exact"/>
        <w:jc w:val="center"/>
        <w:outlineLvl w:val="0"/>
        <w:rPr>
          <w:rFonts w:ascii="仿宋" w:hAnsi="仿宋" w:eastAsia="仿宋"/>
        </w:rPr>
      </w:pPr>
      <w:r>
        <w:rPr>
          <w:rFonts w:hint="eastAsia" w:ascii="黑体" w:hAnsi="黑体" w:eastAsia="黑体"/>
          <w:sz w:val="44"/>
          <w:szCs w:val="44"/>
        </w:rPr>
        <w:t>第</w:t>
      </w:r>
      <w:r>
        <w:rPr>
          <w:rStyle w:val="22"/>
          <w:rFonts w:hint="eastAsia" w:ascii="黑体" w:hAnsi="黑体" w:eastAsia="黑体"/>
          <w:b w:val="0"/>
        </w:rPr>
        <w:t>五部分</w:t>
      </w:r>
      <w:r>
        <w:rPr>
          <w:rStyle w:val="22"/>
          <w:rFonts w:ascii="黑体" w:hAnsi="黑体" w:eastAsia="黑体"/>
          <w:b w:val="0"/>
        </w:rPr>
        <w:t xml:space="preserve"> </w:t>
      </w:r>
      <w:r>
        <w:rPr>
          <w:rStyle w:val="22"/>
          <w:rFonts w:hint="eastAsia" w:ascii="黑体" w:hAnsi="黑体" w:eastAsia="黑体"/>
          <w:b w:val="0"/>
        </w:rPr>
        <w:t>附表</w:t>
      </w:r>
      <w:bookmarkEnd w:id="51"/>
      <w:bookmarkEnd w:id="53"/>
      <w:bookmarkStart w:id="54" w:name="_Toc15396619"/>
    </w:p>
    <w:p>
      <w:pPr>
        <w:pStyle w:val="4"/>
        <w:rPr>
          <w:rFonts w:ascii="仿宋" w:hAnsi="仿宋" w:eastAsia="仿宋"/>
        </w:rPr>
      </w:pPr>
      <w:r>
        <w:rPr>
          <w:rFonts w:hint="eastAsia" w:ascii="仿宋" w:hAnsi="仿宋" w:eastAsia="仿宋"/>
          <w:b w:val="0"/>
        </w:rPr>
        <w:t>一、收</w:t>
      </w:r>
      <w:r>
        <w:rPr>
          <w:rStyle w:val="38"/>
          <w:rFonts w:hint="eastAsia" w:ascii="仿宋" w:hAnsi="仿宋" w:eastAsia="仿宋"/>
          <w:b w:val="0"/>
          <w:bCs w:val="0"/>
        </w:rPr>
        <w:t>入支出决算总表</w:t>
      </w:r>
      <w:bookmarkEnd w:id="54"/>
    </w:p>
    <w:p>
      <w:pPr>
        <w:pStyle w:val="4"/>
        <w:rPr>
          <w:rFonts w:ascii="仿宋" w:hAnsi="仿宋" w:eastAsia="仿宋"/>
        </w:rPr>
      </w:pPr>
      <w:bookmarkStart w:id="55" w:name="_Toc15396620"/>
      <w:r>
        <w:rPr>
          <w:rFonts w:hint="eastAsia" w:ascii="仿宋" w:hAnsi="仿宋" w:eastAsia="仿宋"/>
          <w:b w:val="0"/>
        </w:rPr>
        <w:t>二、收</w:t>
      </w:r>
      <w:r>
        <w:rPr>
          <w:rStyle w:val="38"/>
          <w:rFonts w:hint="eastAsia" w:ascii="仿宋" w:hAnsi="仿宋" w:eastAsia="仿宋"/>
          <w:b w:val="0"/>
          <w:bCs w:val="0"/>
        </w:rPr>
        <w:t>入决算表</w:t>
      </w:r>
      <w:bookmarkEnd w:id="55"/>
    </w:p>
    <w:p>
      <w:pPr>
        <w:pStyle w:val="4"/>
        <w:rPr>
          <w:rFonts w:ascii="仿宋" w:hAnsi="仿宋" w:eastAsia="仿宋"/>
        </w:rPr>
      </w:pPr>
      <w:bookmarkStart w:id="56" w:name="_Toc15396621"/>
      <w:r>
        <w:rPr>
          <w:rStyle w:val="38"/>
          <w:rFonts w:hint="eastAsia" w:ascii="仿宋" w:hAnsi="仿宋" w:eastAsia="仿宋"/>
          <w:b w:val="0"/>
          <w:bCs w:val="0"/>
        </w:rPr>
        <w:t>三、</w:t>
      </w:r>
      <w:r>
        <w:rPr>
          <w:rFonts w:hint="eastAsia" w:ascii="仿宋" w:hAnsi="仿宋" w:eastAsia="仿宋"/>
          <w:b w:val="0"/>
        </w:rPr>
        <w:t>支</w:t>
      </w:r>
      <w:r>
        <w:rPr>
          <w:rStyle w:val="38"/>
          <w:rFonts w:hint="eastAsia" w:ascii="仿宋" w:hAnsi="仿宋" w:eastAsia="仿宋"/>
          <w:b w:val="0"/>
          <w:bCs w:val="0"/>
        </w:rPr>
        <w:t>出决算表</w:t>
      </w:r>
      <w:bookmarkEnd w:id="56"/>
    </w:p>
    <w:p>
      <w:pPr>
        <w:pStyle w:val="4"/>
        <w:rPr>
          <w:rFonts w:ascii="仿宋" w:hAnsi="仿宋" w:eastAsia="仿宋"/>
          <w:b w:val="0"/>
        </w:rPr>
      </w:pPr>
      <w:bookmarkStart w:id="57" w:name="_Toc15396622"/>
      <w:r>
        <w:rPr>
          <w:rStyle w:val="38"/>
          <w:rFonts w:hint="eastAsia" w:ascii="仿宋" w:hAnsi="仿宋" w:eastAsia="仿宋"/>
          <w:b w:val="0"/>
          <w:bCs w:val="0"/>
        </w:rPr>
        <w:t>四、</w:t>
      </w:r>
      <w:r>
        <w:rPr>
          <w:rFonts w:hint="eastAsia" w:ascii="仿宋" w:hAnsi="仿宋" w:eastAsia="仿宋"/>
          <w:b w:val="0"/>
        </w:rPr>
        <w:t>财</w:t>
      </w:r>
      <w:r>
        <w:rPr>
          <w:rStyle w:val="38"/>
          <w:rFonts w:hint="eastAsia" w:ascii="仿宋" w:hAnsi="仿宋" w:eastAsia="仿宋"/>
          <w:b w:val="0"/>
          <w:bCs w:val="0"/>
        </w:rPr>
        <w:t>政拨款收入支出决算总表</w:t>
      </w:r>
      <w:bookmarkEnd w:id="57"/>
    </w:p>
    <w:p>
      <w:pPr>
        <w:pStyle w:val="4"/>
        <w:rPr>
          <w:rStyle w:val="38"/>
          <w:rFonts w:ascii="仿宋" w:hAnsi="仿宋" w:eastAsia="仿宋"/>
          <w:b w:val="0"/>
          <w:bCs w:val="0"/>
        </w:rPr>
      </w:pPr>
      <w:bookmarkStart w:id="58" w:name="_Toc15396623"/>
      <w:r>
        <w:rPr>
          <w:rStyle w:val="38"/>
          <w:rFonts w:hint="eastAsia" w:ascii="仿宋" w:hAnsi="仿宋" w:eastAsia="仿宋"/>
          <w:b w:val="0"/>
          <w:bCs w:val="0"/>
        </w:rPr>
        <w:t>五、</w:t>
      </w:r>
      <w:r>
        <w:rPr>
          <w:rFonts w:hint="eastAsia" w:ascii="仿宋" w:hAnsi="仿宋" w:eastAsia="仿宋"/>
          <w:b w:val="0"/>
        </w:rPr>
        <w:t>财</w:t>
      </w:r>
      <w:r>
        <w:rPr>
          <w:rStyle w:val="38"/>
          <w:rFonts w:hint="eastAsia" w:ascii="仿宋" w:hAnsi="仿宋" w:eastAsia="仿宋"/>
          <w:b w:val="0"/>
          <w:bCs w:val="0"/>
        </w:rPr>
        <w:t>政拨款支出决算明细表</w:t>
      </w:r>
      <w:bookmarkEnd w:id="58"/>
      <w:bookmarkStart w:id="59" w:name="_Toc15396624"/>
    </w:p>
    <w:p>
      <w:pPr>
        <w:pStyle w:val="4"/>
        <w:rPr>
          <w:rFonts w:ascii="仿宋" w:hAnsi="仿宋" w:eastAsia="仿宋"/>
        </w:rPr>
      </w:pPr>
      <w:r>
        <w:rPr>
          <w:rStyle w:val="38"/>
          <w:rFonts w:hint="eastAsia" w:ascii="仿宋" w:hAnsi="仿宋" w:eastAsia="仿宋"/>
          <w:b w:val="0"/>
          <w:bCs w:val="0"/>
        </w:rPr>
        <w:t>六、</w:t>
      </w:r>
      <w:r>
        <w:rPr>
          <w:rFonts w:hint="eastAsia" w:ascii="仿宋" w:hAnsi="仿宋" w:eastAsia="仿宋"/>
          <w:b w:val="0"/>
        </w:rPr>
        <w:t>一</w:t>
      </w:r>
      <w:r>
        <w:rPr>
          <w:rStyle w:val="38"/>
          <w:rFonts w:hint="eastAsia" w:ascii="仿宋" w:hAnsi="仿宋" w:eastAsia="仿宋"/>
          <w:b w:val="0"/>
          <w:bCs w:val="0"/>
        </w:rPr>
        <w:t>般公共预算财政拨款支出决算表</w:t>
      </w:r>
      <w:bookmarkEnd w:id="59"/>
    </w:p>
    <w:p>
      <w:pPr>
        <w:pStyle w:val="4"/>
        <w:rPr>
          <w:rFonts w:ascii="仿宋" w:hAnsi="仿宋" w:eastAsia="仿宋"/>
        </w:rPr>
      </w:pPr>
      <w:bookmarkStart w:id="60" w:name="_Toc15396625"/>
      <w:r>
        <w:rPr>
          <w:rStyle w:val="38"/>
          <w:rFonts w:hint="eastAsia" w:ascii="仿宋" w:hAnsi="仿宋" w:eastAsia="仿宋"/>
          <w:b w:val="0"/>
          <w:bCs w:val="0"/>
        </w:rPr>
        <w:t>七、</w:t>
      </w:r>
      <w:r>
        <w:rPr>
          <w:rFonts w:hint="eastAsia" w:ascii="仿宋" w:hAnsi="仿宋" w:eastAsia="仿宋"/>
          <w:b w:val="0"/>
        </w:rPr>
        <w:t>一</w:t>
      </w:r>
      <w:r>
        <w:rPr>
          <w:rStyle w:val="38"/>
          <w:rFonts w:hint="eastAsia" w:ascii="仿宋" w:hAnsi="仿宋" w:eastAsia="仿宋"/>
          <w:b w:val="0"/>
          <w:bCs w:val="0"/>
        </w:rPr>
        <w:t>般公共预算财政拨款支出决算明细表</w:t>
      </w:r>
      <w:bookmarkEnd w:id="60"/>
    </w:p>
    <w:p>
      <w:pPr>
        <w:pStyle w:val="4"/>
        <w:rPr>
          <w:rFonts w:ascii="仿宋" w:hAnsi="仿宋" w:eastAsia="仿宋"/>
        </w:rPr>
      </w:pPr>
      <w:bookmarkStart w:id="61" w:name="_Toc15396626"/>
      <w:r>
        <w:rPr>
          <w:rStyle w:val="38"/>
          <w:rFonts w:hint="eastAsia" w:ascii="仿宋" w:hAnsi="仿宋" w:eastAsia="仿宋"/>
          <w:b w:val="0"/>
          <w:bCs w:val="0"/>
        </w:rPr>
        <w:t>八、</w:t>
      </w:r>
      <w:r>
        <w:rPr>
          <w:rFonts w:hint="eastAsia" w:ascii="仿宋" w:hAnsi="仿宋" w:eastAsia="仿宋"/>
          <w:b w:val="0"/>
        </w:rPr>
        <w:t>一</w:t>
      </w:r>
      <w:r>
        <w:rPr>
          <w:rStyle w:val="38"/>
          <w:rFonts w:hint="eastAsia" w:ascii="仿宋" w:hAnsi="仿宋" w:eastAsia="仿宋"/>
          <w:b w:val="0"/>
          <w:bCs w:val="0"/>
        </w:rPr>
        <w:t>般公共预算财政拨款基本支出决算表</w:t>
      </w:r>
      <w:bookmarkEnd w:id="61"/>
    </w:p>
    <w:p>
      <w:pPr>
        <w:pStyle w:val="4"/>
        <w:rPr>
          <w:rFonts w:ascii="仿宋" w:hAnsi="仿宋" w:eastAsia="仿宋"/>
        </w:rPr>
      </w:pPr>
      <w:bookmarkStart w:id="62" w:name="_Toc15396627"/>
      <w:r>
        <w:rPr>
          <w:rStyle w:val="38"/>
          <w:rFonts w:hint="eastAsia" w:ascii="仿宋" w:hAnsi="仿宋" w:eastAsia="仿宋"/>
          <w:b w:val="0"/>
          <w:bCs w:val="0"/>
        </w:rPr>
        <w:t>九、</w:t>
      </w:r>
      <w:r>
        <w:rPr>
          <w:rFonts w:hint="eastAsia" w:ascii="仿宋" w:hAnsi="仿宋" w:eastAsia="仿宋"/>
          <w:b w:val="0"/>
        </w:rPr>
        <w:t>一</w:t>
      </w:r>
      <w:r>
        <w:rPr>
          <w:rStyle w:val="38"/>
          <w:rFonts w:hint="eastAsia" w:ascii="仿宋" w:hAnsi="仿宋" w:eastAsia="仿宋"/>
          <w:b w:val="0"/>
          <w:bCs w:val="0"/>
        </w:rPr>
        <w:t>般公共预算财政拨款项目支出决算表</w:t>
      </w:r>
      <w:bookmarkEnd w:id="62"/>
    </w:p>
    <w:p>
      <w:pPr>
        <w:pStyle w:val="4"/>
        <w:rPr>
          <w:rFonts w:ascii="仿宋" w:hAnsi="仿宋" w:eastAsia="仿宋"/>
        </w:rPr>
      </w:pPr>
      <w:bookmarkStart w:id="63" w:name="_Toc15396628"/>
      <w:r>
        <w:rPr>
          <w:rStyle w:val="38"/>
          <w:rFonts w:hint="eastAsia" w:ascii="仿宋" w:hAnsi="仿宋" w:eastAsia="仿宋"/>
          <w:b w:val="0"/>
          <w:bCs w:val="0"/>
        </w:rPr>
        <w:t>十、</w:t>
      </w:r>
      <w:r>
        <w:rPr>
          <w:rFonts w:hint="eastAsia" w:ascii="仿宋" w:hAnsi="仿宋" w:eastAsia="仿宋"/>
          <w:b w:val="0"/>
        </w:rPr>
        <w:t>一</w:t>
      </w:r>
      <w:r>
        <w:rPr>
          <w:rStyle w:val="38"/>
          <w:rFonts w:hint="eastAsia" w:ascii="仿宋" w:hAnsi="仿宋" w:eastAsia="仿宋"/>
          <w:b w:val="0"/>
          <w:bCs w:val="0"/>
        </w:rPr>
        <w:t>般公共预算财政拨款“三公”经费支出决算表</w:t>
      </w:r>
      <w:bookmarkEnd w:id="63"/>
    </w:p>
    <w:p>
      <w:pPr>
        <w:pStyle w:val="4"/>
        <w:rPr>
          <w:rFonts w:ascii="仿宋" w:hAnsi="仿宋" w:eastAsia="仿宋"/>
        </w:rPr>
      </w:pPr>
      <w:bookmarkStart w:id="64" w:name="_Toc15396629"/>
      <w:r>
        <w:rPr>
          <w:rStyle w:val="38"/>
          <w:rFonts w:hint="eastAsia" w:ascii="仿宋" w:hAnsi="仿宋" w:eastAsia="仿宋"/>
          <w:b w:val="0"/>
          <w:bCs w:val="0"/>
        </w:rPr>
        <w:t>十一、</w:t>
      </w:r>
      <w:r>
        <w:rPr>
          <w:rFonts w:hint="eastAsia" w:ascii="仿宋" w:hAnsi="仿宋" w:eastAsia="仿宋"/>
          <w:b w:val="0"/>
        </w:rPr>
        <w:t>政</w:t>
      </w:r>
      <w:r>
        <w:rPr>
          <w:rStyle w:val="38"/>
          <w:rFonts w:hint="eastAsia" w:ascii="仿宋" w:hAnsi="仿宋" w:eastAsia="仿宋"/>
          <w:b w:val="0"/>
          <w:bCs w:val="0"/>
        </w:rPr>
        <w:t>府性基金预算财政拨款收入支出决算表</w:t>
      </w:r>
      <w:bookmarkEnd w:id="64"/>
    </w:p>
    <w:p>
      <w:pPr>
        <w:pStyle w:val="4"/>
        <w:rPr>
          <w:rFonts w:ascii="仿宋" w:hAnsi="仿宋" w:eastAsia="仿宋"/>
        </w:rPr>
      </w:pPr>
      <w:bookmarkStart w:id="65" w:name="_Toc15396630"/>
      <w:r>
        <w:rPr>
          <w:rStyle w:val="38"/>
          <w:rFonts w:hint="eastAsia" w:ascii="仿宋" w:hAnsi="仿宋" w:eastAsia="仿宋"/>
          <w:b w:val="0"/>
          <w:bCs w:val="0"/>
        </w:rPr>
        <w:t>十二、</w:t>
      </w:r>
      <w:r>
        <w:rPr>
          <w:rFonts w:hint="eastAsia" w:ascii="仿宋" w:hAnsi="仿宋" w:eastAsia="仿宋"/>
          <w:b w:val="0"/>
        </w:rPr>
        <w:t>政</w:t>
      </w:r>
      <w:r>
        <w:rPr>
          <w:rStyle w:val="38"/>
          <w:rFonts w:hint="eastAsia" w:ascii="仿宋" w:hAnsi="仿宋" w:eastAsia="仿宋"/>
          <w:b w:val="0"/>
          <w:bCs w:val="0"/>
        </w:rPr>
        <w:t>府性基金预算财政拨款“三公”经费支出决算表</w:t>
      </w:r>
      <w:bookmarkEnd w:id="65"/>
    </w:p>
    <w:p>
      <w:pPr>
        <w:pStyle w:val="4"/>
        <w:rPr>
          <w:rStyle w:val="38"/>
          <w:rFonts w:ascii="仿宋" w:hAnsi="仿宋" w:eastAsia="仿宋"/>
          <w:b w:val="0"/>
          <w:bCs w:val="0"/>
        </w:rPr>
      </w:pPr>
      <w:bookmarkStart w:id="66" w:name="_Toc15396631"/>
      <w:r>
        <w:rPr>
          <w:rStyle w:val="38"/>
          <w:rFonts w:hint="eastAsia" w:ascii="仿宋" w:hAnsi="仿宋" w:eastAsia="仿宋"/>
          <w:b w:val="0"/>
          <w:bCs w:val="0"/>
        </w:rPr>
        <w:t>十三、</w:t>
      </w:r>
      <w:r>
        <w:rPr>
          <w:rFonts w:hint="eastAsia" w:ascii="仿宋" w:hAnsi="仿宋" w:eastAsia="仿宋"/>
          <w:b w:val="0"/>
        </w:rPr>
        <w:t>国</w:t>
      </w:r>
      <w:r>
        <w:rPr>
          <w:rStyle w:val="38"/>
          <w:rFonts w:hint="eastAsia" w:ascii="仿宋" w:hAnsi="仿宋" w:eastAsia="仿宋"/>
          <w:b w:val="0"/>
          <w:bCs w:val="0"/>
        </w:rPr>
        <w:t>有资本经营预算财政拨款收入支出决算表</w:t>
      </w:r>
      <w:bookmarkEnd w:id="66"/>
    </w:p>
    <w:p>
      <w:pPr>
        <w:rPr>
          <w:rFonts w:eastAsia="仿宋"/>
        </w:rPr>
      </w:pPr>
      <w:r>
        <w:rPr>
          <w:rStyle w:val="38"/>
          <w:rFonts w:hint="eastAsia" w:ascii="仿宋" w:hAnsi="仿宋" w:eastAsia="仿宋"/>
          <w:b w:val="0"/>
          <w:bCs w:val="0"/>
        </w:rPr>
        <w:t>十四、国有资本经营预算财政拨款支出决算表</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rPr>
        <w:lang w:val="zh-CN"/>
      </w:rPr>
      <w:t>7</w:t>
    </w:r>
    <w:r>
      <w:rPr>
        <w:lang w:val="zh-CN"/>
      </w:rPr>
      <w:fldChar w:fldCharType="end"/>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3">
    <w:nsid w:val="6492B4FE"/>
    <w:multiLevelType w:val="singleLevel"/>
    <w:tmpl w:val="6492B4FE"/>
    <w:lvl w:ilvl="0" w:tentative="0">
      <w:start w:val="1"/>
      <w:numFmt w:val="chineseCounting"/>
      <w:suff w:val="nothing"/>
      <w:lvlText w:val="%1、"/>
      <w:lvlJc w:val="left"/>
      <w:rPr>
        <w:rFonts w:hint="eastAsia"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DC0"/>
    <w:rsid w:val="00114E9B"/>
    <w:rsid w:val="00133E14"/>
    <w:rsid w:val="00142216"/>
    <w:rsid w:val="00144D6A"/>
    <w:rsid w:val="0014729F"/>
    <w:rsid w:val="00157BAB"/>
    <w:rsid w:val="001618F0"/>
    <w:rsid w:val="001654D1"/>
    <w:rsid w:val="00174518"/>
    <w:rsid w:val="0018106D"/>
    <w:rsid w:val="00184031"/>
    <w:rsid w:val="001877A7"/>
    <w:rsid w:val="00191536"/>
    <w:rsid w:val="00196687"/>
    <w:rsid w:val="001A2106"/>
    <w:rsid w:val="001B106F"/>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092F"/>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2E44"/>
    <w:rsid w:val="00746F48"/>
    <w:rsid w:val="0075404D"/>
    <w:rsid w:val="0076182A"/>
    <w:rsid w:val="00767B7E"/>
    <w:rsid w:val="007770C3"/>
    <w:rsid w:val="00784D24"/>
    <w:rsid w:val="00785FBA"/>
    <w:rsid w:val="00786E4A"/>
    <w:rsid w:val="007875EB"/>
    <w:rsid w:val="0079426B"/>
    <w:rsid w:val="007D1682"/>
    <w:rsid w:val="007D312A"/>
    <w:rsid w:val="007D3F19"/>
    <w:rsid w:val="007D7632"/>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55695"/>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14FCD"/>
    <w:rsid w:val="00915834"/>
    <w:rsid w:val="00923564"/>
    <w:rsid w:val="0092392E"/>
    <w:rsid w:val="00925E44"/>
    <w:rsid w:val="009315F9"/>
    <w:rsid w:val="00933499"/>
    <w:rsid w:val="00935C98"/>
    <w:rsid w:val="00936C8E"/>
    <w:rsid w:val="00940B7D"/>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D7F29"/>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A564B"/>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6615F"/>
    <w:rsid w:val="00C87FD8"/>
    <w:rsid w:val="00C91381"/>
    <w:rsid w:val="00C91CBB"/>
    <w:rsid w:val="00CB4E70"/>
    <w:rsid w:val="00CC09B6"/>
    <w:rsid w:val="00CC666F"/>
    <w:rsid w:val="00CD1E3F"/>
    <w:rsid w:val="00CE0437"/>
    <w:rsid w:val="00CE44F6"/>
    <w:rsid w:val="00CE49DA"/>
    <w:rsid w:val="00CE7B61"/>
    <w:rsid w:val="00CF6682"/>
    <w:rsid w:val="00D00095"/>
    <w:rsid w:val="00D114F0"/>
    <w:rsid w:val="00D20620"/>
    <w:rsid w:val="00D254F7"/>
    <w:rsid w:val="00D26091"/>
    <w:rsid w:val="00D2685C"/>
    <w:rsid w:val="00D34E7C"/>
    <w:rsid w:val="00D35489"/>
    <w:rsid w:val="00D36AFE"/>
    <w:rsid w:val="00D51276"/>
    <w:rsid w:val="00D51B0E"/>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B40CB"/>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EC71F0D"/>
    <w:rsid w:val="10C055FF"/>
    <w:rsid w:val="112C7A85"/>
    <w:rsid w:val="118107EC"/>
    <w:rsid w:val="11DD6519"/>
    <w:rsid w:val="12910332"/>
    <w:rsid w:val="157E27B0"/>
    <w:rsid w:val="16BB723D"/>
    <w:rsid w:val="177D300F"/>
    <w:rsid w:val="18015F3F"/>
    <w:rsid w:val="1BE8440E"/>
    <w:rsid w:val="1D155CEE"/>
    <w:rsid w:val="20F57F95"/>
    <w:rsid w:val="23066A21"/>
    <w:rsid w:val="240371BF"/>
    <w:rsid w:val="24D54B4E"/>
    <w:rsid w:val="25C741E6"/>
    <w:rsid w:val="27842671"/>
    <w:rsid w:val="29FD04D3"/>
    <w:rsid w:val="2ABE7A3E"/>
    <w:rsid w:val="2BAE4DE0"/>
    <w:rsid w:val="2C0D4D5A"/>
    <w:rsid w:val="2EFA178C"/>
    <w:rsid w:val="30B46D73"/>
    <w:rsid w:val="319F7F4E"/>
    <w:rsid w:val="32E05DEF"/>
    <w:rsid w:val="353C0D20"/>
    <w:rsid w:val="39AE70AB"/>
    <w:rsid w:val="3C0C0783"/>
    <w:rsid w:val="3F795B0E"/>
    <w:rsid w:val="3F9F3A96"/>
    <w:rsid w:val="422160AF"/>
    <w:rsid w:val="493C27E9"/>
    <w:rsid w:val="496F39ED"/>
    <w:rsid w:val="49FF41D3"/>
    <w:rsid w:val="4A185DC8"/>
    <w:rsid w:val="4BE068DB"/>
    <w:rsid w:val="4BF6002B"/>
    <w:rsid w:val="4ECE2238"/>
    <w:rsid w:val="4FD61684"/>
    <w:rsid w:val="503645ED"/>
    <w:rsid w:val="508F3649"/>
    <w:rsid w:val="51DB4B86"/>
    <w:rsid w:val="52FB5859"/>
    <w:rsid w:val="55333C3E"/>
    <w:rsid w:val="58737E60"/>
    <w:rsid w:val="5EEF25B2"/>
    <w:rsid w:val="64A80084"/>
    <w:rsid w:val="64CA39A1"/>
    <w:rsid w:val="65B126BB"/>
    <w:rsid w:val="6C4A05C8"/>
    <w:rsid w:val="6C6E6699"/>
    <w:rsid w:val="6EDA0CDC"/>
    <w:rsid w:val="72734D90"/>
    <w:rsid w:val="727D7081"/>
    <w:rsid w:val="72E456B5"/>
    <w:rsid w:val="74E366CA"/>
    <w:rsid w:val="79E7B28D"/>
    <w:rsid w:val="7AC82E51"/>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semiHidden="0" w:name="toc 1"/>
    <w:lsdException w:qFormat="1" w:unhideWhenUsed="0" w:uiPriority="99" w:semiHidden="0" w:name="toc 2"/>
    <w:lsdException w:unhideWhenUsed="0" w:uiPriority="9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nhideWhenUsed="0" w:uiPriority="99" w:name="annotation text"/>
    <w:lsdException w:unhideWhenUsed="0" w:uiPriority="99" w:name="header"/>
    <w:lsdException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nhideWhenUsed="0" w:uiPriority="99" w:semiHidden="0" w:name="Body Text"/>
    <w:lsdException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nhideWhenUsed="0" w:uiPriority="99" w:semiHidden="0" w:name="Salutation"/>
    <w:lsdException w:uiPriority="99" w:name="Date" w:locked="1"/>
    <w:lsdException w:uiPriority="99" w:name="Body Text First Indent" w:locked="1"/>
    <w:lsdException w:qFormat="1" w:unhideWhenUsed="0" w:uiPriority="99" w:semiHidden="0" w:name="Body Text First Indent 2"/>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qFormat="1" w:unhideWhenUsed="0" w:uiPriority="99"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42"/>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24"/>
    <w:qFormat/>
    <w:uiPriority w:val="99"/>
    <w:pPr>
      <w:keepNext/>
      <w:keepLines/>
      <w:spacing w:before="260" w:after="260" w:line="416" w:lineRule="auto"/>
      <w:outlineLvl w:val="2"/>
    </w:pPr>
    <w:rPr>
      <w:b/>
      <w:bCs/>
      <w:sz w:val="32"/>
      <w:szCs w:val="32"/>
    </w:rPr>
  </w:style>
  <w:style w:type="character" w:default="1" w:styleId="18">
    <w:name w:val="Default Paragraph Font"/>
    <w:semiHidden/>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3"/>
    <w:uiPriority w:val="99"/>
    <w:pPr>
      <w:spacing w:beforeLines="30"/>
    </w:pPr>
    <w:rPr>
      <w:rFonts w:ascii="仿宋_GB2312" w:eastAsia="仿宋_GB2312"/>
      <w:kern w:val="0"/>
      <w:sz w:val="24"/>
      <w:szCs w:val="20"/>
    </w:rPr>
  </w:style>
  <w:style w:type="paragraph" w:styleId="6">
    <w:name w:val="annotation text"/>
    <w:basedOn w:val="1"/>
    <w:link w:val="26"/>
    <w:semiHidden/>
    <w:uiPriority w:val="99"/>
    <w:pPr>
      <w:jc w:val="left"/>
    </w:pPr>
  </w:style>
  <w:style w:type="paragraph" w:styleId="7">
    <w:name w:val="Salutation"/>
    <w:basedOn w:val="1"/>
    <w:next w:val="1"/>
    <w:link w:val="27"/>
    <w:uiPriority w:val="99"/>
  </w:style>
  <w:style w:type="paragraph" w:styleId="8">
    <w:name w:val="Body Text Indent"/>
    <w:basedOn w:val="1"/>
    <w:link w:val="28"/>
    <w:uiPriority w:val="99"/>
    <w:pPr>
      <w:ind w:left="420" w:leftChars="200"/>
    </w:pPr>
  </w:style>
  <w:style w:type="paragraph" w:styleId="9">
    <w:name w:val="toc 3"/>
    <w:basedOn w:val="1"/>
    <w:next w:val="1"/>
    <w:uiPriority w:val="99"/>
    <w:pPr>
      <w:tabs>
        <w:tab w:val="right" w:leader="dot" w:pos="8296"/>
      </w:tabs>
      <w:ind w:left="840" w:leftChars="400"/>
    </w:pPr>
  </w:style>
  <w:style w:type="paragraph" w:styleId="10">
    <w:name w:val="Balloon Text"/>
    <w:basedOn w:val="1"/>
    <w:link w:val="29"/>
    <w:semiHidden/>
    <w:uiPriority w:val="99"/>
    <w:rPr>
      <w:sz w:val="18"/>
      <w:szCs w:val="18"/>
    </w:rPr>
  </w:style>
  <w:style w:type="paragraph" w:styleId="11">
    <w:name w:val="footer"/>
    <w:basedOn w:val="1"/>
    <w:link w:val="34"/>
    <w:uiPriority w:val="99"/>
    <w:pPr>
      <w:tabs>
        <w:tab w:val="center" w:pos="4153"/>
        <w:tab w:val="right" w:pos="8306"/>
      </w:tabs>
      <w:snapToGrid w:val="0"/>
      <w:jc w:val="left"/>
    </w:pPr>
    <w:rPr>
      <w:kern w:val="0"/>
      <w:sz w:val="18"/>
      <w:szCs w:val="20"/>
    </w:rPr>
  </w:style>
  <w:style w:type="paragraph" w:styleId="12">
    <w:name w:val="header"/>
    <w:basedOn w:val="1"/>
    <w:link w:val="33"/>
    <w:semiHidden/>
    <w:uiPriority w:val="99"/>
    <w:pPr>
      <w:pBdr>
        <w:bottom w:val="single" w:color="auto" w:sz="6" w:space="1"/>
      </w:pBdr>
      <w:tabs>
        <w:tab w:val="center" w:pos="4153"/>
        <w:tab w:val="right" w:pos="8306"/>
      </w:tabs>
      <w:snapToGrid w:val="0"/>
      <w:jc w:val="center"/>
    </w:pPr>
    <w:rPr>
      <w:kern w:val="0"/>
      <w:sz w:val="18"/>
      <w:szCs w:val="20"/>
    </w:rPr>
  </w:style>
  <w:style w:type="paragraph" w:styleId="13">
    <w:name w:val="toc 1"/>
    <w:basedOn w:val="1"/>
    <w:next w:val="1"/>
    <w:uiPriority w:val="99"/>
    <w:pPr>
      <w:tabs>
        <w:tab w:val="right" w:leader="dot" w:pos="8296"/>
      </w:tabs>
      <w:spacing w:before="93"/>
      <w:jc w:val="center"/>
    </w:pPr>
    <w:rPr>
      <w:rFonts w:ascii="仿宋" w:hAnsi="仿宋" w:eastAsia="仿宋"/>
      <w:sz w:val="28"/>
      <w:szCs w:val="28"/>
    </w:rPr>
  </w:style>
  <w:style w:type="paragraph" w:styleId="14">
    <w:name w:val="toc 2"/>
    <w:basedOn w:val="1"/>
    <w:next w:val="1"/>
    <w:qFormat/>
    <w:uiPriority w:val="99"/>
    <w:pPr>
      <w:tabs>
        <w:tab w:val="right" w:leader="dot" w:pos="8296"/>
      </w:tabs>
      <w:ind w:left="420" w:leftChars="200"/>
    </w:pPr>
  </w:style>
  <w:style w:type="paragraph" w:styleId="15">
    <w:name w:val="Normal (Web)"/>
    <w:basedOn w:val="1"/>
    <w:semiHidden/>
    <w:qFormat/>
    <w:uiPriority w:val="99"/>
    <w:rPr>
      <w:sz w:val="24"/>
    </w:rPr>
  </w:style>
  <w:style w:type="paragraph" w:styleId="16">
    <w:name w:val="Body Text First Indent 2"/>
    <w:basedOn w:val="8"/>
    <w:link w:val="32"/>
    <w:qFormat/>
    <w:uiPriority w:val="99"/>
    <w:pPr>
      <w:ind w:firstLine="420" w:firstLineChars="200"/>
    </w:pPr>
  </w:style>
  <w:style w:type="character" w:styleId="19">
    <w:name w:val="Strong"/>
    <w:basedOn w:val="18"/>
    <w:qFormat/>
    <w:uiPriority w:val="99"/>
    <w:rPr>
      <w:rFonts w:ascii="Times New Roman" w:hAnsi="Times New Roman" w:cs="Times New Roman"/>
      <w:b/>
    </w:rPr>
  </w:style>
  <w:style w:type="character" w:styleId="20">
    <w:name w:val="Hyperlink"/>
    <w:basedOn w:val="18"/>
    <w:qFormat/>
    <w:uiPriority w:val="99"/>
    <w:rPr>
      <w:rFonts w:cs="Times New Roman"/>
      <w:color w:val="0000FF"/>
      <w:u w:val="single"/>
    </w:rPr>
  </w:style>
  <w:style w:type="character" w:styleId="21">
    <w:name w:val="annotation reference"/>
    <w:basedOn w:val="18"/>
    <w:semiHidden/>
    <w:qFormat/>
    <w:uiPriority w:val="99"/>
    <w:rPr>
      <w:rFonts w:cs="Times New Roman"/>
      <w:sz w:val="21"/>
      <w:szCs w:val="21"/>
    </w:rPr>
  </w:style>
  <w:style w:type="character" w:customStyle="1" w:styleId="22">
    <w:name w:val="Heading 1 Char"/>
    <w:basedOn w:val="18"/>
    <w:link w:val="3"/>
    <w:locked/>
    <w:uiPriority w:val="99"/>
    <w:rPr>
      <w:rFonts w:ascii="Times New Roman" w:hAnsi="Times New Roman" w:cs="Times New Roman"/>
      <w:b/>
      <w:bCs/>
      <w:kern w:val="44"/>
      <w:sz w:val="44"/>
      <w:szCs w:val="44"/>
    </w:rPr>
  </w:style>
  <w:style w:type="character" w:customStyle="1" w:styleId="23">
    <w:name w:val="Heading 2 Char"/>
    <w:basedOn w:val="18"/>
    <w:link w:val="4"/>
    <w:locked/>
    <w:uiPriority w:val="99"/>
    <w:rPr>
      <w:rFonts w:ascii="等线 Light" w:hAnsi="等线 Light" w:eastAsia="等线 Light" w:cs="Times New Roman"/>
      <w:b/>
      <w:bCs/>
      <w:kern w:val="2"/>
      <w:sz w:val="32"/>
      <w:szCs w:val="32"/>
    </w:rPr>
  </w:style>
  <w:style w:type="character" w:customStyle="1" w:styleId="24">
    <w:name w:val="Heading 3 Char"/>
    <w:basedOn w:val="18"/>
    <w:link w:val="5"/>
    <w:locked/>
    <w:uiPriority w:val="99"/>
    <w:rPr>
      <w:rFonts w:ascii="Times New Roman" w:hAnsi="Times New Roman" w:cs="Times New Roman"/>
      <w:b/>
      <w:bCs/>
      <w:kern w:val="2"/>
      <w:sz w:val="32"/>
      <w:szCs w:val="32"/>
    </w:rPr>
  </w:style>
  <w:style w:type="character" w:customStyle="1" w:styleId="25">
    <w:name w:val="Body Text Char"/>
    <w:basedOn w:val="18"/>
    <w:link w:val="2"/>
    <w:semiHidden/>
    <w:locked/>
    <w:uiPriority w:val="99"/>
    <w:rPr>
      <w:rFonts w:ascii="Times New Roman" w:hAnsi="Times New Roman" w:cs="Times New Roman"/>
      <w:sz w:val="24"/>
      <w:szCs w:val="24"/>
    </w:rPr>
  </w:style>
  <w:style w:type="character" w:customStyle="1" w:styleId="26">
    <w:name w:val="Comment Text Char"/>
    <w:basedOn w:val="18"/>
    <w:link w:val="6"/>
    <w:semiHidden/>
    <w:locked/>
    <w:uiPriority w:val="99"/>
    <w:rPr>
      <w:rFonts w:cs="Times New Roman"/>
      <w:sz w:val="24"/>
      <w:szCs w:val="24"/>
    </w:rPr>
  </w:style>
  <w:style w:type="character" w:customStyle="1" w:styleId="27">
    <w:name w:val="Salutation Char"/>
    <w:basedOn w:val="18"/>
    <w:link w:val="7"/>
    <w:semiHidden/>
    <w:locked/>
    <w:uiPriority w:val="99"/>
    <w:rPr>
      <w:rFonts w:cs="Times New Roman"/>
      <w:sz w:val="24"/>
      <w:szCs w:val="24"/>
    </w:rPr>
  </w:style>
  <w:style w:type="character" w:customStyle="1" w:styleId="28">
    <w:name w:val="Body Text Indent Char"/>
    <w:basedOn w:val="18"/>
    <w:link w:val="8"/>
    <w:locked/>
    <w:uiPriority w:val="99"/>
    <w:rPr>
      <w:rFonts w:ascii="Times New Roman" w:hAnsi="Times New Roman" w:cs="Times New Roman"/>
      <w:kern w:val="2"/>
      <w:sz w:val="24"/>
      <w:szCs w:val="24"/>
    </w:rPr>
  </w:style>
  <w:style w:type="character" w:customStyle="1" w:styleId="29">
    <w:name w:val="Balloon Text Char"/>
    <w:basedOn w:val="18"/>
    <w:link w:val="10"/>
    <w:semiHidden/>
    <w:locked/>
    <w:uiPriority w:val="99"/>
    <w:rPr>
      <w:rFonts w:ascii="Times New Roman" w:hAnsi="Times New Roman" w:cs="Times New Roman"/>
      <w:kern w:val="2"/>
      <w:sz w:val="18"/>
      <w:szCs w:val="18"/>
    </w:rPr>
  </w:style>
  <w:style w:type="character" w:customStyle="1" w:styleId="30">
    <w:name w:val="Footer Char"/>
    <w:basedOn w:val="18"/>
    <w:link w:val="11"/>
    <w:semiHidden/>
    <w:locked/>
    <w:uiPriority w:val="99"/>
    <w:rPr>
      <w:rFonts w:ascii="Times New Roman" w:hAnsi="Times New Roman" w:cs="Times New Roman"/>
      <w:sz w:val="18"/>
      <w:szCs w:val="18"/>
    </w:rPr>
  </w:style>
  <w:style w:type="character" w:customStyle="1" w:styleId="31">
    <w:name w:val="Header Char"/>
    <w:basedOn w:val="18"/>
    <w:link w:val="12"/>
    <w:semiHidden/>
    <w:locked/>
    <w:uiPriority w:val="99"/>
    <w:rPr>
      <w:rFonts w:ascii="Times New Roman" w:hAnsi="Times New Roman" w:cs="Times New Roman"/>
      <w:sz w:val="18"/>
      <w:szCs w:val="18"/>
    </w:rPr>
  </w:style>
  <w:style w:type="character" w:customStyle="1" w:styleId="32">
    <w:name w:val="Body Text First Indent 2 Char"/>
    <w:basedOn w:val="28"/>
    <w:link w:val="16"/>
    <w:qFormat/>
    <w:locked/>
    <w:uiPriority w:val="99"/>
  </w:style>
  <w:style w:type="character" w:customStyle="1" w:styleId="33">
    <w:name w:val="Header Char1"/>
    <w:link w:val="12"/>
    <w:semiHidden/>
    <w:qFormat/>
    <w:locked/>
    <w:uiPriority w:val="99"/>
    <w:rPr>
      <w:sz w:val="18"/>
    </w:rPr>
  </w:style>
  <w:style w:type="character" w:customStyle="1" w:styleId="34">
    <w:name w:val="Footer Char1"/>
    <w:link w:val="11"/>
    <w:qFormat/>
    <w:locked/>
    <w:uiPriority w:val="99"/>
    <w:rPr>
      <w:sz w:val="18"/>
    </w:rPr>
  </w:style>
  <w:style w:type="character" w:customStyle="1" w:styleId="35">
    <w:name w:val="正文文本 Char"/>
    <w:qFormat/>
    <w:locked/>
    <w:uiPriority w:val="99"/>
    <w:rPr>
      <w:rFonts w:ascii="仿宋_GB2312" w:hAnsi="Times New Roman" w:eastAsia="仿宋_GB2312"/>
      <w:sz w:val="24"/>
    </w:rPr>
  </w:style>
  <w:style w:type="paragraph" w:customStyle="1" w:styleId="36">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styleId="37">
    <w:name w:val="List Paragraph"/>
    <w:basedOn w:val="1"/>
    <w:qFormat/>
    <w:uiPriority w:val="99"/>
    <w:pPr>
      <w:ind w:firstLine="420" w:firstLineChars="200"/>
    </w:pPr>
  </w:style>
  <w:style w:type="character" w:customStyle="1" w:styleId="38">
    <w:name w:val="标题 2 Char"/>
    <w:basedOn w:val="18"/>
    <w:link w:val="4"/>
    <w:qFormat/>
    <w:locked/>
    <w:uiPriority w:val="99"/>
    <w:rPr>
      <w:rFonts w:ascii="Cambria" w:hAnsi="Cambria" w:eastAsia="宋体" w:cs="Times New Roman"/>
      <w:b/>
      <w:bCs/>
      <w:kern w:val="2"/>
      <w:sz w:val="32"/>
      <w:szCs w:val="32"/>
    </w:rPr>
  </w:style>
  <w:style w:type="paragraph" w:customStyle="1" w:styleId="39">
    <w:name w:val="TOC 标题1"/>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40">
    <w:name w:val="TOC 标题2"/>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41">
    <w:name w:val="正文文本 字符"/>
    <w:basedOn w:val="18"/>
    <w:qFormat/>
    <w:uiPriority w:val="99"/>
    <w:rPr>
      <w:rFonts w:cs="Times New Roman"/>
      <w:kern w:val="2"/>
      <w:sz w:val="24"/>
      <w:szCs w:val="24"/>
    </w:rPr>
  </w:style>
  <w:style w:type="character" w:customStyle="1" w:styleId="42">
    <w:name w:val="标题 2 Char1"/>
    <w:basedOn w:val="18"/>
    <w:link w:val="4"/>
    <w:qFormat/>
    <w:locked/>
    <w:uiPriority w:val="99"/>
    <w:rPr>
      <w:rFonts w:ascii="等线 Light" w:hAnsi="等线 Light" w:eastAsia="等线 Light" w:cs="Times New Roman"/>
      <w:b/>
      <w:bCs/>
      <w:kern w:val="2"/>
      <w:sz w:val="32"/>
      <w:szCs w:val="32"/>
    </w:rPr>
  </w:style>
  <w:style w:type="character" w:customStyle="1" w:styleId="43">
    <w:name w:val="Body Text Char1"/>
    <w:basedOn w:val="18"/>
    <w:link w:val="2"/>
    <w:qFormat/>
    <w:locked/>
    <w:uiPriority w:val="99"/>
    <w:rPr>
      <w:rFonts w:ascii="仿宋_GB2312" w:eastAsia="仿宋_GB2312" w:cs="仿宋_GB2312"/>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四川省财政厅</Company>
  <Pages>21</Pages>
  <Words>6777</Words>
  <Characters>7233</Characters>
  <Lines>0</Lines>
  <Paragraphs>0</Paragraphs>
  <TotalTime>84</TotalTime>
  <ScaleCrop>false</ScaleCrop>
  <LinksUpToDate>false</LinksUpToDate>
  <CharactersWithSpaces>7298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2022-09-30T14:51:17Z</dcterms:modified>
  <dc:title>四川省***</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