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193"/>
      <w:bookmarkStart w:id="2" w:name="_Toc1681"/>
      <w:bookmarkStart w:id="3" w:name="_Toc15378441"/>
      <w:bookmarkStart w:id="4" w:name="_Toc15396475"/>
      <w:bookmarkStart w:id="5" w:name="_Toc23980"/>
      <w:bookmarkStart w:id="6" w:name="_Toc15396597"/>
      <w:bookmarkStart w:id="7" w:name="_Toc15377425"/>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8" w:name="_Toc17433"/>
      <w:bookmarkStart w:id="9" w:name="_Toc1473"/>
      <w:bookmarkStart w:id="10" w:name="_Toc15377194"/>
      <w:bookmarkStart w:id="11" w:name="_Toc15378442"/>
      <w:bookmarkStart w:id="12" w:name="_Toc15377426"/>
      <w:bookmarkStart w:id="13" w:name="_Toc15396476"/>
      <w:bookmarkStart w:id="14" w:name="_Toc15396598"/>
      <w:r>
        <w:rPr>
          <w:rFonts w:hint="eastAsia" w:ascii="方正小标宋_GBK" w:hAnsi="方正小标宋_GBK" w:eastAsia="方正小标宋_GBK" w:cs="方正小标宋_GBK"/>
          <w:color w:val="auto"/>
          <w:sz w:val="72"/>
          <w:szCs w:val="72"/>
          <w:highlight w:val="none"/>
        </w:rPr>
        <w:t>四川省</w:t>
      </w:r>
      <w:bookmarkEnd w:id="0"/>
      <w:bookmarkStart w:id="15" w:name="_Toc15306268"/>
      <w:r>
        <w:rPr>
          <w:rFonts w:hint="eastAsia" w:ascii="方正小标宋_GBK" w:hAnsi="方正小标宋_GBK" w:eastAsia="方正小标宋_GBK" w:cs="方正小标宋_GBK"/>
          <w:color w:val="auto"/>
          <w:sz w:val="72"/>
          <w:szCs w:val="72"/>
          <w:highlight w:val="none"/>
        </w:rPr>
        <w:t>广元市昭化区</w:t>
      </w:r>
      <w:bookmarkEnd w:id="8"/>
      <w:bookmarkEnd w:id="9"/>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6" w:name="_Toc2341"/>
      <w:bookmarkStart w:id="17" w:name="_Toc9679"/>
      <w:r>
        <w:rPr>
          <w:rFonts w:hint="eastAsia" w:ascii="方正小标宋_GBK" w:hAnsi="方正小标宋_GBK" w:eastAsia="方正小标宋_GBK" w:cs="方正小标宋_GBK"/>
          <w:b w:val="0"/>
          <w:bCs w:val="0"/>
          <w:color w:val="auto"/>
          <w:sz w:val="72"/>
          <w:szCs w:val="72"/>
          <w:highlight w:val="none"/>
          <w:lang w:val="en-US" w:eastAsia="zh-CN"/>
        </w:rPr>
        <w:t>卫子镇</w:t>
      </w:r>
      <w:bookmarkStart w:id="111" w:name="_GoBack"/>
      <w:bookmarkEnd w:id="111"/>
      <w:r>
        <w:rPr>
          <w:rFonts w:hint="eastAsia" w:ascii="方正小标宋_GBK" w:hAnsi="方正小标宋_GBK" w:eastAsia="方正小标宋_GBK" w:cs="方正小标宋_GBK"/>
          <w:b w:val="0"/>
          <w:bCs w:val="0"/>
          <w:color w:val="auto"/>
          <w:sz w:val="72"/>
          <w:szCs w:val="72"/>
          <w:highlight w:val="none"/>
          <w:lang w:val="en-US" w:eastAsia="zh-CN"/>
        </w:rPr>
        <w:t>石井</w:t>
      </w:r>
      <w:r>
        <w:rPr>
          <w:rFonts w:hint="eastAsia" w:ascii="方正小标宋_GBK" w:hAnsi="方正小标宋_GBK" w:eastAsia="方正小标宋_GBK" w:cs="方正小标宋_GBK"/>
          <w:b w:val="0"/>
          <w:bCs w:val="0"/>
          <w:color w:val="auto"/>
          <w:sz w:val="72"/>
          <w:szCs w:val="72"/>
          <w:highlight w:val="none"/>
          <w:lang w:eastAsia="zh-CN"/>
        </w:rPr>
        <w:t>小学</w:t>
      </w:r>
      <w:r>
        <w:rPr>
          <w:rFonts w:hint="eastAsia" w:ascii="方正小标宋_GBK" w:hAnsi="方正小标宋_GBK" w:eastAsia="方正小标宋_GBK" w:cs="方正小标宋_GBK"/>
          <w:color w:val="auto"/>
          <w:sz w:val="72"/>
          <w:szCs w:val="72"/>
          <w:highlight w:val="none"/>
        </w:rPr>
        <w:t>单位决算</w:t>
      </w:r>
      <w:bookmarkEnd w:id="10"/>
      <w:bookmarkEnd w:id="11"/>
      <w:bookmarkEnd w:id="12"/>
      <w:bookmarkEnd w:id="13"/>
      <w:bookmarkEnd w:id="14"/>
      <w:bookmarkEnd w:id="15"/>
      <w:bookmarkEnd w:id="16"/>
      <w:bookmarkEnd w:id="17"/>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TOC \o "1-2" \h \u </w:instrText>
      </w:r>
      <w:r>
        <w:rPr>
          <w:rFonts w:hint="eastAsia" w:ascii="仿宋" w:hAnsi="仿宋" w:eastAsia="仿宋" w:cs="仿宋"/>
          <w:color w:val="auto"/>
          <w:sz w:val="24"/>
          <w:szCs w:val="24"/>
          <w:highlight w:val="none"/>
        </w:rPr>
        <w:fldChar w:fldCharType="separate"/>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_Toc17785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_Toc17785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_Toc7404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_Toc7404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_Toc4463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_Toc4463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_Toc10437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_Toc10437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_Toc11923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_Toc11923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_Toc12678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_Toc12678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_Toc23757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_Toc23757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_Toc16373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_Toc16373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_Toc29438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_Toc29438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_Toc4818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_Toc4818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_Toc23871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_Toc23871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_Toc16944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_Toc16944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_Toc16610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_Toc6245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_Toc6245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_Toc20829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_Toc20829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_Toc32481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_Toc32481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_Toc16282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_Toc16282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_Toc27698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_Toc27698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_Toc31149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_Toc31149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_Toc2969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_Toc2969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_Toc15951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_Toc15951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_Toc26411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_Toc26411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_Toc26015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_Toc26015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_Toc2980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_Toc2980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end"/>
      </w:r>
    </w:p>
    <w:p>
      <w:pPr>
        <w:rPr>
          <w:color w:val="auto"/>
          <w:highlight w:val="none"/>
        </w:rPr>
      </w:pPr>
    </w:p>
    <w:p>
      <w:pPr>
        <w:pStyle w:val="4"/>
        <w:bidi w:val="0"/>
        <w:rPr>
          <w:color w:val="auto"/>
          <w:highlight w:val="none"/>
        </w:rPr>
      </w:pPr>
      <w:bookmarkStart w:id="18" w:name="_Toc15396599"/>
      <w:bookmarkStart w:id="19" w:name="_Toc17785"/>
      <w:bookmarkStart w:id="20" w:name="_Toc15377196"/>
      <w:r>
        <w:rPr>
          <w:rFonts w:hint="eastAsia"/>
          <w:color w:val="auto"/>
          <w:highlight w:val="none"/>
        </w:rPr>
        <w:t>第一部分 单位概况</w:t>
      </w:r>
      <w:bookmarkEnd w:id="18"/>
      <w:bookmarkEnd w:id="19"/>
      <w:bookmarkEnd w:id="20"/>
    </w:p>
    <w:p>
      <w:pPr>
        <w:widowControl/>
        <w:jc w:val="left"/>
        <w:rPr>
          <w:rFonts w:ascii="黑体" w:eastAsia="黑体"/>
          <w:color w:val="auto"/>
          <w:sz w:val="32"/>
          <w:szCs w:val="32"/>
          <w:highlight w:val="none"/>
        </w:rPr>
      </w:pPr>
    </w:p>
    <w:p>
      <w:pPr>
        <w:pStyle w:val="5"/>
        <w:numPr>
          <w:ilvl w:val="0"/>
          <w:numId w:val="1"/>
        </w:numPr>
        <w:bidi w:val="0"/>
        <w:rPr>
          <w:rFonts w:hint="eastAsia" w:ascii="仿宋" w:hAnsi="仿宋" w:eastAsia="仿宋" w:cs="仿宋"/>
          <w:color w:val="auto"/>
          <w:highlight w:val="none"/>
        </w:rPr>
      </w:pPr>
      <w:bookmarkStart w:id="21" w:name="_Toc7404"/>
      <w:bookmarkStart w:id="22" w:name="_Toc15396600"/>
      <w:bookmarkStart w:id="23" w:name="_Toc15377197"/>
      <w:r>
        <w:rPr>
          <w:rFonts w:hint="eastAsia" w:ascii="仿宋" w:hAnsi="仿宋" w:eastAsia="仿宋" w:cs="仿宋"/>
          <w:color w:val="auto"/>
          <w:highlight w:val="none"/>
        </w:rPr>
        <w:t>职能简介</w:t>
      </w:r>
      <w:bookmarkEnd w:id="21"/>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5"/>
        <w:bidi w:val="0"/>
        <w:rPr>
          <w:rFonts w:hint="eastAsia" w:ascii="仿宋" w:hAnsi="仿宋" w:eastAsia="仿宋" w:cs="仿宋"/>
          <w:color w:val="auto"/>
          <w:highlight w:val="none"/>
        </w:rPr>
      </w:pPr>
      <w:bookmarkStart w:id="24" w:name="_Toc4463"/>
      <w:r>
        <w:rPr>
          <w:rFonts w:hint="eastAsia" w:ascii="仿宋" w:hAnsi="仿宋" w:eastAsia="仿宋" w:cs="仿宋"/>
          <w:color w:val="auto"/>
          <w:highlight w:val="none"/>
        </w:rPr>
        <w:t>二、2021年重点工作</w:t>
      </w:r>
      <w:bookmarkEnd w:id="22"/>
      <w:bookmarkEnd w:id="23"/>
      <w:r>
        <w:rPr>
          <w:rFonts w:hint="eastAsia" w:ascii="仿宋" w:hAnsi="仿宋" w:eastAsia="仿宋" w:cs="仿宋"/>
          <w:color w:val="auto"/>
          <w:highlight w:val="none"/>
        </w:rPr>
        <w:t>完成情况</w:t>
      </w:r>
      <w:bookmarkEnd w:id="24"/>
    </w:p>
    <w:p>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color w:val="auto"/>
          <w:sz w:val="32"/>
          <w:szCs w:val="32"/>
          <w:highlight w:val="none"/>
          <w:lang w:val="en-US"/>
        </w:rPr>
      </w:pPr>
      <w:r>
        <w:rPr>
          <w:rFonts w:hint="eastAsia" w:ascii="仿宋_GB2312" w:eastAsia="仿宋_GB2312"/>
          <w:color w:val="auto"/>
          <w:sz w:val="32"/>
          <w:szCs w:val="32"/>
          <w:highlight w:val="none"/>
          <w:lang w:eastAsia="zh-CN"/>
        </w:rPr>
        <w:t>（一）</w:t>
      </w:r>
      <w:r>
        <w:rPr>
          <w:rFonts w:hint="eastAsia" w:ascii="仿宋" w:hAnsi="仿宋" w:eastAsia="仿宋" w:cs="仿宋"/>
          <w:color w:val="auto"/>
          <w:sz w:val="32"/>
          <w:szCs w:val="32"/>
          <w:highlight w:val="none"/>
          <w:lang w:val="en-US"/>
        </w:rPr>
        <w:t>做好党建</w:t>
      </w:r>
      <w:r>
        <w:rPr>
          <w:rFonts w:hint="eastAsia" w:ascii="仿宋" w:hAnsi="仿宋" w:eastAsia="仿宋" w:cs="仿宋"/>
          <w:color w:val="auto"/>
          <w:sz w:val="32"/>
          <w:szCs w:val="32"/>
          <w:highlight w:val="none"/>
          <w:lang w:val="en-US" w:eastAsia="zh-CN"/>
        </w:rPr>
        <w:t>、廉政建设</w:t>
      </w:r>
      <w:r>
        <w:rPr>
          <w:rFonts w:hint="eastAsia" w:ascii="仿宋" w:hAnsi="仿宋" w:eastAsia="仿宋" w:cs="仿宋"/>
          <w:color w:val="auto"/>
          <w:sz w:val="32"/>
          <w:szCs w:val="32"/>
          <w:highlight w:val="none"/>
          <w:lang w:val="en-US"/>
        </w:rPr>
        <w:t>工作</w:t>
      </w:r>
    </w:p>
    <w:p>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lang w:val="en-US" w:eastAsia="zh-CN"/>
        </w:rPr>
        <w:t>一是</w:t>
      </w:r>
      <w:r>
        <w:rPr>
          <w:rFonts w:hint="eastAsia" w:ascii="仿宋" w:hAnsi="仿宋" w:eastAsia="仿宋" w:cs="仿宋"/>
          <w:color w:val="auto"/>
          <w:sz w:val="32"/>
          <w:szCs w:val="32"/>
          <w:highlight w:val="none"/>
          <w:lang w:val="en-US"/>
        </w:rPr>
        <w:t>尽职履责，全面落实党建责任。建立了校支部书记为第一责任人、班子其他成员为直接责任人的党建责任体系。与各位党员干部签订了目标责任书，督促党员干部认真履行党建直接责任人职责。</w:t>
      </w:r>
      <w:r>
        <w:rPr>
          <w:rFonts w:hint="eastAsia" w:ascii="仿宋" w:hAnsi="仿宋" w:eastAsia="仿宋" w:cs="仿宋"/>
          <w:color w:val="auto"/>
          <w:sz w:val="32"/>
          <w:szCs w:val="32"/>
          <w:highlight w:val="none"/>
          <w:lang w:val="en-US" w:eastAsia="zh-CN"/>
        </w:rPr>
        <w:t>二是</w:t>
      </w:r>
      <w:r>
        <w:rPr>
          <w:rFonts w:hint="eastAsia" w:ascii="仿宋" w:hAnsi="仿宋" w:eastAsia="仿宋" w:cs="仿宋"/>
          <w:color w:val="auto"/>
          <w:sz w:val="32"/>
          <w:szCs w:val="32"/>
          <w:highlight w:val="none"/>
          <w:lang w:val="en-US"/>
        </w:rPr>
        <w:t>强化意识，持续加强组织建设</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en-US"/>
        </w:rPr>
        <w:t>充分发挥党支部的战斗堡垒作用，把抓好学习作为加强支部思想建设的首要任务。</w:t>
      </w:r>
      <w:r>
        <w:rPr>
          <w:rFonts w:hint="eastAsia" w:ascii="仿宋" w:hAnsi="仿宋" w:eastAsia="仿宋" w:cs="仿宋"/>
          <w:color w:val="auto"/>
          <w:sz w:val="32"/>
          <w:szCs w:val="32"/>
          <w:highlight w:val="none"/>
          <w:lang w:val="en-US" w:eastAsia="zh-CN"/>
        </w:rPr>
        <w:t>认真</w:t>
      </w:r>
      <w:r>
        <w:rPr>
          <w:rFonts w:hint="eastAsia" w:ascii="仿宋" w:hAnsi="仿宋" w:eastAsia="仿宋" w:cs="仿宋"/>
          <w:color w:val="auto"/>
          <w:sz w:val="32"/>
          <w:szCs w:val="32"/>
          <w:highlight w:val="none"/>
          <w:lang w:val="en-US"/>
        </w:rPr>
        <w:t>开展每月的</w:t>
      </w:r>
      <w:r>
        <w:rPr>
          <w:rFonts w:hint="eastAsia" w:ascii="仿宋" w:hAnsi="仿宋" w:eastAsia="仿宋" w:cs="仿宋"/>
          <w:color w:val="auto"/>
          <w:sz w:val="32"/>
          <w:szCs w:val="32"/>
          <w:highlight w:val="none"/>
          <w:lang w:val="en-US" w:eastAsia="zh-CN"/>
        </w:rPr>
        <w:t>“红色星期五”主题</w:t>
      </w:r>
      <w:r>
        <w:rPr>
          <w:rFonts w:hint="eastAsia" w:ascii="仿宋" w:hAnsi="仿宋" w:eastAsia="仿宋" w:cs="仿宋"/>
          <w:color w:val="auto"/>
          <w:sz w:val="32"/>
          <w:szCs w:val="32"/>
          <w:highlight w:val="none"/>
          <w:lang w:val="en-US"/>
        </w:rPr>
        <w:t>党日活动，坚持党员干部理论学习经常抓、长期抓。结合师德师风，组织好一年一度的师德专项学习活动，进行教师职业道德行为自查，深化教师核心价值观，强化师德师风建设。</w:t>
      </w:r>
      <w:r>
        <w:rPr>
          <w:rFonts w:hint="eastAsia" w:ascii="仿宋" w:hAnsi="仿宋" w:eastAsia="仿宋" w:cs="仿宋"/>
          <w:color w:val="auto"/>
          <w:sz w:val="32"/>
          <w:szCs w:val="32"/>
          <w:highlight w:val="none"/>
          <w:lang w:val="en-US" w:eastAsia="zh-CN"/>
        </w:rPr>
        <w:t>三是</w:t>
      </w:r>
      <w:r>
        <w:rPr>
          <w:rFonts w:hint="eastAsia" w:ascii="仿宋" w:hAnsi="仿宋" w:eastAsia="仿宋" w:cs="仿宋"/>
          <w:color w:val="auto"/>
          <w:sz w:val="32"/>
          <w:szCs w:val="32"/>
          <w:highlight w:val="none"/>
          <w:lang w:val="en-US"/>
        </w:rPr>
        <w:t>正风肃纪，确保学校风清气正。始终坚持原则、依法办学、依法治校、依法从教，不断提高廉洁自律的自觉性，全面实施</w:t>
      </w:r>
      <w:r>
        <w:rPr>
          <w:rFonts w:hint="eastAsia" w:ascii="仿宋" w:hAnsi="仿宋" w:eastAsia="仿宋" w:cs="仿宋"/>
          <w:color w:val="auto"/>
          <w:sz w:val="32"/>
          <w:szCs w:val="32"/>
          <w:highlight w:val="none"/>
          <w:lang w:val="en-US" w:eastAsia="zh-CN"/>
        </w:rPr>
        <w:t>校</w:t>
      </w:r>
      <w:r>
        <w:rPr>
          <w:rFonts w:hint="eastAsia" w:ascii="仿宋" w:hAnsi="仿宋" w:eastAsia="仿宋" w:cs="仿宋"/>
          <w:color w:val="auto"/>
          <w:sz w:val="32"/>
          <w:szCs w:val="32"/>
          <w:highlight w:val="none"/>
          <w:lang w:val="en-US"/>
        </w:rPr>
        <w:t>务公开和党务公开，广泛接受家长及社会监督，为学校教育事业发展营造良好的政治生态环境，努力办好人民满意的教育。</w:t>
      </w:r>
    </w:p>
    <w:p>
      <w:pPr>
        <w:numPr>
          <w:ilvl w:val="0"/>
          <w:numId w:val="0"/>
        </w:numPr>
        <w:ind w:leftChars="200"/>
        <w:rPr>
          <w:rFonts w:hint="eastAsia" w:ascii="楷体_GB2312" w:eastAsia="楷体_GB2312"/>
          <w:color w:val="auto"/>
          <w:sz w:val="32"/>
          <w:szCs w:val="32"/>
          <w:highlight w:val="none"/>
        </w:rPr>
      </w:pPr>
      <w:r>
        <w:rPr>
          <w:rFonts w:hint="eastAsia" w:ascii="仿宋_GB2312" w:eastAsia="仿宋_GB2312"/>
          <w:color w:val="auto"/>
          <w:sz w:val="32"/>
          <w:szCs w:val="32"/>
          <w:highlight w:val="none"/>
          <w:lang w:eastAsia="zh-CN"/>
        </w:rPr>
        <w:t>（二）</w:t>
      </w:r>
      <w:r>
        <w:rPr>
          <w:rFonts w:hint="eastAsia" w:ascii="仿宋_GB2312" w:eastAsia="仿宋_GB2312"/>
          <w:color w:val="auto"/>
          <w:sz w:val="32"/>
          <w:szCs w:val="32"/>
          <w:highlight w:val="none"/>
        </w:rPr>
        <w:t>扎扎实实搞教学，认认真真抓质量</w:t>
      </w:r>
    </w:p>
    <w:p>
      <w:pPr>
        <w:numPr>
          <w:ilvl w:val="0"/>
          <w:numId w:val="0"/>
        </w:num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一是</w:t>
      </w:r>
      <w:r>
        <w:rPr>
          <w:rFonts w:hint="eastAsia" w:ascii="仿宋_GB2312" w:eastAsia="仿宋_GB2312"/>
          <w:color w:val="auto"/>
          <w:sz w:val="32"/>
          <w:szCs w:val="32"/>
          <w:highlight w:val="none"/>
        </w:rPr>
        <w:t>我们多次</w:t>
      </w:r>
      <w:r>
        <w:rPr>
          <w:rFonts w:hint="eastAsia" w:ascii="仿宋_GB2312" w:eastAsia="仿宋_GB2312"/>
          <w:color w:val="auto"/>
          <w:sz w:val="32"/>
          <w:szCs w:val="32"/>
          <w:highlight w:val="none"/>
          <w:lang w:eastAsia="zh-CN"/>
        </w:rPr>
        <w:t>召</w:t>
      </w:r>
      <w:r>
        <w:rPr>
          <w:rFonts w:hint="eastAsia" w:ascii="仿宋_GB2312" w:eastAsia="仿宋_GB2312"/>
          <w:color w:val="auto"/>
          <w:sz w:val="32"/>
          <w:szCs w:val="32"/>
          <w:highlight w:val="none"/>
        </w:rPr>
        <w:t>开专题会，</w:t>
      </w:r>
      <w:r>
        <w:rPr>
          <w:rFonts w:hint="eastAsia" w:ascii="仿宋_GB2312" w:eastAsia="仿宋_GB2312"/>
          <w:color w:val="auto"/>
          <w:sz w:val="32"/>
          <w:szCs w:val="32"/>
          <w:highlight w:val="none"/>
          <w:lang w:eastAsia="zh-CN"/>
        </w:rPr>
        <w:t>根据教育局上半年的学业水平检测成绩册认真深入分析全校各班各科学生成绩，提出提高学业成绩指导意见，然后根据上级量化指标讨论制定切实可行的教学质量奖惩措施，并且在绩效考核中严格兑现。二</w:t>
      </w:r>
      <w:r>
        <w:rPr>
          <w:rFonts w:hint="eastAsia" w:ascii="仿宋_GB2312" w:eastAsia="仿宋_GB2312"/>
          <w:color w:val="auto"/>
          <w:sz w:val="32"/>
          <w:szCs w:val="32"/>
          <w:highlight w:val="none"/>
        </w:rPr>
        <w:t>是领导身先士卒，勇挑重担；三是调整个别教师工作岗位；四是加强教学常规管理，严格教学常规检查通报考核</w:t>
      </w:r>
      <w:r>
        <w:rPr>
          <w:rFonts w:hint="eastAsia" w:ascii="仿宋_GB2312" w:eastAsia="仿宋_GB2312"/>
          <w:color w:val="auto"/>
          <w:sz w:val="32"/>
          <w:szCs w:val="32"/>
          <w:highlight w:val="none"/>
          <w:lang w:eastAsia="zh-CN"/>
        </w:rPr>
        <w:t>，把每次每人检查情况及时通报到工作群里</w:t>
      </w:r>
      <w:r>
        <w:rPr>
          <w:rFonts w:hint="eastAsia" w:ascii="仿宋_GB2312" w:eastAsia="仿宋_GB2312"/>
          <w:color w:val="auto"/>
          <w:sz w:val="32"/>
          <w:szCs w:val="32"/>
          <w:highlight w:val="none"/>
        </w:rPr>
        <w:t>；五是</w:t>
      </w:r>
      <w:r>
        <w:rPr>
          <w:rFonts w:hint="eastAsia" w:ascii="仿宋_GB2312" w:eastAsia="仿宋_GB2312"/>
          <w:color w:val="auto"/>
          <w:sz w:val="32"/>
          <w:szCs w:val="32"/>
          <w:highlight w:val="none"/>
          <w:lang w:eastAsia="zh-CN"/>
        </w:rPr>
        <w:t>强化教研，向课堂要质量，对评定为不合格的公开课要求再上，直到合格。通过努力成绩排位从</w:t>
      </w:r>
      <w:r>
        <w:rPr>
          <w:rFonts w:hint="eastAsia" w:ascii="仿宋_GB2312" w:eastAsia="仿宋_GB2312"/>
          <w:color w:val="auto"/>
          <w:sz w:val="32"/>
          <w:szCs w:val="32"/>
          <w:highlight w:val="none"/>
          <w:lang w:val="en-US" w:eastAsia="zh-CN"/>
        </w:rPr>
        <w:t>24上升到第9位。</w:t>
      </w:r>
    </w:p>
    <w:p>
      <w:pPr>
        <w:numPr>
          <w:ilvl w:val="0"/>
          <w:numId w:val="2"/>
        </w:numPr>
        <w:ind w:left="-640" w:leftChars="0" w:firstLine="64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五育并举，突出活动育人</w:t>
      </w:r>
    </w:p>
    <w:p>
      <w:pPr>
        <w:numPr>
          <w:ilvl w:val="0"/>
          <w:numId w:val="0"/>
        </w:numPr>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学校在课后延时服务政策出台之前一直坚持</w:t>
      </w:r>
      <w:r>
        <w:rPr>
          <w:rFonts w:hint="eastAsia" w:ascii="仿宋_GB2312" w:eastAsia="仿宋_GB2312"/>
          <w:color w:val="auto"/>
          <w:sz w:val="32"/>
          <w:szCs w:val="32"/>
          <w:highlight w:val="none"/>
        </w:rPr>
        <w:t>每天下午课外活动根据学校实际周一、周二为“阳光体育运动”，周三</w:t>
      </w:r>
      <w:r>
        <w:rPr>
          <w:rFonts w:hint="eastAsia" w:ascii="仿宋_GB2312" w:eastAsia="仿宋_GB2312"/>
          <w:color w:val="auto"/>
          <w:sz w:val="32"/>
          <w:szCs w:val="32"/>
          <w:highlight w:val="none"/>
          <w:lang w:eastAsia="zh-CN"/>
        </w:rPr>
        <w:t>为“三自教育”活动</w:t>
      </w:r>
      <w:r>
        <w:rPr>
          <w:rFonts w:hint="eastAsia" w:ascii="仿宋_GB2312" w:eastAsia="仿宋_GB2312"/>
          <w:color w:val="auto"/>
          <w:sz w:val="32"/>
          <w:szCs w:val="32"/>
          <w:highlight w:val="none"/>
        </w:rPr>
        <w:t>，周四为少年宫活动</w:t>
      </w:r>
      <w:r>
        <w:rPr>
          <w:rFonts w:hint="eastAsia" w:ascii="仿宋_GB2312" w:eastAsia="仿宋_GB2312"/>
          <w:color w:val="auto"/>
          <w:sz w:val="32"/>
          <w:szCs w:val="32"/>
          <w:highlight w:val="none"/>
          <w:lang w:val="en-US" w:eastAsia="zh-CN"/>
        </w:rPr>
        <w:t>,现根据课后延时服务相关政策精神，学校已制定好活动课程表（每下午利用两节课时间，内容涵盖劳技、科技、体育、少年宫活动等，现正进行前期劳技园打造等，下期开始实施）争取通过努力在劳技、科技、足球、书法、戏曲等活动上有所成效。</w:t>
      </w:r>
    </w:p>
    <w:p>
      <w:pPr>
        <w:numPr>
          <w:ilvl w:val="0"/>
          <w:numId w:val="0"/>
        </w:numPr>
        <w:ind w:firstLine="640"/>
        <w:rPr>
          <w:rFonts w:hint="eastAsia" w:ascii="仿宋_GB2312" w:eastAsia="仿宋_GB2312"/>
          <w:color w:val="auto"/>
          <w:sz w:val="32"/>
          <w:szCs w:val="32"/>
          <w:highlight w:val="none"/>
          <w:lang w:val="en-US" w:eastAsia="zh-CN"/>
        </w:rPr>
      </w:pPr>
    </w:p>
    <w:p>
      <w:pPr>
        <w:numPr>
          <w:ilvl w:val="0"/>
          <w:numId w:val="2"/>
        </w:numPr>
        <w:ind w:left="-640" w:leftChars="0" w:firstLine="64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借课题抓内涵</w:t>
      </w:r>
    </w:p>
    <w:p>
      <w:pPr>
        <w:pStyle w:val="2"/>
        <w:ind w:left="0" w:leftChars="0" w:firstLine="640" w:firstLineChars="200"/>
        <w:rPr>
          <w:rFonts w:hint="eastAsia" w:ascii="仿宋" w:hAnsi="仿宋" w:eastAsia="仿宋" w:cs="仿宋"/>
          <w:color w:val="auto"/>
          <w:highlight w:val="none"/>
        </w:rPr>
      </w:pPr>
      <w:r>
        <w:rPr>
          <w:rFonts w:hint="eastAsia" w:ascii="仿宋_GB2312" w:eastAsia="仿宋_GB2312"/>
          <w:color w:val="auto"/>
          <w:sz w:val="32"/>
          <w:szCs w:val="32"/>
          <w:highlight w:val="none"/>
          <w:lang w:eastAsia="zh-CN"/>
        </w:rPr>
        <w:t>区级课题《</w:t>
      </w:r>
      <w:r>
        <w:rPr>
          <w:rFonts w:hint="eastAsia" w:ascii="仿宋_GB2312" w:hAnsi="仿宋_GB2312" w:eastAsia="仿宋_GB2312" w:cs="仿宋_GB2312"/>
          <w:color w:val="auto"/>
          <w:sz w:val="32"/>
          <w:szCs w:val="32"/>
          <w:highlight w:val="none"/>
          <w:lang w:val="en-US" w:eastAsia="zh-CN"/>
        </w:rPr>
        <w:t>农村小学“三自”教育体制的研究与实践</w:t>
      </w:r>
      <w:r>
        <w:rPr>
          <w:rFonts w:hint="eastAsia" w:ascii="仿宋_GB2312" w:eastAsia="仿宋_GB2312"/>
          <w:color w:val="auto"/>
          <w:sz w:val="32"/>
          <w:szCs w:val="32"/>
          <w:highlight w:val="none"/>
          <w:lang w:eastAsia="zh-CN"/>
        </w:rPr>
        <w:t>》已立项研究，现正申报市级课题</w:t>
      </w:r>
      <w:r>
        <w:rPr>
          <w:rFonts w:hint="eastAsia" w:ascii="仿宋_GB2312" w:eastAsia="仿宋_GB2312"/>
          <w:color w:val="auto"/>
          <w:sz w:val="32"/>
          <w:szCs w:val="32"/>
          <w:highlight w:val="none"/>
          <w:lang w:val="en-US" w:eastAsia="zh-CN"/>
        </w:rPr>
        <w:t>。在通过学生自我教育、自主管理，达到自觉幸福基础上进一步践行“让每一位学生都有人生出彩的机会”的办学理念。</w:t>
      </w:r>
    </w:p>
    <w:p>
      <w:pPr>
        <w:rPr>
          <w:rFonts w:hint="eastAsia" w:ascii="仿宋" w:hAnsi="仿宋" w:eastAsia="仿宋" w:cs="仿宋"/>
          <w:b w:val="0"/>
          <w:color w:val="auto"/>
          <w:highlight w:val="none"/>
        </w:rPr>
      </w:pPr>
      <w:bookmarkStart w:id="25" w:name="_Toc15396602"/>
      <w:bookmarkStart w:id="26" w:name="_Toc15377204"/>
      <w:r>
        <w:rPr>
          <w:rFonts w:hint="eastAsia" w:ascii="仿宋" w:hAnsi="仿宋" w:eastAsia="仿宋" w:cs="仿宋"/>
          <w:b w:val="0"/>
          <w:color w:val="auto"/>
          <w:highlight w:val="none"/>
        </w:rPr>
        <w:br w:type="page"/>
      </w:r>
    </w:p>
    <w:p>
      <w:pPr>
        <w:pStyle w:val="4"/>
        <w:bidi w:val="0"/>
        <w:rPr>
          <w:rFonts w:hint="eastAsia" w:ascii="仿宋" w:hAnsi="仿宋" w:eastAsia="仿宋" w:cs="仿宋"/>
          <w:color w:val="auto"/>
          <w:highlight w:val="none"/>
        </w:rPr>
      </w:pPr>
      <w:bookmarkStart w:id="27" w:name="_Toc10437"/>
      <w:r>
        <w:rPr>
          <w:rFonts w:hint="eastAsia" w:ascii="仿宋" w:hAnsi="仿宋" w:eastAsia="仿宋" w:cs="仿宋"/>
          <w:color w:val="auto"/>
          <w:highlight w:val="none"/>
        </w:rPr>
        <w:t>第二部分 2021年度单位决算情况说明</w:t>
      </w:r>
      <w:bookmarkEnd w:id="25"/>
      <w:bookmarkEnd w:id="26"/>
      <w:bookmarkEnd w:id="27"/>
    </w:p>
    <w:p>
      <w:pPr>
        <w:rPr>
          <w:rFonts w:hint="eastAsia" w:ascii="仿宋" w:hAnsi="仿宋" w:eastAsia="仿宋" w:cs="仿宋"/>
          <w:color w:val="auto"/>
          <w:highlight w:val="none"/>
        </w:rPr>
      </w:pPr>
    </w:p>
    <w:p>
      <w:pPr>
        <w:pStyle w:val="5"/>
        <w:numPr>
          <w:ilvl w:val="0"/>
          <w:numId w:val="3"/>
        </w:numPr>
        <w:bidi w:val="0"/>
        <w:ind w:left="0" w:leftChars="0" w:firstLine="643" w:firstLineChars="200"/>
        <w:rPr>
          <w:rFonts w:hint="eastAsia" w:ascii="仿宋" w:hAnsi="仿宋" w:eastAsia="仿宋" w:cs="仿宋"/>
          <w:color w:val="auto"/>
          <w:highlight w:val="none"/>
        </w:rPr>
      </w:pPr>
      <w:bookmarkStart w:id="28" w:name="_Toc15396603"/>
      <w:bookmarkStart w:id="29" w:name="_Toc5075"/>
      <w:bookmarkStart w:id="30" w:name="_Toc15377205"/>
      <w:r>
        <w:rPr>
          <w:rFonts w:hint="eastAsia" w:ascii="仿宋" w:hAnsi="仿宋" w:eastAsia="仿宋" w:cs="仿宋"/>
          <w:color w:val="auto"/>
          <w:highlight w:val="none"/>
        </w:rPr>
        <w:t>收入支出决算总体情况说明</w:t>
      </w:r>
      <w:bookmarkEnd w:id="28"/>
      <w:bookmarkEnd w:id="29"/>
      <w:bookmarkEnd w:id="30"/>
    </w:p>
    <w:p>
      <w:pPr>
        <w:spacing w:line="600" w:lineRule="exact"/>
        <w:ind w:firstLine="640" w:firstLineChars="200"/>
        <w:outlineLvl w:val="1"/>
        <w:rPr>
          <w:rFonts w:hint="eastAsia" w:ascii="仿宋" w:hAnsi="仿宋" w:eastAsia="仿宋" w:cs="仿宋"/>
          <w:color w:val="auto"/>
          <w:highlight w:val="none"/>
          <w:lang w:eastAsia="zh-CN"/>
        </w:rPr>
      </w:pPr>
      <w:bookmarkStart w:id="31" w:name="_Toc20585"/>
      <w:bookmarkStart w:id="32" w:name="_Toc9801"/>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822.77</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减少48.93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增加6.32%</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基本支出增加</w:t>
      </w:r>
      <w:r>
        <w:rPr>
          <w:rFonts w:hint="eastAsia" w:ascii="仿宋" w:hAnsi="仿宋" w:eastAsia="仿宋" w:cs="仿宋"/>
          <w:color w:val="auto"/>
          <w:sz w:val="32"/>
          <w:szCs w:val="32"/>
          <w:highlight w:val="none"/>
        </w:rPr>
        <w:t>。</w:t>
      </w:r>
      <w:bookmarkEnd w:id="31"/>
      <w:bookmarkEnd w:id="32"/>
    </w:p>
    <w:p>
      <w:pPr>
        <w:pStyle w:val="5"/>
        <w:numPr>
          <w:ilvl w:val="0"/>
          <w:numId w:val="3"/>
        </w:numPr>
        <w:bidi w:val="0"/>
        <w:ind w:left="0" w:leftChars="0" w:firstLine="643" w:firstLineChars="200"/>
        <w:jc w:val="left"/>
        <w:rPr>
          <w:rFonts w:hint="eastAsia" w:ascii="仿宋" w:hAnsi="仿宋" w:eastAsia="仿宋" w:cs="仿宋"/>
          <w:color w:val="auto"/>
          <w:highlight w:val="none"/>
        </w:rPr>
      </w:pPr>
      <w:bookmarkStart w:id="33" w:name="_Toc11923"/>
      <w:bookmarkStart w:id="34" w:name="_Toc15396604"/>
      <w:bookmarkStart w:id="35" w:name="_Toc15377206"/>
      <w:r>
        <w:rPr>
          <w:rFonts w:hint="eastAsia" w:ascii="仿宋" w:hAnsi="仿宋" w:eastAsia="仿宋" w:cs="仿宋"/>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s="仿宋"/>
          <w:color w:val="auto"/>
          <w:highlight w:val="none"/>
        </w:rPr>
        <w:t>收入决算情况说明</w:t>
      </w:r>
      <w:bookmarkEnd w:id="33"/>
      <w:bookmarkEnd w:id="34"/>
      <w:bookmarkEnd w:id="35"/>
    </w:p>
    <w:p>
      <w:pPr>
        <w:spacing w:line="600" w:lineRule="exact"/>
        <w:ind w:firstLine="640" w:firstLineChars="200"/>
        <w:outlineLvl w:val="1"/>
        <w:rPr>
          <w:rFonts w:hint="eastAsia" w:ascii="仿宋" w:hAnsi="仿宋" w:eastAsia="仿宋" w:cs="仿宋"/>
          <w:color w:val="auto"/>
          <w:sz w:val="32"/>
          <w:szCs w:val="32"/>
          <w:highlight w:val="none"/>
          <w:lang w:eastAsia="zh-CN"/>
        </w:rPr>
      </w:pPr>
      <w:bookmarkStart w:id="36" w:name="_Toc28868"/>
      <w:bookmarkStart w:id="37" w:name="_Toc32714"/>
      <w:r>
        <w:rPr>
          <w:rFonts w:hint="eastAsia" w:ascii="仿宋" w:hAnsi="仿宋" w:eastAsia="仿宋" w:cs="仿宋"/>
          <w:color w:val="auto"/>
          <w:sz w:val="32"/>
          <w:szCs w:val="32"/>
          <w:highlight w:val="none"/>
        </w:rPr>
        <w:t>2021年本年收入合计</w:t>
      </w:r>
      <w:r>
        <w:rPr>
          <w:rFonts w:hint="eastAsia" w:ascii="仿宋" w:hAnsi="仿宋" w:eastAsia="仿宋" w:cs="仿宋"/>
          <w:color w:val="auto"/>
          <w:sz w:val="32"/>
          <w:szCs w:val="32"/>
          <w:highlight w:val="none"/>
          <w:lang w:val="en-US" w:eastAsia="zh-CN"/>
        </w:rPr>
        <w:t>822.77</w:t>
      </w:r>
      <w:r>
        <w:rPr>
          <w:rFonts w:hint="eastAsia" w:ascii="仿宋" w:hAnsi="仿宋" w:eastAsia="仿宋" w:cs="仿宋"/>
          <w:color w:val="auto"/>
          <w:sz w:val="32"/>
          <w:szCs w:val="32"/>
          <w:highlight w:val="none"/>
        </w:rPr>
        <w:t>万元，其中：一般公共预算财政拨款收入</w:t>
      </w:r>
      <w:r>
        <w:rPr>
          <w:rFonts w:hint="eastAsia" w:ascii="仿宋" w:hAnsi="仿宋" w:eastAsia="仿宋" w:cs="仿宋"/>
          <w:color w:val="auto"/>
          <w:sz w:val="32"/>
          <w:szCs w:val="32"/>
          <w:highlight w:val="none"/>
          <w:lang w:val="en-US" w:eastAsia="zh-CN"/>
        </w:rPr>
        <w:t>822.77</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bookmarkEnd w:id="36"/>
      <w:bookmarkEnd w:id="37"/>
    </w:p>
    <w:p>
      <w:pPr>
        <w:pStyle w:val="2"/>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5"/>
        <w:bidi w:val="0"/>
        <w:rPr>
          <w:rFonts w:hint="eastAsia" w:ascii="仿宋" w:hAnsi="仿宋" w:eastAsia="仿宋" w:cs="仿宋"/>
          <w:color w:val="auto"/>
          <w:highlight w:val="none"/>
        </w:rPr>
      </w:pPr>
      <w:bookmarkStart w:id="38" w:name="_Toc15377207"/>
      <w:bookmarkStart w:id="39" w:name="_Toc15396605"/>
      <w:bookmarkStart w:id="40" w:name="_Toc2775"/>
      <w:r>
        <w:rPr>
          <w:rFonts w:hint="eastAsia" w:ascii="仿宋" w:hAnsi="仿宋" w:eastAsia="仿宋" w:cs="仿宋"/>
          <w:color w:val="auto"/>
          <w:highlight w:val="none"/>
          <w:lang w:eastAsia="zh-CN"/>
        </w:rPr>
        <w:t>三、</w:t>
      </w:r>
      <w:r>
        <w:rPr>
          <w:rFonts w:hint="eastAsia" w:ascii="仿宋" w:hAnsi="仿宋" w:eastAsia="仿宋" w:cs="仿宋"/>
          <w:color w:val="auto"/>
          <w:highlight w:val="none"/>
        </w:rPr>
        <w:t>支出决算情况说明</w:t>
      </w:r>
      <w:bookmarkEnd w:id="38"/>
      <w:bookmarkEnd w:id="39"/>
      <w:bookmarkEnd w:id="40"/>
    </w:p>
    <w:p>
      <w:pPr>
        <w:spacing w:line="600" w:lineRule="exact"/>
        <w:ind w:firstLine="640" w:firstLineChars="200"/>
        <w:outlineLvl w:val="1"/>
        <w:rPr>
          <w:rFonts w:hint="eastAsia" w:ascii="仿宋" w:hAnsi="仿宋" w:eastAsia="仿宋" w:cs="仿宋"/>
          <w:color w:val="auto"/>
          <w:sz w:val="32"/>
          <w:szCs w:val="32"/>
          <w:highlight w:val="none"/>
        </w:rPr>
      </w:pPr>
      <w:bookmarkStart w:id="41" w:name="_Toc6817"/>
      <w:bookmarkStart w:id="42" w:name="_Toc30363"/>
      <w:r>
        <w:rPr>
          <w:rFonts w:hint="eastAsia" w:ascii="仿宋" w:hAnsi="仿宋" w:eastAsia="仿宋" w:cs="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s="仿宋"/>
          <w:color w:val="auto"/>
          <w:sz w:val="32"/>
          <w:szCs w:val="32"/>
          <w:highlight w:val="none"/>
        </w:rPr>
        <w:t>2021年本年支出合计</w:t>
      </w:r>
      <w:r>
        <w:rPr>
          <w:rFonts w:hint="eastAsia" w:ascii="仿宋" w:hAnsi="仿宋" w:eastAsia="仿宋" w:cs="仿宋"/>
          <w:color w:val="auto"/>
          <w:sz w:val="32"/>
          <w:szCs w:val="32"/>
          <w:highlight w:val="none"/>
          <w:lang w:eastAsia="zh-CN"/>
        </w:rPr>
        <w:t>822.77</w:t>
      </w:r>
      <w:r>
        <w:rPr>
          <w:rFonts w:hint="eastAsia" w:ascii="仿宋" w:hAnsi="仿宋" w:eastAsia="仿宋" w:cs="仿宋"/>
          <w:color w:val="auto"/>
          <w:sz w:val="32"/>
          <w:szCs w:val="32"/>
          <w:highlight w:val="none"/>
        </w:rPr>
        <w:t>万元，其中：基本支出</w:t>
      </w:r>
      <w:r>
        <w:rPr>
          <w:rFonts w:hint="eastAsia" w:ascii="仿宋" w:hAnsi="仿宋" w:eastAsia="仿宋" w:cs="仿宋"/>
          <w:color w:val="auto"/>
          <w:sz w:val="32"/>
          <w:szCs w:val="32"/>
          <w:highlight w:val="none"/>
          <w:lang w:eastAsia="zh-CN"/>
        </w:rPr>
        <w:t>522.77</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63.54</w:t>
      </w:r>
      <w:r>
        <w:rPr>
          <w:rFonts w:hint="eastAsia" w:ascii="仿宋" w:hAnsi="仿宋" w:eastAsia="仿宋" w:cs="仿宋"/>
          <w:color w:val="auto"/>
          <w:sz w:val="32"/>
          <w:szCs w:val="32"/>
          <w:highlight w:val="none"/>
        </w:rPr>
        <w:t>%；项目支出</w:t>
      </w:r>
      <w:r>
        <w:rPr>
          <w:rFonts w:hint="eastAsia" w:ascii="仿宋" w:hAnsi="仿宋" w:eastAsia="仿宋" w:cs="仿宋"/>
          <w:color w:val="auto"/>
          <w:sz w:val="32"/>
          <w:szCs w:val="32"/>
          <w:highlight w:val="none"/>
          <w:lang w:eastAsia="zh-CN"/>
        </w:rPr>
        <w:t>300.00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36.46</w:t>
      </w:r>
      <w:r>
        <w:rPr>
          <w:rFonts w:hint="eastAsia" w:ascii="仿宋" w:hAnsi="仿宋" w:eastAsia="仿宋" w:cs="仿宋"/>
          <w:color w:val="auto"/>
          <w:sz w:val="32"/>
          <w:szCs w:val="32"/>
          <w:highlight w:val="none"/>
        </w:rPr>
        <w:t>%。</w:t>
      </w:r>
      <w:bookmarkEnd w:id="41"/>
      <w:bookmarkEnd w:id="42"/>
    </w:p>
    <w:p>
      <w:pPr>
        <w:pStyle w:val="5"/>
        <w:bidi w:val="0"/>
        <w:rPr>
          <w:rFonts w:hint="eastAsia" w:ascii="仿宋" w:hAnsi="仿宋" w:eastAsia="仿宋" w:cs="仿宋"/>
          <w:color w:val="auto"/>
          <w:highlight w:val="none"/>
        </w:rPr>
      </w:pPr>
      <w:bookmarkStart w:id="43" w:name="_Toc15396606"/>
      <w:bookmarkStart w:id="44" w:name="_Toc15377208"/>
      <w:bookmarkStart w:id="45" w:name="_Toc12678"/>
      <w:r>
        <w:rPr>
          <w:rFonts w:hint="eastAsia" w:ascii="仿宋" w:hAnsi="仿宋" w:eastAsia="仿宋" w:cs="仿宋"/>
          <w:color w:val="auto"/>
          <w:highlight w:val="none"/>
        </w:rPr>
        <w:t>四、财政拨款收入支出决算总体情况说明</w:t>
      </w:r>
      <w:bookmarkEnd w:id="43"/>
      <w:bookmarkEnd w:id="44"/>
      <w:bookmarkEnd w:id="45"/>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2021年财政拨款收、支总计</w:t>
      </w:r>
      <w:r>
        <w:rPr>
          <w:rFonts w:hint="eastAsia" w:ascii="仿宋" w:hAnsi="仿宋" w:eastAsia="仿宋" w:cs="仿宋"/>
          <w:color w:val="auto"/>
          <w:sz w:val="32"/>
          <w:szCs w:val="32"/>
          <w:highlight w:val="none"/>
          <w:lang w:eastAsia="zh-CN"/>
        </w:rPr>
        <w:t>822.77</w:t>
      </w:r>
      <w:r>
        <w:rPr>
          <w:rFonts w:hint="eastAsia" w:ascii="仿宋" w:hAnsi="仿宋" w:eastAsia="仿宋" w:cs="仿宋"/>
          <w:color w:val="auto"/>
          <w:sz w:val="32"/>
          <w:szCs w:val="32"/>
          <w:highlight w:val="none"/>
        </w:rPr>
        <w:t>万元。与2020年相比，财政拨款收、支总计各</w:t>
      </w:r>
      <w:r>
        <w:rPr>
          <w:rFonts w:hint="eastAsia" w:ascii="仿宋" w:hAnsi="仿宋" w:eastAsia="仿宋" w:cs="仿宋"/>
          <w:color w:val="auto"/>
          <w:sz w:val="32"/>
          <w:szCs w:val="32"/>
          <w:highlight w:val="none"/>
          <w:lang w:eastAsia="zh-CN"/>
        </w:rPr>
        <w:t>减少48.93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增加6.32%</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基本支出增加</w:t>
      </w:r>
      <w:r>
        <w:rPr>
          <w:rFonts w:hint="eastAsia" w:ascii="仿宋" w:hAnsi="仿宋" w:eastAsia="仿宋" w:cs="仿宋"/>
          <w:color w:val="auto"/>
          <w:sz w:val="32"/>
          <w:szCs w:val="32"/>
          <w:highlight w:val="none"/>
        </w:rPr>
        <w:t>。</w:t>
      </w:r>
    </w:p>
    <w:p>
      <w:pPr>
        <w:pStyle w:val="2"/>
        <w:rPr>
          <w:rFonts w:hint="eastAsia" w:ascii="仿宋" w:hAnsi="仿宋" w:eastAsia="仿宋" w:cs="仿宋"/>
          <w:color w:val="auto"/>
          <w:highlight w:val="none"/>
        </w:rPr>
      </w:pPr>
      <w:r>
        <w:rPr>
          <w:rFonts w:hint="eastAsia" w:ascii="仿宋" w:hAnsi="仿宋" w:eastAsia="仿宋" w:cs="仿宋"/>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5"/>
        <w:bidi w:val="0"/>
        <w:rPr>
          <w:rFonts w:hint="eastAsia" w:ascii="仿宋" w:hAnsi="仿宋" w:eastAsia="仿宋" w:cs="仿宋"/>
          <w:color w:val="auto"/>
          <w:highlight w:val="none"/>
        </w:rPr>
      </w:pPr>
      <w:bookmarkStart w:id="46" w:name="_Toc16782"/>
      <w:bookmarkStart w:id="47" w:name="_Toc15396607"/>
      <w:bookmarkStart w:id="48" w:name="_Toc15377209"/>
      <w:r>
        <w:rPr>
          <w:rFonts w:hint="eastAsia" w:ascii="仿宋" w:hAnsi="仿宋" w:eastAsia="仿宋" w:cs="仿宋"/>
          <w:color w:val="auto"/>
          <w:highlight w:val="none"/>
        </w:rPr>
        <w:t>五、一般公共预算财政拨款支出决算情况说明</w:t>
      </w:r>
      <w:bookmarkEnd w:id="46"/>
      <w:bookmarkEnd w:id="47"/>
      <w:bookmarkEnd w:id="48"/>
    </w:p>
    <w:p>
      <w:pPr>
        <w:spacing w:line="600" w:lineRule="exact"/>
        <w:ind w:firstLine="643" w:firstLineChars="200"/>
        <w:outlineLvl w:val="2"/>
        <w:rPr>
          <w:rFonts w:hint="eastAsia" w:ascii="仿宋" w:hAnsi="仿宋" w:eastAsia="仿宋" w:cs="仿宋"/>
          <w:b/>
          <w:color w:val="auto"/>
          <w:sz w:val="32"/>
          <w:szCs w:val="32"/>
          <w:highlight w:val="none"/>
        </w:rPr>
      </w:pPr>
      <w:bookmarkStart w:id="49" w:name="_Toc15377210"/>
      <w:r>
        <w:rPr>
          <w:rFonts w:hint="eastAsia" w:ascii="仿宋" w:hAnsi="仿宋" w:eastAsia="仿宋" w:cs="仿宋"/>
          <w:b/>
          <w:color w:val="auto"/>
          <w:sz w:val="32"/>
          <w:szCs w:val="32"/>
          <w:highlight w:val="none"/>
        </w:rPr>
        <w:t>（一）一般公共预算财政拨款支出决算总体情况</w:t>
      </w:r>
      <w:bookmarkEnd w:id="49"/>
    </w:p>
    <w:p>
      <w:pPr>
        <w:spacing w:line="600" w:lineRule="exact"/>
        <w:ind w:firstLine="640"/>
        <w:rPr>
          <w:rFonts w:hint="eastAsia" w:ascii="仿宋" w:hAnsi="仿宋" w:eastAsia="仿宋" w:cs="仿宋"/>
          <w:b/>
          <w:color w:val="auto"/>
          <w:sz w:val="32"/>
          <w:szCs w:val="32"/>
          <w:highlight w:val="none"/>
          <w:lang w:eastAsia="zh-CN"/>
        </w:rPr>
      </w:pP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eastAsia="zh-CN"/>
        </w:rPr>
        <w:t>822.77</w:t>
      </w:r>
      <w:r>
        <w:rPr>
          <w:rFonts w:hint="eastAsia" w:ascii="仿宋" w:hAnsi="仿宋" w:eastAsia="仿宋" w:cs="仿宋"/>
          <w:color w:val="auto"/>
          <w:sz w:val="32"/>
          <w:szCs w:val="32"/>
          <w:highlight w:val="none"/>
        </w:rPr>
        <w:t>万元，占本年支出合计的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%。与2020年</w:t>
      </w:r>
      <w:r>
        <w:rPr>
          <w:rFonts w:hint="eastAsia" w:ascii="仿宋" w:hAnsi="仿宋" w:eastAsia="仿宋" w:cs="仿宋"/>
          <w:color w:val="auto"/>
          <w:sz w:val="32"/>
          <w:szCs w:val="32"/>
          <w:highlight w:val="none"/>
          <w:lang w:val="en-US" w:eastAsia="zh-CN"/>
        </w:rPr>
        <w:t>773.84</w:t>
      </w:r>
      <w:r>
        <w:rPr>
          <w:rFonts w:hint="eastAsia" w:ascii="仿宋" w:hAnsi="仿宋" w:eastAsia="仿宋" w:cs="仿宋"/>
          <w:color w:val="auto"/>
          <w:sz w:val="32"/>
          <w:szCs w:val="32"/>
          <w:highlight w:val="none"/>
          <w:lang w:eastAsia="zh-CN"/>
        </w:rPr>
        <w:t>万元</w:t>
      </w:r>
      <w:r>
        <w:rPr>
          <w:rFonts w:hint="eastAsia" w:ascii="仿宋" w:hAnsi="仿宋" w:eastAsia="仿宋" w:cs="仿宋"/>
          <w:color w:val="auto"/>
          <w:sz w:val="32"/>
          <w:szCs w:val="32"/>
          <w:highlight w:val="none"/>
        </w:rPr>
        <w:t>相比，一般公共预算财政拨款支出</w:t>
      </w:r>
      <w:r>
        <w:rPr>
          <w:rFonts w:hint="eastAsia" w:ascii="仿宋" w:hAnsi="仿宋" w:eastAsia="仿宋" w:cs="仿宋"/>
          <w:color w:val="auto"/>
          <w:sz w:val="32"/>
          <w:szCs w:val="32"/>
          <w:highlight w:val="none"/>
          <w:lang w:eastAsia="zh-CN"/>
        </w:rPr>
        <w:t>减少48.93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增加6.32%</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基本支出增加</w:t>
      </w:r>
      <w:r>
        <w:rPr>
          <w:rFonts w:hint="eastAsia" w:ascii="仿宋" w:hAnsi="仿宋" w:eastAsia="仿宋" w:cs="仿宋"/>
          <w:color w:val="auto"/>
          <w:sz w:val="32"/>
          <w:szCs w:val="32"/>
          <w:highlight w:val="none"/>
        </w:rPr>
        <w:t>。</w:t>
      </w:r>
    </w:p>
    <w:p>
      <w:pPr>
        <w:spacing w:line="600" w:lineRule="exact"/>
        <w:ind w:firstLine="643" w:firstLineChars="200"/>
        <w:outlineLvl w:val="2"/>
        <w:rPr>
          <w:rFonts w:hint="eastAsia" w:ascii="仿宋" w:hAnsi="仿宋" w:eastAsia="仿宋" w:cs="仿宋"/>
          <w:b/>
          <w:color w:val="auto"/>
          <w:sz w:val="32"/>
          <w:szCs w:val="32"/>
          <w:highlight w:val="none"/>
        </w:rPr>
      </w:pPr>
      <w:bookmarkStart w:id="50" w:name="_Toc15377211"/>
      <w:r>
        <w:rPr>
          <w:rFonts w:hint="eastAsia" w:ascii="仿宋" w:hAnsi="仿宋" w:eastAsia="仿宋" w:cs="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-10160</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s="仿宋"/>
          <w:b/>
          <w:color w:val="auto"/>
          <w:sz w:val="32"/>
          <w:szCs w:val="32"/>
          <w:highlight w:val="none"/>
        </w:rPr>
        <w:t>（二）一般公共预算财政拨款支出决算结构情况</w:t>
      </w:r>
      <w:bookmarkEnd w:id="50"/>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val="en-US" w:eastAsia="zh-CN"/>
        </w:rPr>
        <w:t>822.77</w:t>
      </w:r>
      <w:r>
        <w:rPr>
          <w:rFonts w:hint="eastAsia" w:ascii="仿宋" w:hAnsi="仿宋" w:eastAsia="仿宋" w:cs="仿宋"/>
          <w:color w:val="auto"/>
          <w:sz w:val="32"/>
          <w:szCs w:val="32"/>
          <w:highlight w:val="none"/>
        </w:rPr>
        <w:t>万元，主要用于以下方面:</w:t>
      </w:r>
      <w:r>
        <w:rPr>
          <w:rFonts w:hint="eastAsia" w:ascii="仿宋" w:hAnsi="仿宋" w:eastAsia="仿宋" w:cs="仿宋"/>
          <w:b/>
          <w:color w:val="auto"/>
          <w:sz w:val="32"/>
          <w:szCs w:val="32"/>
          <w:highlight w:val="none"/>
        </w:rPr>
        <w:t>教育支出（类）</w:t>
      </w:r>
      <w:r>
        <w:rPr>
          <w:rFonts w:hint="eastAsia" w:ascii="仿宋" w:hAnsi="仿宋" w:eastAsia="仿宋" w:cs="仿宋"/>
          <w:color w:val="auto"/>
          <w:sz w:val="32"/>
          <w:szCs w:val="32"/>
          <w:highlight w:val="none"/>
          <w:lang w:val="en-US" w:eastAsia="zh-CN"/>
        </w:rPr>
        <w:t>822.77</w:t>
      </w:r>
      <w:r>
        <w:rPr>
          <w:rFonts w:hint="eastAsia" w:ascii="仿宋" w:hAnsi="仿宋" w:eastAsia="仿宋" w:cs="仿宋"/>
          <w:color w:val="auto"/>
          <w:sz w:val="32"/>
          <w:szCs w:val="32"/>
          <w:highlight w:val="none"/>
        </w:rPr>
        <w:t>万元，占100%。</w:t>
      </w:r>
    </w:p>
    <w:p>
      <w:pPr>
        <w:spacing w:line="600" w:lineRule="exact"/>
        <w:ind w:left="0" w:leftChars="0" w:firstLine="643" w:firstLineChars="200"/>
        <w:rPr>
          <w:rFonts w:hint="eastAsia" w:ascii="仿宋" w:hAnsi="仿宋" w:eastAsia="仿宋" w:cs="仿宋"/>
          <w:b/>
          <w:color w:val="auto"/>
          <w:sz w:val="32"/>
          <w:szCs w:val="32"/>
          <w:highlight w:val="none"/>
        </w:rPr>
      </w:pPr>
      <w:bookmarkStart w:id="51" w:name="_Toc15377212"/>
      <w:r>
        <w:rPr>
          <w:rFonts w:hint="eastAsia" w:ascii="仿宋" w:hAnsi="仿宋" w:eastAsia="仿宋" w:cs="仿宋"/>
          <w:b/>
          <w:color w:val="auto"/>
          <w:sz w:val="32"/>
          <w:szCs w:val="32"/>
          <w:highlight w:val="none"/>
        </w:rPr>
        <w:t>（三）一般公共预算财政拨款支出决算具体情况</w:t>
      </w:r>
      <w:bookmarkEnd w:id="51"/>
    </w:p>
    <w:p>
      <w:pPr>
        <w:spacing w:line="600" w:lineRule="exact"/>
        <w:ind w:firstLine="643" w:firstLineChars="200"/>
        <w:outlineLvl w:val="2"/>
        <w:rPr>
          <w:rFonts w:hint="eastAsia" w:ascii="仿宋" w:hAnsi="仿宋" w:eastAsia="仿宋" w:cs="仿宋"/>
          <w:color w:val="auto"/>
          <w:sz w:val="32"/>
          <w:szCs w:val="32"/>
          <w:highlight w:val="none"/>
        </w:rPr>
      </w:pPr>
      <w:bookmarkStart w:id="52" w:name="_Toc15377444"/>
      <w:bookmarkStart w:id="53" w:name="_Toc15377213"/>
      <w:bookmarkStart w:id="54" w:name="_Toc15378460"/>
      <w:r>
        <w:rPr>
          <w:rFonts w:hint="eastAsia" w:ascii="仿宋" w:hAnsi="仿宋" w:eastAsia="仿宋" w:cs="仿宋"/>
          <w:b/>
          <w:color w:val="auto"/>
          <w:sz w:val="32"/>
          <w:szCs w:val="32"/>
          <w:highlight w:val="none"/>
        </w:rPr>
        <w:t>2021年一般公共预算支出决算数为</w:t>
      </w:r>
      <w:r>
        <w:rPr>
          <w:rFonts w:hint="eastAsia" w:ascii="仿宋" w:hAnsi="仿宋" w:eastAsia="仿宋" w:cs="仿宋"/>
          <w:b/>
          <w:color w:val="auto"/>
          <w:sz w:val="32"/>
          <w:szCs w:val="32"/>
          <w:highlight w:val="none"/>
          <w:lang w:val="en-US" w:eastAsia="zh-CN"/>
        </w:rPr>
        <w:t>822.77万元</w:t>
      </w:r>
      <w:r>
        <w:rPr>
          <w:rFonts w:hint="eastAsia" w:ascii="仿宋" w:hAnsi="仿宋" w:eastAsia="仿宋" w:cs="仿宋"/>
          <w:color w:val="auto"/>
          <w:sz w:val="32"/>
          <w:szCs w:val="32"/>
          <w:highlight w:val="none"/>
        </w:rPr>
        <w:t>，</w:t>
      </w:r>
      <w:r>
        <w:rPr>
          <w:rStyle w:val="19"/>
          <w:rFonts w:hint="eastAsia" w:ascii="仿宋" w:hAnsi="仿宋" w:eastAsia="仿宋" w:cs="仿宋"/>
          <w:bCs/>
          <w:color w:val="auto"/>
          <w:sz w:val="32"/>
          <w:szCs w:val="32"/>
          <w:highlight w:val="none"/>
        </w:rPr>
        <w:t>完成预算100%。其中：</w:t>
      </w:r>
      <w:bookmarkEnd w:id="52"/>
      <w:bookmarkEnd w:id="53"/>
      <w:bookmarkEnd w:id="54"/>
    </w:p>
    <w:p>
      <w:pPr>
        <w:spacing w:line="600" w:lineRule="exact"/>
        <w:ind w:firstLine="643" w:firstLineChars="200"/>
        <w:rPr>
          <w:rFonts w:hint="eastAsia" w:ascii="仿宋" w:hAnsi="仿宋" w:eastAsia="仿宋" w:cs="仿宋"/>
          <w:b/>
          <w:color w:val="auto"/>
          <w:sz w:val="32"/>
          <w:szCs w:val="32"/>
          <w:highlight w:val="none"/>
        </w:rPr>
      </w:pPr>
      <w:r>
        <w:rPr>
          <w:rStyle w:val="19"/>
          <w:rFonts w:hint="eastAsia" w:ascii="仿宋" w:hAnsi="仿宋" w:eastAsia="仿宋" w:cs="仿宋"/>
          <w:bCs/>
          <w:color w:val="auto"/>
          <w:sz w:val="32"/>
          <w:szCs w:val="32"/>
          <w:highlight w:val="none"/>
        </w:rPr>
        <w:t>1.教育205（类）普通教育02（款）</w:t>
      </w:r>
      <w:r>
        <w:rPr>
          <w:rStyle w:val="19"/>
          <w:rFonts w:hint="eastAsia" w:ascii="仿宋" w:hAnsi="仿宋" w:eastAsia="仿宋" w:cs="仿宋"/>
          <w:bCs/>
          <w:color w:val="auto"/>
          <w:sz w:val="32"/>
          <w:szCs w:val="32"/>
          <w:highlight w:val="none"/>
          <w:lang w:eastAsia="zh-CN"/>
        </w:rPr>
        <w:t>小学</w:t>
      </w:r>
      <w:r>
        <w:rPr>
          <w:rStyle w:val="19"/>
          <w:rFonts w:hint="eastAsia" w:ascii="仿宋" w:hAnsi="仿宋" w:eastAsia="仿宋" w:cs="仿宋"/>
          <w:bCs/>
          <w:color w:val="auto"/>
          <w:sz w:val="32"/>
          <w:szCs w:val="32"/>
          <w:highlight w:val="none"/>
        </w:rPr>
        <w:t>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eastAsia="zh-CN"/>
        </w:rPr>
        <w:t>522.77</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pPr>
        <w:spacing w:line="600" w:lineRule="exact"/>
        <w:ind w:firstLine="643" w:firstLineChars="200"/>
        <w:rPr>
          <w:rStyle w:val="19"/>
          <w:rFonts w:hint="eastAsia" w:ascii="仿宋" w:hAnsi="仿宋" w:eastAsia="仿宋" w:cs="仿宋"/>
          <w:b w:val="0"/>
          <w:bCs/>
          <w:color w:val="auto"/>
          <w:sz w:val="32"/>
          <w:szCs w:val="32"/>
          <w:highlight w:val="none"/>
        </w:rPr>
      </w:pPr>
      <w:r>
        <w:rPr>
          <w:rStyle w:val="19"/>
          <w:rFonts w:hint="eastAsia" w:ascii="仿宋" w:hAnsi="仿宋" w:eastAsia="仿宋" w:cs="仿宋"/>
          <w:bCs/>
          <w:color w:val="auto"/>
          <w:sz w:val="32"/>
          <w:szCs w:val="32"/>
          <w:highlight w:val="none"/>
        </w:rPr>
        <w:t>2.教育205（类）普通教育0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（款）</w:t>
      </w:r>
      <w:r>
        <w:rPr>
          <w:rStyle w:val="19"/>
          <w:rFonts w:hint="eastAsia" w:ascii="仿宋" w:hAnsi="仿宋" w:eastAsia="仿宋" w:cs="仿宋"/>
          <w:bCs/>
          <w:color w:val="auto"/>
          <w:sz w:val="32"/>
          <w:szCs w:val="32"/>
          <w:highlight w:val="none"/>
          <w:lang w:eastAsia="zh-CN"/>
        </w:rPr>
        <w:t>其他普通教育支出</w:t>
      </w:r>
      <w:r>
        <w:rPr>
          <w:rStyle w:val="19"/>
          <w:rFonts w:hint="eastAsia" w:ascii="仿宋" w:hAnsi="仿宋" w:eastAsia="仿宋" w:cs="仿宋"/>
          <w:bCs/>
          <w:color w:val="auto"/>
          <w:sz w:val="32"/>
          <w:szCs w:val="32"/>
          <w:highlight w:val="none"/>
        </w:rPr>
        <w:t>0</w:t>
      </w:r>
      <w:r>
        <w:rPr>
          <w:rStyle w:val="19"/>
          <w:rFonts w:hint="eastAsia" w:ascii="仿宋" w:hAnsi="仿宋" w:eastAsia="仿宋" w:cs="仿宋"/>
          <w:bCs/>
          <w:color w:val="auto"/>
          <w:sz w:val="32"/>
          <w:szCs w:val="32"/>
          <w:highlight w:val="none"/>
          <w:lang w:val="en-US" w:eastAsia="zh-CN"/>
        </w:rPr>
        <w:t>9</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val="en-US" w:eastAsia="zh-CN"/>
        </w:rPr>
        <w:t>300.00</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pPr>
        <w:pStyle w:val="2"/>
        <w:rPr>
          <w:rFonts w:hint="eastAsia" w:ascii="仿宋" w:hAnsi="仿宋" w:eastAsia="仿宋" w:cs="仿宋"/>
          <w:color w:val="auto"/>
          <w:highlight w:val="none"/>
        </w:rPr>
      </w:pPr>
    </w:p>
    <w:p>
      <w:pPr>
        <w:pStyle w:val="5"/>
        <w:bidi w:val="0"/>
        <w:rPr>
          <w:rFonts w:hint="eastAsia" w:ascii="仿宋" w:hAnsi="仿宋" w:eastAsia="仿宋" w:cs="仿宋"/>
          <w:color w:val="auto"/>
          <w:highlight w:val="none"/>
        </w:rPr>
      </w:pPr>
      <w:bookmarkStart w:id="55" w:name="_Toc23757"/>
      <w:bookmarkStart w:id="56" w:name="_Toc15396608"/>
      <w:bookmarkStart w:id="57" w:name="_Toc15377214"/>
      <w:r>
        <w:rPr>
          <w:rFonts w:hint="eastAsia" w:ascii="仿宋" w:hAnsi="仿宋" w:eastAsia="仿宋" w:cs="仿宋"/>
          <w:color w:val="auto"/>
          <w:highlight w:val="none"/>
        </w:rPr>
        <w:t>六、一般公共预算财政拨款基本支出决算情况说明</w:t>
      </w:r>
      <w:bookmarkEnd w:id="55"/>
      <w:bookmarkEnd w:id="56"/>
      <w:bookmarkEnd w:id="57"/>
      <w:r>
        <w:rPr>
          <w:rFonts w:hint="eastAsia" w:ascii="仿宋" w:hAnsi="仿宋" w:eastAsia="仿宋" w:cs="仿宋"/>
          <w:color w:val="auto"/>
          <w:highlight w:val="none"/>
        </w:rPr>
        <w:tab/>
      </w:r>
    </w:p>
    <w:p>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2021年一般公共预算财政拨款基本支出</w:t>
      </w:r>
      <w:r>
        <w:rPr>
          <w:rFonts w:hint="eastAsia" w:ascii="仿宋" w:hAnsi="仿宋" w:eastAsia="仿宋" w:cs="仿宋"/>
          <w:color w:val="auto"/>
          <w:sz w:val="32"/>
          <w:szCs w:val="32"/>
          <w:highlight w:val="none"/>
          <w:lang w:eastAsia="zh-CN"/>
        </w:rPr>
        <w:t>522.77</w:t>
      </w:r>
      <w:r>
        <w:rPr>
          <w:rFonts w:hint="eastAsia" w:ascii="仿宋" w:hAnsi="仿宋" w:eastAsia="仿宋" w:cs="仿宋"/>
          <w:color w:val="auto"/>
          <w:sz w:val="32"/>
          <w:szCs w:val="32"/>
          <w:highlight w:val="none"/>
        </w:rPr>
        <w:t>万元，其中：</w:t>
      </w:r>
    </w:p>
    <w:p>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人员经费</w:t>
      </w:r>
      <w:r>
        <w:rPr>
          <w:rFonts w:hint="eastAsia" w:ascii="仿宋" w:hAnsi="仿宋" w:eastAsia="仿宋" w:cs="仿宋"/>
          <w:color w:val="auto"/>
          <w:sz w:val="32"/>
          <w:szCs w:val="32"/>
          <w:highlight w:val="none"/>
          <w:lang w:val="en-US" w:eastAsia="zh-CN"/>
        </w:rPr>
        <w:t>429.41</w:t>
      </w:r>
      <w:r>
        <w:rPr>
          <w:rFonts w:hint="eastAsia" w:ascii="仿宋" w:hAnsi="仿宋" w:eastAsia="仿宋" w:cs="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其他社会保障缴费、其他工资福利支出、生活补助、助学金</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奖励金、住房公积金等。</w:t>
      </w:r>
    </w:p>
    <w:p>
      <w:pPr>
        <w:spacing w:line="600" w:lineRule="exact"/>
        <w:ind w:firstLine="645"/>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公用经费</w:t>
      </w:r>
      <w:r>
        <w:rPr>
          <w:rFonts w:hint="eastAsia" w:ascii="仿宋" w:hAnsi="仿宋" w:eastAsia="仿宋" w:cs="仿宋"/>
          <w:color w:val="auto"/>
          <w:sz w:val="32"/>
          <w:szCs w:val="32"/>
          <w:highlight w:val="none"/>
          <w:lang w:val="en-US" w:eastAsia="zh-CN"/>
        </w:rPr>
        <w:t>93.36</w:t>
      </w:r>
      <w:r>
        <w:rPr>
          <w:rFonts w:hint="eastAsia" w:ascii="仿宋" w:hAnsi="仿宋" w:eastAsia="仿宋" w:cs="仿宋"/>
          <w:color w:val="auto"/>
          <w:sz w:val="32"/>
          <w:szCs w:val="32"/>
          <w:highlight w:val="none"/>
        </w:rPr>
        <w:t>万元，主要包括：办公费、印刷费、手续费、水费、电费、邮电费、差旅费、维修（护）费、培训费、公务接待费、工会经费等。</w:t>
      </w:r>
    </w:p>
    <w:p>
      <w:pPr>
        <w:pStyle w:val="5"/>
        <w:bidi w:val="0"/>
        <w:rPr>
          <w:rFonts w:hint="eastAsia" w:ascii="仿宋" w:hAnsi="仿宋" w:eastAsia="仿宋" w:cs="仿宋"/>
          <w:color w:val="auto"/>
          <w:highlight w:val="none"/>
        </w:rPr>
      </w:pPr>
      <w:bookmarkStart w:id="58" w:name="_Toc15377215"/>
      <w:bookmarkStart w:id="59" w:name="_Toc15396609"/>
      <w:bookmarkStart w:id="60" w:name="_Toc16373"/>
      <w:r>
        <w:rPr>
          <w:rFonts w:hint="eastAsia" w:ascii="仿宋" w:hAnsi="仿宋" w:eastAsia="仿宋" w:cs="仿宋"/>
          <w:color w:val="auto"/>
          <w:highlight w:val="none"/>
        </w:rPr>
        <w:t>七、“三公”经费财政拨款支出决算情况说明</w:t>
      </w:r>
      <w:bookmarkEnd w:id="58"/>
      <w:bookmarkEnd w:id="59"/>
      <w:bookmarkEnd w:id="60"/>
    </w:p>
    <w:p>
      <w:pPr>
        <w:spacing w:line="600" w:lineRule="exact"/>
        <w:ind w:firstLine="640"/>
        <w:outlineLvl w:val="2"/>
        <w:rPr>
          <w:rFonts w:hint="eastAsia" w:ascii="仿宋" w:hAnsi="仿宋" w:eastAsia="仿宋" w:cs="仿宋"/>
          <w:b/>
          <w:color w:val="auto"/>
          <w:sz w:val="32"/>
          <w:szCs w:val="32"/>
          <w:highlight w:val="none"/>
        </w:rPr>
      </w:pPr>
      <w:bookmarkStart w:id="61" w:name="_Toc15377216"/>
      <w:r>
        <w:rPr>
          <w:rFonts w:hint="eastAsia" w:ascii="仿宋" w:hAnsi="仿宋" w:eastAsia="仿宋" w:cs="仿宋"/>
          <w:b/>
          <w:color w:val="auto"/>
          <w:sz w:val="32"/>
          <w:szCs w:val="32"/>
          <w:highlight w:val="none"/>
        </w:rPr>
        <w:t>（一）“三公”经费财政拨款支出决算总体情况说明</w:t>
      </w:r>
      <w:bookmarkEnd w:id="61"/>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2021年“三公”经费财政拨款支出决算为</w:t>
      </w:r>
      <w:r>
        <w:rPr>
          <w:rFonts w:hint="eastAsia" w:ascii="仿宋" w:hAnsi="仿宋" w:eastAsia="仿宋" w:cs="仿宋"/>
          <w:color w:val="auto"/>
          <w:sz w:val="32"/>
          <w:szCs w:val="32"/>
          <w:highlight w:val="none"/>
          <w:lang w:val="en-US" w:eastAsia="zh-CN"/>
        </w:rPr>
        <w:t>0.64</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94.11%</w:t>
      </w:r>
      <w:r>
        <w:rPr>
          <w:rFonts w:hint="eastAsia" w:ascii="仿宋" w:hAnsi="仿宋" w:eastAsia="仿宋" w:cs="仿宋"/>
          <w:color w:val="auto"/>
          <w:sz w:val="32"/>
          <w:szCs w:val="32"/>
          <w:highlight w:val="none"/>
        </w:rPr>
        <w:t>，主要原因是</w:t>
      </w:r>
      <w:r>
        <w:rPr>
          <w:rFonts w:hint="eastAsia" w:ascii="仿宋" w:hAnsi="仿宋" w:eastAsia="仿宋" w:cs="仿宋"/>
          <w:color w:val="auto"/>
          <w:sz w:val="32"/>
          <w:szCs w:val="32"/>
          <w:highlight w:val="none"/>
          <w:lang w:eastAsia="zh-CN"/>
        </w:rPr>
        <w:t>认真贯彻落实中央八项规定精神，采取有效措施严格控制接待范围和接待标准</w:t>
      </w:r>
      <w:r>
        <w:rPr>
          <w:rFonts w:hint="eastAsia" w:ascii="仿宋" w:hAnsi="仿宋" w:eastAsia="仿宋" w:cs="仿宋"/>
          <w:color w:val="auto"/>
          <w:sz w:val="32"/>
          <w:szCs w:val="32"/>
          <w:highlight w:val="none"/>
        </w:rPr>
        <w:t>。</w:t>
      </w:r>
    </w:p>
    <w:p>
      <w:pPr>
        <w:spacing w:line="600" w:lineRule="exact"/>
        <w:ind w:firstLine="640"/>
        <w:outlineLvl w:val="2"/>
        <w:rPr>
          <w:rFonts w:hint="eastAsia" w:ascii="仿宋" w:hAnsi="仿宋" w:eastAsia="仿宋" w:cs="仿宋"/>
          <w:b/>
          <w:color w:val="auto"/>
          <w:sz w:val="32"/>
          <w:szCs w:val="32"/>
          <w:highlight w:val="none"/>
        </w:rPr>
      </w:pPr>
      <w:bookmarkStart w:id="62" w:name="_Toc15377217"/>
      <w:r>
        <w:rPr>
          <w:rFonts w:hint="eastAsia" w:ascii="仿宋" w:hAnsi="仿宋" w:eastAsia="仿宋" w:cs="仿宋"/>
          <w:b/>
          <w:color w:val="auto"/>
          <w:sz w:val="32"/>
          <w:szCs w:val="32"/>
          <w:highlight w:val="none"/>
        </w:rPr>
        <w:t>（二）“三公”经费财政拨款支出决算具体情况说明</w:t>
      </w:r>
      <w:bookmarkEnd w:id="62"/>
    </w:p>
    <w:p>
      <w:pP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2021年“三公”经费财政拨款支出决算中，因公出国（境）费支出决算0万元，当年未安排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；公务用车购置及运行维护费支出决算0万元，当年未安排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val="en-US" w:eastAsia="zh-CN"/>
        </w:rPr>
        <w:t>0.64</w:t>
      </w:r>
      <w:r>
        <w:rPr>
          <w:rFonts w:hint="eastAsia" w:ascii="仿宋" w:hAnsi="仿宋" w:eastAsia="仿宋" w:cs="仿宋"/>
          <w:color w:val="auto"/>
          <w:sz w:val="32"/>
          <w:szCs w:val="32"/>
          <w:highlight w:val="none"/>
        </w:rPr>
        <w:t>万元，占100%。具体情况如下：</w:t>
      </w:r>
    </w:p>
    <w:p>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s="仿宋"/>
          <w:b/>
          <w:bCs w:val="0"/>
          <w:color w:val="auto"/>
          <w:kern w:val="2"/>
          <w:sz w:val="32"/>
          <w:szCs w:val="32"/>
          <w:highlight w:val="none"/>
          <w:lang w:val="en-US" w:eastAsia="zh-CN" w:bidi="ar"/>
        </w:rPr>
        <w:t>1.因公出国（境）经费支出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b/>
          <w:bCs w:val="0"/>
          <w:color w:val="auto"/>
          <w:kern w:val="2"/>
          <w:sz w:val="32"/>
          <w:szCs w:val="32"/>
          <w:highlight w:val="none"/>
          <w:lang w:val="en-US" w:eastAsia="zh-CN" w:bidi="ar"/>
        </w:rPr>
        <w:t>2.公务用车购置及运行维护费支出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bCs/>
          <w:color w:val="auto"/>
          <w:sz w:val="32"/>
          <w:szCs w:val="32"/>
          <w:highlight w:val="none"/>
          <w:lang w:val="en-US"/>
        </w:rPr>
      </w:pPr>
      <w:r>
        <w:rPr>
          <w:rFonts w:hint="eastAsia" w:ascii="仿宋" w:hAnsi="仿宋" w:eastAsia="仿宋" w:cs="仿宋"/>
          <w:b/>
          <w:bCs/>
          <w:color w:val="auto"/>
          <w:kern w:val="2"/>
          <w:sz w:val="32"/>
          <w:szCs w:val="32"/>
          <w:highlight w:val="none"/>
          <w:lang w:val="en-US" w:eastAsia="zh-CN" w:bidi="ar"/>
        </w:rPr>
        <w:t>其中：</w:t>
      </w:r>
      <w:r>
        <w:rPr>
          <w:rFonts w:hint="eastAsia" w:ascii="仿宋" w:hAnsi="仿宋" w:eastAsia="仿宋" w:cs="仿宋"/>
          <w:b/>
          <w:bCs w:val="0"/>
          <w:color w:val="auto"/>
          <w:kern w:val="2"/>
          <w:sz w:val="32"/>
          <w:szCs w:val="32"/>
          <w:highlight w:val="none"/>
          <w:lang w:val="en-US" w:eastAsia="zh-CN" w:bidi="ar"/>
        </w:rPr>
        <w:t>公务用车购置支出</w:t>
      </w:r>
      <w:r>
        <w:rPr>
          <w:rFonts w:hint="eastAsia" w:ascii="仿宋" w:hAnsi="仿宋" w:eastAsia="仿宋" w:cs="仿宋"/>
          <w:bCs/>
          <w:color w:val="auto"/>
          <w:kern w:val="2"/>
          <w:sz w:val="32"/>
          <w:szCs w:val="32"/>
          <w:highlight w:val="none"/>
          <w:lang w:val="en-US" w:eastAsia="zh-CN" w:bidi="ar"/>
        </w:rPr>
        <w:t>0万元。全年按规定更新购置公务用车0辆，</w:t>
      </w:r>
      <w:r>
        <w:rPr>
          <w:rFonts w:hint="eastAsia" w:ascii="仿宋" w:hAnsi="仿宋" w:eastAsia="仿宋" w:cs="仿宋"/>
          <w:color w:val="auto"/>
          <w:kern w:val="2"/>
          <w:sz w:val="32"/>
          <w:szCs w:val="32"/>
          <w:highlight w:val="none"/>
          <w:lang w:val="en-US" w:eastAsia="zh-CN" w:bidi="ar"/>
        </w:rPr>
        <w:t>主要原因是我单位未购置公务用车。</w:t>
      </w:r>
      <w:r>
        <w:rPr>
          <w:rFonts w:hint="eastAsia" w:ascii="仿宋" w:hAnsi="仿宋" w:eastAsia="仿宋" w:cs="仿宋"/>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color w:val="auto"/>
          <w:highlight w:val="none"/>
        </w:rPr>
      </w:pPr>
      <w:r>
        <w:rPr>
          <w:rFonts w:hint="eastAsia" w:ascii="仿宋" w:hAnsi="仿宋" w:eastAsia="仿宋" w:cs="仿宋"/>
          <w:b/>
          <w:bCs w:val="0"/>
          <w:color w:val="auto"/>
          <w:kern w:val="2"/>
          <w:sz w:val="32"/>
          <w:szCs w:val="32"/>
          <w:highlight w:val="none"/>
          <w:lang w:val="en-US" w:eastAsia="zh-CN" w:bidi="ar"/>
        </w:rPr>
        <w:t>公务用车运行维护费支出</w:t>
      </w:r>
      <w:r>
        <w:rPr>
          <w:rFonts w:hint="eastAsia" w:ascii="仿宋" w:hAnsi="仿宋" w:eastAsia="仿宋" w:cs="仿宋"/>
          <w:color w:val="auto"/>
          <w:kern w:val="2"/>
          <w:sz w:val="32"/>
          <w:szCs w:val="32"/>
          <w:highlight w:val="none"/>
          <w:lang w:val="en-US" w:eastAsia="zh-CN" w:bidi="ar"/>
        </w:rPr>
        <w:t>0万元。主要原因是我单位无公务用车。</w:t>
      </w:r>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bCs w:val="0"/>
          <w:color w:val="auto"/>
          <w:sz w:val="32"/>
          <w:szCs w:val="32"/>
          <w:highlight w:val="none"/>
        </w:rPr>
        <w:t>3.公务接待费支出</w:t>
      </w:r>
      <w:r>
        <w:rPr>
          <w:rFonts w:hint="eastAsia" w:ascii="仿宋" w:hAnsi="仿宋" w:eastAsia="仿宋" w:cs="仿宋"/>
          <w:color w:val="auto"/>
          <w:sz w:val="32"/>
          <w:szCs w:val="32"/>
          <w:highlight w:val="none"/>
          <w:lang w:val="en-US" w:eastAsia="zh-CN"/>
        </w:rPr>
        <w:t>0.64</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94.11%</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0.03</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4.48</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。主要原因是认真贯彻落实中央八项规定精神，采取有效措施严格控制接待范围和接待标准</w:t>
      </w:r>
      <w:r>
        <w:rPr>
          <w:rFonts w:hint="eastAsia" w:ascii="仿宋" w:hAnsi="仿宋" w:eastAsia="仿宋" w:cs="仿宋"/>
          <w:color w:val="auto"/>
          <w:sz w:val="32"/>
          <w:szCs w:val="32"/>
          <w:highlight w:val="none"/>
        </w:rPr>
        <w:t>。其中：</w:t>
      </w:r>
    </w:p>
    <w:p>
      <w:pPr>
        <w:spacing w:line="600" w:lineRule="exact"/>
        <w:ind w:firstLine="640"/>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rPr>
        <w:t>国内公务接待支出</w:t>
      </w:r>
      <w:r>
        <w:rPr>
          <w:rFonts w:hint="eastAsia" w:ascii="仿宋" w:hAnsi="仿宋" w:eastAsia="仿宋" w:cs="仿宋"/>
          <w:color w:val="auto"/>
          <w:sz w:val="32"/>
          <w:szCs w:val="32"/>
          <w:highlight w:val="none"/>
          <w:lang w:val="en-US" w:eastAsia="zh-CN"/>
        </w:rPr>
        <w:t>0.64</w:t>
      </w:r>
      <w:r>
        <w:rPr>
          <w:rFonts w:hint="eastAsia" w:ascii="仿宋" w:hAnsi="仿宋" w:eastAsia="仿宋" w:cs="仿宋"/>
          <w:color w:val="auto"/>
          <w:sz w:val="32"/>
          <w:szCs w:val="32"/>
          <w:highlight w:val="none"/>
        </w:rPr>
        <w:t>万元，主要用于</w:t>
      </w:r>
      <w:r>
        <w:rPr>
          <w:rFonts w:hint="eastAsia" w:ascii="仿宋" w:hAnsi="仿宋" w:eastAsia="仿宋" w:cs="仿宋"/>
          <w:color w:val="auto"/>
          <w:sz w:val="32"/>
          <w:szCs w:val="32"/>
          <w:highlight w:val="none"/>
          <w:lang w:eastAsia="zh-CN"/>
        </w:rPr>
        <w:t>接待上级来访、</w:t>
      </w:r>
      <w:r>
        <w:rPr>
          <w:rFonts w:hint="eastAsia" w:ascii="仿宋" w:hAnsi="仿宋" w:eastAsia="仿宋" w:cs="仿宋"/>
          <w:color w:val="auto"/>
          <w:kern w:val="2"/>
          <w:sz w:val="32"/>
          <w:szCs w:val="32"/>
          <w:highlight w:val="none"/>
          <w:lang w:val="en-US" w:eastAsia="zh-CN" w:bidi="ar"/>
        </w:rPr>
        <w:t>教育教学活动交流、</w:t>
      </w:r>
      <w:r>
        <w:rPr>
          <w:rFonts w:hint="eastAsia" w:ascii="仿宋" w:hAnsi="仿宋" w:eastAsia="仿宋" w:cs="仿宋"/>
          <w:color w:val="auto"/>
          <w:sz w:val="32"/>
          <w:szCs w:val="32"/>
          <w:highlight w:val="none"/>
          <w:lang w:val="en-US" w:eastAsia="zh-CN"/>
        </w:rPr>
        <w:t>学生活动费及运动会学生用餐、交通费、体检费等</w:t>
      </w:r>
      <w:r>
        <w:rPr>
          <w:rFonts w:hint="eastAsia" w:ascii="仿宋" w:hAnsi="仿宋" w:eastAsia="仿宋" w:cs="仿宋"/>
          <w:color w:val="auto"/>
          <w:sz w:val="32"/>
          <w:szCs w:val="32"/>
          <w:highlight w:val="none"/>
        </w:rPr>
        <w:t>。国内公务接待</w:t>
      </w:r>
      <w:r>
        <w:rPr>
          <w:rFonts w:hint="eastAsia" w:ascii="仿宋" w:hAnsi="仿宋" w:eastAsia="仿宋" w:cs="仿宋"/>
          <w:color w:val="auto"/>
          <w:sz w:val="32"/>
          <w:szCs w:val="32"/>
          <w:highlight w:val="none"/>
          <w:lang w:val="en-US" w:eastAsia="zh-CN"/>
        </w:rPr>
        <w:t>35</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118</w:t>
      </w:r>
      <w:r>
        <w:rPr>
          <w:rFonts w:hint="eastAsia" w:ascii="仿宋" w:hAnsi="仿宋" w:eastAsia="仿宋" w:cs="仿宋"/>
          <w:color w:val="auto"/>
          <w:sz w:val="32"/>
          <w:szCs w:val="32"/>
          <w:highlight w:val="none"/>
        </w:rPr>
        <w:t>人次（不包括陪同人员），共计支出</w:t>
      </w:r>
      <w:r>
        <w:rPr>
          <w:rFonts w:hint="eastAsia" w:ascii="仿宋" w:hAnsi="仿宋" w:eastAsia="仿宋" w:cs="仿宋"/>
          <w:color w:val="auto"/>
          <w:sz w:val="32"/>
          <w:szCs w:val="32"/>
          <w:highlight w:val="none"/>
          <w:lang w:val="en-US" w:eastAsia="zh-CN"/>
        </w:rPr>
        <w:t>0.64</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，具体内容包括接待上级来访</w:t>
      </w:r>
      <w:r>
        <w:rPr>
          <w:rFonts w:hint="eastAsia" w:ascii="仿宋" w:hAnsi="仿宋" w:eastAsia="仿宋" w:cs="仿宋"/>
          <w:color w:val="auto"/>
          <w:sz w:val="32"/>
          <w:szCs w:val="32"/>
          <w:highlight w:val="none"/>
          <w:lang w:val="en-US" w:eastAsia="zh-CN"/>
        </w:rPr>
        <w:t>0.2万元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kern w:val="2"/>
          <w:sz w:val="32"/>
          <w:szCs w:val="32"/>
          <w:highlight w:val="none"/>
          <w:lang w:val="en-US" w:eastAsia="zh-CN" w:bidi="ar"/>
        </w:rPr>
        <w:t>教育教学活动交流0.24万元、</w:t>
      </w:r>
      <w:r>
        <w:rPr>
          <w:rFonts w:hint="eastAsia" w:ascii="仿宋" w:hAnsi="仿宋" w:eastAsia="仿宋" w:cs="仿宋"/>
          <w:color w:val="auto"/>
          <w:sz w:val="32"/>
          <w:szCs w:val="32"/>
          <w:highlight w:val="none"/>
          <w:lang w:val="en-US" w:eastAsia="zh-CN"/>
        </w:rPr>
        <w:t>学生活动费及运动会学生用餐、交通费、体检费等0.2万元。</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外事接待支出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人，共计支出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万元。外事接待支出</w:t>
      </w:r>
      <w:r>
        <w:rPr>
          <w:rFonts w:hint="eastAsia" w:ascii="仿宋" w:hAnsi="仿宋" w:eastAsia="仿宋" w:cs="仿宋"/>
          <w:color w:val="auto"/>
          <w:kern w:val="2"/>
          <w:sz w:val="32"/>
          <w:szCs w:val="32"/>
          <w:highlight w:val="none"/>
          <w:lang w:val="en-US" w:eastAsia="zh-CN" w:bidi="ar"/>
        </w:rPr>
        <w:t>决算与2020年持平</w:t>
      </w:r>
      <w:r>
        <w:rPr>
          <w:rFonts w:hint="eastAsia" w:ascii="仿宋" w:hAnsi="仿宋" w:eastAsia="仿宋" w:cs="仿宋"/>
          <w:color w:val="auto"/>
          <w:sz w:val="32"/>
          <w:szCs w:val="32"/>
          <w:highlight w:val="none"/>
        </w:rPr>
        <w:t>。</w:t>
      </w:r>
    </w:p>
    <w:p>
      <w:pPr>
        <w:pStyle w:val="5"/>
        <w:bidi w:val="0"/>
        <w:rPr>
          <w:rFonts w:hint="eastAsia" w:ascii="仿宋" w:hAnsi="仿宋" w:eastAsia="仿宋" w:cs="仿宋"/>
          <w:color w:val="auto"/>
          <w:highlight w:val="none"/>
        </w:rPr>
      </w:pPr>
      <w:bookmarkStart w:id="63" w:name="_Toc15396610"/>
      <w:bookmarkStart w:id="64" w:name="_Toc29438"/>
      <w:bookmarkStart w:id="65" w:name="_Toc15377218"/>
      <w:r>
        <w:rPr>
          <w:rFonts w:hint="eastAsia" w:ascii="仿宋" w:hAnsi="仿宋" w:eastAsia="仿宋" w:cs="仿宋"/>
          <w:color w:val="auto"/>
          <w:highlight w:val="none"/>
        </w:rPr>
        <w:t>八、政府性基金预算支出决算情况说明</w:t>
      </w:r>
      <w:bookmarkEnd w:id="63"/>
      <w:bookmarkEnd w:id="64"/>
      <w:bookmarkEnd w:id="65"/>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2021年政府性基金预算财政拨款支出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万元。202</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年本单位未在政府性基金预算拨款安排“三公”经费支出。</w:t>
      </w:r>
    </w:p>
    <w:p>
      <w:pPr>
        <w:pStyle w:val="2"/>
        <w:rPr>
          <w:rFonts w:hint="eastAsia" w:ascii="仿宋" w:hAnsi="仿宋" w:eastAsia="仿宋" w:cs="仿宋"/>
          <w:color w:val="auto"/>
          <w:highlight w:val="none"/>
        </w:rPr>
      </w:pPr>
    </w:p>
    <w:p>
      <w:pPr>
        <w:pStyle w:val="5"/>
        <w:numPr>
          <w:ilvl w:val="0"/>
          <w:numId w:val="4"/>
        </w:numPr>
        <w:bidi w:val="0"/>
        <w:rPr>
          <w:rFonts w:hint="eastAsia" w:ascii="仿宋" w:hAnsi="仿宋" w:eastAsia="仿宋" w:cs="仿宋"/>
          <w:color w:val="auto"/>
          <w:highlight w:val="none"/>
        </w:rPr>
      </w:pPr>
      <w:bookmarkStart w:id="66" w:name="_Toc15377219"/>
      <w:bookmarkStart w:id="67" w:name="_Toc15396611"/>
      <w:bookmarkStart w:id="68" w:name="_Toc4818"/>
      <w:r>
        <w:rPr>
          <w:rFonts w:hint="eastAsia" w:ascii="仿宋" w:hAnsi="仿宋" w:eastAsia="仿宋" w:cs="仿宋"/>
          <w:color w:val="auto"/>
          <w:highlight w:val="none"/>
        </w:rPr>
        <w:t>国有资本经营预算支出决算情况说明</w:t>
      </w:r>
      <w:bookmarkEnd w:id="66"/>
      <w:bookmarkEnd w:id="67"/>
      <w:bookmarkEnd w:id="68"/>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2021年国有资本经营预算财政拨款支出0万元，年初未安排预算。</w:t>
      </w:r>
    </w:p>
    <w:p>
      <w:pPr>
        <w:pStyle w:val="5"/>
        <w:numPr>
          <w:ilvl w:val="0"/>
          <w:numId w:val="4"/>
        </w:numPr>
        <w:bidi w:val="0"/>
        <w:rPr>
          <w:rFonts w:hint="eastAsia" w:ascii="仿宋" w:hAnsi="仿宋" w:eastAsia="仿宋" w:cs="仿宋"/>
          <w:color w:val="auto"/>
          <w:highlight w:val="none"/>
        </w:rPr>
      </w:pPr>
      <w:bookmarkStart w:id="69" w:name="_Toc23871"/>
      <w:bookmarkStart w:id="70" w:name="_Toc15377221"/>
      <w:bookmarkStart w:id="71" w:name="_Toc15396612"/>
      <w:r>
        <w:rPr>
          <w:rFonts w:hint="eastAsia" w:ascii="仿宋" w:hAnsi="仿宋" w:eastAsia="仿宋" w:cs="仿宋"/>
          <w:color w:val="auto"/>
          <w:highlight w:val="none"/>
        </w:rPr>
        <w:t>预算绩效管理情况</w:t>
      </w:r>
      <w:bookmarkEnd w:id="69"/>
    </w:p>
    <w:p>
      <w:pPr>
        <w:spacing w:line="58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根据预算绩效管理要求，本单位在2021年度预算编制阶段，因无项目支出，故不涉及事前评估和项目绩效目标，预算执行过程中，</w:t>
      </w:r>
      <w:r>
        <w:rPr>
          <w:rFonts w:hint="eastAsia" w:ascii="仿宋" w:hAnsi="仿宋" w:eastAsia="仿宋" w:cs="仿宋"/>
          <w:color w:val="auto"/>
          <w:sz w:val="32"/>
          <w:szCs w:val="32"/>
          <w:highlight w:val="none"/>
          <w:lang w:eastAsia="zh-CN"/>
        </w:rPr>
        <w:t>对追加预算校舍维修项目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，并</w:t>
      </w:r>
      <w:r>
        <w:rPr>
          <w:rFonts w:hint="eastAsia" w:ascii="仿宋" w:hAnsi="仿宋" w:eastAsia="仿宋" w:cs="仿宋"/>
          <w:color w:val="auto"/>
          <w:sz w:val="32"/>
          <w:szCs w:val="32"/>
          <w:highlight w:val="none"/>
        </w:rPr>
        <w:t>开展</w:t>
      </w:r>
      <w:r>
        <w:rPr>
          <w:rFonts w:hint="eastAsia" w:ascii="仿宋" w:hAnsi="仿宋" w:eastAsia="仿宋" w:cs="仿宋"/>
          <w:color w:val="auto"/>
          <w:sz w:val="32"/>
          <w:szCs w:val="32"/>
          <w:highlight w:val="none"/>
          <w:lang w:eastAsia="zh-CN"/>
        </w:rPr>
        <w:t>了</w:t>
      </w:r>
      <w:r>
        <w:rPr>
          <w:rFonts w:hint="eastAsia" w:ascii="仿宋" w:hAnsi="仿宋" w:eastAsia="仿宋" w:cs="仿宋"/>
          <w:color w:val="auto"/>
          <w:sz w:val="32"/>
          <w:szCs w:val="32"/>
          <w:highlight w:val="none"/>
        </w:rPr>
        <w:t>绩效</w:t>
      </w:r>
      <w:r>
        <w:rPr>
          <w:rFonts w:hint="eastAsia" w:ascii="仿宋" w:hAnsi="仿宋" w:eastAsia="仿宋" w:cs="仿宋"/>
          <w:color w:val="auto"/>
          <w:sz w:val="32"/>
          <w:szCs w:val="32"/>
          <w:highlight w:val="none"/>
          <w:lang w:eastAsia="zh-CN"/>
        </w:rPr>
        <w:t>运行</w:t>
      </w:r>
      <w:r>
        <w:rPr>
          <w:rFonts w:hint="eastAsia" w:ascii="仿宋" w:hAnsi="仿宋" w:eastAsia="仿宋" w:cs="仿宋"/>
          <w:color w:val="auto"/>
          <w:sz w:val="32"/>
          <w:szCs w:val="32"/>
          <w:highlight w:val="none"/>
        </w:rPr>
        <w:t>监控，年终执行完毕后，对</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个项目开展了绩效自评，2021年部门预算项目绩效目标自评表见附件（第四部分）。</w:t>
      </w:r>
    </w:p>
    <w:p>
      <w:pPr>
        <w:pStyle w:val="5"/>
        <w:numPr>
          <w:ilvl w:val="0"/>
          <w:numId w:val="4"/>
        </w:numPr>
        <w:bidi w:val="0"/>
        <w:rPr>
          <w:rFonts w:hint="eastAsia" w:ascii="仿宋" w:hAnsi="仿宋" w:eastAsia="仿宋" w:cs="仿宋"/>
          <w:color w:val="auto"/>
          <w:highlight w:val="none"/>
        </w:rPr>
      </w:pPr>
      <w:bookmarkStart w:id="72" w:name="_Toc16944"/>
      <w:r>
        <w:rPr>
          <w:rFonts w:hint="eastAsia" w:ascii="仿宋" w:hAnsi="仿宋" w:eastAsia="仿宋" w:cs="仿宋"/>
          <w:color w:val="auto"/>
          <w:highlight w:val="none"/>
        </w:rPr>
        <w:t>其他重要事项的情况说明</w:t>
      </w:r>
      <w:bookmarkEnd w:id="70"/>
      <w:bookmarkEnd w:id="71"/>
      <w:bookmarkEnd w:id="72"/>
    </w:p>
    <w:p>
      <w:pPr>
        <w:spacing w:line="600" w:lineRule="exact"/>
        <w:ind w:firstLine="643" w:firstLineChars="200"/>
        <w:outlineLvl w:val="2"/>
        <w:rPr>
          <w:rFonts w:hint="eastAsia" w:ascii="仿宋" w:hAnsi="仿宋" w:eastAsia="仿宋" w:cs="仿宋"/>
          <w:color w:val="auto"/>
          <w:sz w:val="32"/>
          <w:szCs w:val="32"/>
          <w:highlight w:val="none"/>
        </w:rPr>
      </w:pPr>
      <w:bookmarkStart w:id="73" w:name="_Toc15377222"/>
      <w:r>
        <w:rPr>
          <w:rFonts w:hint="eastAsia" w:ascii="仿宋" w:hAnsi="仿宋" w:eastAsia="仿宋" w:cs="仿宋"/>
          <w:b/>
          <w:color w:val="auto"/>
          <w:sz w:val="32"/>
          <w:szCs w:val="32"/>
          <w:highlight w:val="none"/>
        </w:rPr>
        <w:t>（一）机关运行经费支出情况</w:t>
      </w:r>
      <w:bookmarkEnd w:id="73"/>
    </w:p>
    <w:p>
      <w:pPr>
        <w:keepNext w:val="0"/>
        <w:keepLines w:val="0"/>
        <w:widowControl w:val="0"/>
        <w:suppressLineNumbers w:val="0"/>
        <w:spacing w:before="0" w:beforeAutospacing="0" w:after="0" w:afterAutospacing="0" w:line="600" w:lineRule="exact"/>
        <w:ind w:left="0" w:right="0" w:firstLine="640"/>
        <w:jc w:val="both"/>
        <w:rPr>
          <w:rFonts w:hint="eastAsia" w:ascii="仿宋" w:hAnsi="仿宋" w:eastAsia="仿宋" w:cs="仿宋"/>
          <w:color w:val="auto"/>
          <w:sz w:val="32"/>
          <w:szCs w:val="32"/>
          <w:highlight w:val="none"/>
          <w:lang w:val="en-US"/>
        </w:rPr>
      </w:pPr>
      <w:bookmarkStart w:id="74" w:name="_Toc15377223"/>
      <w:r>
        <w:rPr>
          <w:rFonts w:hint="eastAsia" w:ascii="仿宋" w:hAnsi="仿宋" w:eastAsia="仿宋" w:cs="仿宋"/>
          <w:color w:val="auto"/>
          <w:kern w:val="2"/>
          <w:sz w:val="32"/>
          <w:szCs w:val="32"/>
          <w:highlight w:val="none"/>
          <w:lang w:val="en-US" w:eastAsia="zh-CN" w:bidi="ar"/>
        </w:rPr>
        <w:t>2021年，我部门机关运行经费支出0元，与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。主要原因是本单位为事业单位，未发生机关运行经费支出。</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（二）政府采购支出情况</w:t>
      </w:r>
      <w:bookmarkEnd w:id="74"/>
    </w:p>
    <w:p>
      <w:pPr>
        <w:spacing w:line="60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2021年，我单位政府采购支出</w:t>
      </w:r>
      <w:r>
        <w:rPr>
          <w:rFonts w:hint="eastAsia" w:ascii="仿宋" w:hAnsi="仿宋" w:eastAsia="仿宋" w:cs="仿宋"/>
          <w:color w:val="auto"/>
          <w:sz w:val="32"/>
          <w:szCs w:val="32"/>
          <w:highlight w:val="none"/>
          <w:lang w:eastAsia="zh-CN"/>
        </w:rPr>
        <w:t>年初未预算采购经费，</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kern w:val="2"/>
          <w:sz w:val="32"/>
          <w:szCs w:val="32"/>
          <w:highlight w:val="none"/>
          <w:lang w:val="en-US" w:eastAsia="zh-CN" w:bidi="ar"/>
        </w:rPr>
        <w:t>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75" w:name="_Toc15377224"/>
      <w:r>
        <w:rPr>
          <w:rFonts w:hint="eastAsia" w:ascii="仿宋" w:hAnsi="仿宋" w:eastAsia="仿宋" w:cs="仿宋"/>
          <w:b/>
          <w:color w:val="auto"/>
          <w:sz w:val="32"/>
          <w:szCs w:val="32"/>
          <w:highlight w:val="none"/>
        </w:rPr>
        <w:t>（三）国有资产占有使用情况</w:t>
      </w:r>
      <w:bookmarkEnd w:id="75"/>
    </w:p>
    <w:p>
      <w:pP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我单位</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辆，其中：主要领导干部用车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单价50万元以上通用设备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pStyle w:val="9"/>
        <w:spacing w:before="93"/>
        <w:rPr>
          <w:rFonts w:hint="eastAsia" w:ascii="仿宋" w:hAnsi="仿宋" w:eastAsia="仿宋" w:cs="仿宋"/>
          <w:color w:val="auto"/>
          <w:highlight w:val="none"/>
        </w:rPr>
      </w:pPr>
    </w:p>
    <w:p>
      <w:pPr>
        <w:widowControl/>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4"/>
        <w:numPr>
          <w:ilvl w:val="0"/>
          <w:numId w:val="5"/>
        </w:numPr>
        <w:bidi w:val="0"/>
        <w:rPr>
          <w:rFonts w:hint="eastAsia" w:ascii="仿宋" w:hAnsi="仿宋" w:eastAsia="仿宋" w:cs="仿宋"/>
          <w:color w:val="auto"/>
          <w:highlight w:val="none"/>
        </w:rPr>
      </w:pPr>
      <w:bookmarkStart w:id="76" w:name="_Toc16610"/>
      <w:bookmarkStart w:id="77" w:name="_Toc15396613"/>
      <w:bookmarkStart w:id="78" w:name="_Toc15377225"/>
      <w:r>
        <w:rPr>
          <w:rFonts w:hint="eastAsia" w:ascii="仿宋" w:hAnsi="仿宋" w:eastAsia="仿宋" w:cs="仿宋"/>
          <w:color w:val="auto"/>
          <w:highlight w:val="none"/>
        </w:rPr>
        <w:t>名词解释</w:t>
      </w:r>
      <w:bookmarkEnd w:id="76"/>
      <w:bookmarkEnd w:id="77"/>
      <w:bookmarkEnd w:id="78"/>
    </w:p>
    <w:p>
      <w:pPr>
        <w:spacing w:line="600" w:lineRule="exact"/>
        <w:jc w:val="left"/>
        <w:rPr>
          <w:rFonts w:hint="eastAsia" w:ascii="仿宋" w:hAnsi="仿宋" w:eastAsia="仿宋" w:cs="仿宋"/>
          <w:b/>
          <w:color w:val="auto"/>
          <w:sz w:val="44"/>
          <w:szCs w:val="44"/>
          <w:highlight w:val="none"/>
        </w:rPr>
      </w:pP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1.财政拨款收入：指单位从同级财政部门取得的财政预算资金。</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2.使用非财政拨款结余：指事业单位使用以前年度积累的非财政拨款结余弥补当年收支差额的金额。 </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3.年初结转和结余：指以前年度尚未完成、结转到本年按有关规定继续使用的资金。 </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4.结余分配：指事业单位按照会计制度规定缴纳的所得税、提取的专用结余以及转入非财政拨款结余的金额等。</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年末结转和结余：指单位按有关规定结转到下年或以后年度继续使用的资金。</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6.教育（类）普通教育（款）</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教育（项）：指</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7.教育（类）普通教育（款）</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（项）：</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w:t>
      </w:r>
    </w:p>
    <w:p>
      <w:pPr>
        <w:numPr>
          <w:ilvl w:val="0"/>
          <w:numId w:val="0"/>
        </w:numPr>
        <w:spacing w:line="600" w:lineRule="exact"/>
        <w:ind w:firstLine="640" w:firstLineChars="200"/>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2"/>
        <w:ind w:left="0" w:leftChars="0" w:firstLine="640" w:firstLineChars="200"/>
        <w:rPr>
          <w:rFonts w:hint="eastAsia" w:ascii="仿宋" w:hAnsi="仿宋" w:eastAsia="仿宋" w:cs="仿宋"/>
          <w:color w:val="auto"/>
          <w:highlight w:val="none"/>
          <w:lang w:val="en-US" w:eastAsia="zh-CN"/>
        </w:rPr>
      </w:pPr>
      <w:r>
        <w:rPr>
          <w:rFonts w:hint="eastAsia" w:ascii="仿宋" w:hAnsi="仿宋" w:eastAsia="仿宋"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pPr>
        <w:pStyle w:val="9"/>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10.卫生健康（类）行政事业单位医疗（款）事业单位医疗（项）：指财政部门安排的事业单位基本医疗保险缴费经费，未参加医疗保险的事业单位的公费医疗经费，按国家规定享受离休人员待遇的医疗保险。</w:t>
      </w:r>
    </w:p>
    <w:p>
      <w:pPr>
        <w:pStyle w:val="9"/>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11.住房保障支出（类）住房改革支出（款）住房公积金（项）：指行政事业单位按人力资源和社会保障部、财政部规定的基本工资和津贴补贴以及规定比例为职工缴纳的住房公积金。</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12</w:t>
      </w:r>
      <w:r>
        <w:rPr>
          <w:rFonts w:hint="eastAsia" w:ascii="仿宋" w:hAnsi="仿宋" w:eastAsia="仿宋" w:cs="仿宋"/>
          <w:color w:val="auto"/>
          <w:sz w:val="32"/>
          <w:szCs w:val="32"/>
          <w:highlight w:val="none"/>
        </w:rPr>
        <w:t>.基本支出：指为保障机构正常运转、完成日常工作任务而发生的人员支出和公用支出。</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 xml:space="preserve">.项目支出：指在基本支出之外为完成特定行政任务和事业发展目标所发生的支出。 </w:t>
      </w:r>
    </w:p>
    <w:p>
      <w:pPr>
        <w:pStyle w:val="27"/>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79" w:name="_Toc15377226"/>
    </w:p>
    <w:p>
      <w:pPr>
        <w:pStyle w:val="27"/>
        <w:spacing w:line="560" w:lineRule="exact"/>
        <w:ind w:firstLine="883" w:firstLineChars="200"/>
        <w:jc w:val="center"/>
        <w:rPr>
          <w:rStyle w:val="29"/>
          <w:rFonts w:hint="eastAsia" w:ascii="仿宋" w:hAnsi="仿宋" w:eastAsia="仿宋" w:cs="仿宋"/>
          <w:b w:val="0"/>
          <w:color w:val="auto"/>
          <w:highlight w:val="none"/>
        </w:rPr>
      </w:pPr>
      <w:r>
        <w:rPr>
          <w:rFonts w:hint="eastAsia" w:ascii="仿宋" w:hAnsi="仿宋" w:eastAsia="仿宋" w:cs="仿宋"/>
          <w:b/>
          <w:color w:val="auto"/>
          <w:sz w:val="44"/>
          <w:szCs w:val="44"/>
          <w:highlight w:val="none"/>
        </w:rPr>
        <w:br w:type="page"/>
      </w:r>
      <w:bookmarkStart w:id="80" w:name="_Toc15396614"/>
      <w:bookmarkStart w:id="81" w:name="_Toc3498"/>
      <w:r>
        <w:rPr>
          <w:rStyle w:val="29"/>
          <w:rFonts w:hint="eastAsia" w:ascii="仿宋" w:hAnsi="仿宋" w:eastAsia="仿宋" w:cs="仿宋"/>
          <w:color w:val="auto"/>
          <w:highlight w:val="none"/>
        </w:rPr>
        <w:t>第四部分 附件</w:t>
      </w:r>
      <w:bookmarkEnd w:id="80"/>
    </w:p>
    <w:bookmarkEnd w:id="81"/>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bookmarkStart w:id="82" w:name="_Toc15396618"/>
            <w:bookmarkStart w:id="83" w:name="_Toc6245"/>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（校舍安全保障）</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360320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广元市昭化区卫子镇石井小学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300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300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300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3820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3820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3820m²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3820m²</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135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135</w:t>
            </w:r>
          </w:p>
        </w:tc>
      </w:tr>
      <w:tr>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10个月</w:t>
            </w:r>
          </w:p>
        </w:tc>
      </w:tr>
      <w:tr>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785元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pPr>
        <w:pStyle w:val="4"/>
        <w:bidi w:val="0"/>
        <w:rPr>
          <w:rFonts w:hint="eastAsia" w:ascii="仿宋" w:hAnsi="仿宋" w:eastAsia="仿宋" w:cs="仿宋"/>
          <w:color w:val="auto"/>
          <w:highlight w:val="none"/>
        </w:rPr>
      </w:pPr>
      <w:r>
        <w:rPr>
          <w:rFonts w:hint="eastAsia" w:ascii="仿宋" w:hAnsi="仿宋" w:eastAsia="仿宋" w:cs="仿宋"/>
          <w:color w:val="auto"/>
          <w:highlight w:val="none"/>
        </w:rPr>
        <w:t>第五部分 附表</w:t>
      </w:r>
      <w:bookmarkEnd w:id="79"/>
      <w:bookmarkEnd w:id="82"/>
      <w:bookmarkEnd w:id="83"/>
      <w:bookmarkStart w:id="84" w:name="_Toc15396619"/>
    </w:p>
    <w:p>
      <w:pPr>
        <w:pStyle w:val="5"/>
        <w:bidi w:val="0"/>
        <w:rPr>
          <w:rFonts w:hint="eastAsia" w:ascii="仿宋" w:hAnsi="仿宋" w:eastAsia="仿宋" w:cs="仿宋"/>
          <w:color w:val="auto"/>
          <w:highlight w:val="none"/>
        </w:rPr>
      </w:pPr>
      <w:bookmarkStart w:id="85" w:name="_Toc492"/>
      <w:r>
        <w:rPr>
          <w:rFonts w:hint="eastAsia" w:ascii="仿宋" w:hAnsi="仿宋" w:eastAsia="仿宋" w:cs="仿宋"/>
          <w:color w:val="auto"/>
          <w:highlight w:val="none"/>
        </w:rPr>
        <w:t>一、收入支出决算总表</w:t>
      </w:r>
      <w:bookmarkEnd w:id="84"/>
      <w:bookmarkEnd w:id="85"/>
    </w:p>
    <w:p>
      <w:pPr>
        <w:pStyle w:val="5"/>
        <w:bidi w:val="0"/>
        <w:rPr>
          <w:rFonts w:hint="eastAsia" w:ascii="仿宋" w:hAnsi="仿宋" w:eastAsia="仿宋" w:cs="仿宋"/>
          <w:color w:val="auto"/>
          <w:highlight w:val="none"/>
        </w:rPr>
      </w:pPr>
      <w:bookmarkStart w:id="86" w:name="_Toc20829"/>
      <w:bookmarkStart w:id="87" w:name="_Toc15396620"/>
      <w:r>
        <w:rPr>
          <w:rFonts w:hint="eastAsia" w:ascii="仿宋" w:hAnsi="仿宋" w:eastAsia="仿宋" w:cs="仿宋"/>
          <w:color w:val="auto"/>
          <w:highlight w:val="none"/>
        </w:rPr>
        <w:t>二、收入决算表</w:t>
      </w:r>
      <w:bookmarkEnd w:id="86"/>
      <w:bookmarkEnd w:id="87"/>
    </w:p>
    <w:p>
      <w:pPr>
        <w:pStyle w:val="5"/>
        <w:bidi w:val="0"/>
        <w:rPr>
          <w:rFonts w:hint="eastAsia" w:ascii="仿宋" w:hAnsi="仿宋" w:eastAsia="仿宋" w:cs="仿宋"/>
          <w:color w:val="auto"/>
          <w:highlight w:val="none"/>
        </w:rPr>
      </w:pPr>
      <w:bookmarkStart w:id="88" w:name="_Toc15396621"/>
      <w:bookmarkStart w:id="89" w:name="_Toc872"/>
      <w:r>
        <w:rPr>
          <w:rFonts w:hint="eastAsia" w:ascii="仿宋" w:hAnsi="仿宋" w:eastAsia="仿宋" w:cs="仿宋"/>
          <w:color w:val="auto"/>
          <w:highlight w:val="none"/>
        </w:rPr>
        <w:t>三、支出决算表</w:t>
      </w:r>
      <w:bookmarkEnd w:id="88"/>
      <w:bookmarkEnd w:id="89"/>
    </w:p>
    <w:p>
      <w:pPr>
        <w:pStyle w:val="5"/>
        <w:bidi w:val="0"/>
        <w:rPr>
          <w:rFonts w:hint="eastAsia" w:ascii="仿宋" w:hAnsi="仿宋" w:eastAsia="仿宋" w:cs="仿宋"/>
          <w:color w:val="auto"/>
          <w:highlight w:val="none"/>
        </w:rPr>
      </w:pPr>
      <w:bookmarkStart w:id="90" w:name="_Toc15396622"/>
      <w:bookmarkStart w:id="91" w:name="_Toc32481"/>
      <w:r>
        <w:rPr>
          <w:rFonts w:hint="eastAsia" w:ascii="仿宋" w:hAnsi="仿宋" w:eastAsia="仿宋" w:cs="仿宋"/>
          <w:color w:val="auto"/>
          <w:highlight w:val="none"/>
        </w:rPr>
        <w:t>四、财政拨款收入支出决算总表</w:t>
      </w:r>
      <w:bookmarkEnd w:id="90"/>
      <w:bookmarkEnd w:id="91"/>
    </w:p>
    <w:p>
      <w:pPr>
        <w:pStyle w:val="5"/>
        <w:bidi w:val="0"/>
        <w:rPr>
          <w:rFonts w:hint="eastAsia" w:ascii="仿宋" w:hAnsi="仿宋" w:eastAsia="仿宋" w:cs="仿宋"/>
          <w:color w:val="auto"/>
          <w:highlight w:val="none"/>
        </w:rPr>
      </w:pPr>
      <w:bookmarkStart w:id="92" w:name="_Toc15396623"/>
      <w:bookmarkStart w:id="93" w:name="_Toc16282"/>
      <w:r>
        <w:rPr>
          <w:rFonts w:hint="eastAsia" w:ascii="仿宋" w:hAnsi="仿宋" w:eastAsia="仿宋" w:cs="仿宋"/>
          <w:color w:val="auto"/>
          <w:highlight w:val="none"/>
        </w:rPr>
        <w:t>五、财政拨款支出决算明细表</w:t>
      </w:r>
      <w:bookmarkEnd w:id="92"/>
      <w:bookmarkEnd w:id="93"/>
      <w:bookmarkStart w:id="94" w:name="_Toc15396624"/>
    </w:p>
    <w:p>
      <w:pPr>
        <w:pStyle w:val="5"/>
        <w:bidi w:val="0"/>
        <w:rPr>
          <w:rFonts w:hint="eastAsia" w:ascii="仿宋" w:hAnsi="仿宋" w:eastAsia="仿宋" w:cs="仿宋"/>
          <w:color w:val="auto"/>
          <w:highlight w:val="none"/>
        </w:rPr>
      </w:pPr>
      <w:bookmarkStart w:id="95" w:name="_Toc27698"/>
      <w:r>
        <w:rPr>
          <w:rFonts w:hint="eastAsia" w:ascii="仿宋" w:hAnsi="仿宋" w:eastAsia="仿宋" w:cs="仿宋"/>
          <w:color w:val="auto"/>
          <w:highlight w:val="none"/>
        </w:rPr>
        <w:t>六、一般公共预算财政拨款支出决算表</w:t>
      </w:r>
      <w:bookmarkEnd w:id="94"/>
      <w:bookmarkEnd w:id="95"/>
    </w:p>
    <w:p>
      <w:pPr>
        <w:pStyle w:val="5"/>
        <w:bidi w:val="0"/>
        <w:rPr>
          <w:rFonts w:hint="eastAsia" w:ascii="仿宋" w:hAnsi="仿宋" w:eastAsia="仿宋" w:cs="仿宋"/>
          <w:color w:val="auto"/>
          <w:highlight w:val="none"/>
        </w:rPr>
      </w:pPr>
      <w:bookmarkStart w:id="96" w:name="_Toc16786"/>
      <w:bookmarkStart w:id="97" w:name="_Toc15396625"/>
      <w:r>
        <w:rPr>
          <w:rFonts w:hint="eastAsia" w:ascii="仿宋" w:hAnsi="仿宋" w:eastAsia="仿宋" w:cs="仿宋"/>
          <w:color w:val="auto"/>
          <w:highlight w:val="none"/>
        </w:rPr>
        <w:t>七、一般公共预算财政拨款支出决算明细表</w:t>
      </w:r>
      <w:bookmarkEnd w:id="96"/>
      <w:bookmarkEnd w:id="97"/>
    </w:p>
    <w:p>
      <w:pPr>
        <w:pStyle w:val="5"/>
        <w:bidi w:val="0"/>
        <w:rPr>
          <w:rFonts w:hint="eastAsia" w:ascii="仿宋" w:hAnsi="仿宋" w:eastAsia="仿宋" w:cs="仿宋"/>
          <w:color w:val="auto"/>
          <w:highlight w:val="none"/>
        </w:rPr>
      </w:pPr>
      <w:bookmarkStart w:id="98" w:name="_Toc15396626"/>
      <w:bookmarkStart w:id="99" w:name="_Toc31149"/>
      <w:r>
        <w:rPr>
          <w:rFonts w:hint="eastAsia" w:ascii="仿宋" w:hAnsi="仿宋" w:eastAsia="仿宋" w:cs="仿宋"/>
          <w:color w:val="auto"/>
          <w:highlight w:val="none"/>
        </w:rPr>
        <w:t>八、一般公共预算财政拨款基本支出决算表</w:t>
      </w:r>
      <w:bookmarkEnd w:id="98"/>
      <w:bookmarkEnd w:id="99"/>
    </w:p>
    <w:p>
      <w:pPr>
        <w:pStyle w:val="5"/>
        <w:bidi w:val="0"/>
        <w:rPr>
          <w:rFonts w:hint="eastAsia" w:ascii="仿宋" w:hAnsi="仿宋" w:eastAsia="仿宋" w:cs="仿宋"/>
          <w:color w:val="auto"/>
          <w:highlight w:val="none"/>
        </w:rPr>
      </w:pPr>
      <w:bookmarkStart w:id="100" w:name="_Toc2969"/>
      <w:bookmarkStart w:id="101" w:name="_Toc15396627"/>
      <w:r>
        <w:rPr>
          <w:rFonts w:hint="eastAsia" w:ascii="仿宋" w:hAnsi="仿宋" w:eastAsia="仿宋" w:cs="仿宋"/>
          <w:color w:val="auto"/>
          <w:highlight w:val="none"/>
        </w:rPr>
        <w:t>九、一般公共预算财政拨款项目支出决算表</w:t>
      </w:r>
      <w:bookmarkEnd w:id="100"/>
      <w:bookmarkEnd w:id="101"/>
    </w:p>
    <w:p>
      <w:pPr>
        <w:pStyle w:val="5"/>
        <w:bidi w:val="0"/>
        <w:rPr>
          <w:rFonts w:hint="eastAsia" w:ascii="仿宋" w:hAnsi="仿宋" w:eastAsia="仿宋" w:cs="仿宋"/>
          <w:color w:val="auto"/>
          <w:highlight w:val="none"/>
        </w:rPr>
      </w:pPr>
      <w:bookmarkStart w:id="102" w:name="_Toc15396628"/>
      <w:bookmarkStart w:id="103" w:name="_Toc15951"/>
      <w:r>
        <w:rPr>
          <w:rFonts w:hint="eastAsia" w:ascii="仿宋" w:hAnsi="仿宋" w:eastAsia="仿宋" w:cs="仿宋"/>
          <w:color w:val="auto"/>
          <w:highlight w:val="none"/>
        </w:rPr>
        <w:t>十、一般公共预算财政拨款“三公”经费支出决算表</w:t>
      </w:r>
      <w:bookmarkEnd w:id="102"/>
      <w:bookmarkEnd w:id="103"/>
    </w:p>
    <w:p>
      <w:pPr>
        <w:pStyle w:val="5"/>
        <w:bidi w:val="0"/>
        <w:rPr>
          <w:rFonts w:hint="eastAsia" w:ascii="仿宋" w:hAnsi="仿宋" w:eastAsia="仿宋" w:cs="仿宋"/>
          <w:color w:val="auto"/>
          <w:highlight w:val="none"/>
        </w:rPr>
      </w:pPr>
      <w:bookmarkStart w:id="104" w:name="_Toc15396629"/>
      <w:bookmarkStart w:id="105" w:name="_Toc26411"/>
      <w:r>
        <w:rPr>
          <w:rFonts w:hint="eastAsia" w:ascii="仿宋" w:hAnsi="仿宋" w:eastAsia="仿宋" w:cs="仿宋"/>
          <w:color w:val="auto"/>
          <w:highlight w:val="none"/>
        </w:rPr>
        <w:t>十一、政府性基金预算财政拨款收入支出决算表</w:t>
      </w:r>
      <w:bookmarkEnd w:id="104"/>
      <w:bookmarkEnd w:id="105"/>
    </w:p>
    <w:p>
      <w:pPr>
        <w:pStyle w:val="5"/>
        <w:bidi w:val="0"/>
        <w:rPr>
          <w:rFonts w:hint="eastAsia" w:ascii="仿宋" w:hAnsi="仿宋" w:eastAsia="仿宋" w:cs="仿宋"/>
          <w:color w:val="auto"/>
          <w:highlight w:val="none"/>
        </w:rPr>
      </w:pPr>
      <w:bookmarkStart w:id="106" w:name="_Toc15396630"/>
      <w:bookmarkStart w:id="107" w:name="_Toc31313"/>
      <w:r>
        <w:rPr>
          <w:rFonts w:hint="eastAsia" w:ascii="仿宋" w:hAnsi="仿宋" w:eastAsia="仿宋" w:cs="仿宋"/>
          <w:color w:val="auto"/>
          <w:highlight w:val="none"/>
        </w:rPr>
        <w:t>十二、政府性基金预算财政拨款“三公”经费支出决算表</w:t>
      </w:r>
      <w:bookmarkEnd w:id="106"/>
      <w:bookmarkEnd w:id="107"/>
    </w:p>
    <w:p>
      <w:pPr>
        <w:pStyle w:val="5"/>
        <w:bidi w:val="0"/>
        <w:rPr>
          <w:rFonts w:hint="eastAsia" w:ascii="仿宋" w:hAnsi="仿宋" w:eastAsia="仿宋" w:cs="仿宋"/>
          <w:color w:val="auto"/>
          <w:highlight w:val="none"/>
        </w:rPr>
      </w:pPr>
      <w:bookmarkStart w:id="108" w:name="_Toc26015"/>
      <w:bookmarkStart w:id="109" w:name="_Toc15396631"/>
      <w:r>
        <w:rPr>
          <w:rFonts w:hint="eastAsia" w:ascii="仿宋" w:hAnsi="仿宋" w:eastAsia="仿宋" w:cs="仿宋"/>
          <w:color w:val="auto"/>
          <w:highlight w:val="none"/>
        </w:rPr>
        <w:t>十三、国有资本经营预算财政拨款收入支出决算表</w:t>
      </w:r>
      <w:bookmarkEnd w:id="108"/>
      <w:bookmarkEnd w:id="109"/>
    </w:p>
    <w:p>
      <w:pPr>
        <w:pStyle w:val="5"/>
        <w:bidi w:val="0"/>
        <w:rPr>
          <w:rFonts w:hint="eastAsia" w:ascii="仿宋" w:hAnsi="仿宋" w:eastAsia="仿宋" w:cs="仿宋"/>
          <w:color w:val="auto"/>
          <w:highlight w:val="none"/>
        </w:rPr>
      </w:pPr>
      <w:bookmarkStart w:id="110" w:name="_Toc2980"/>
      <w:r>
        <w:rPr>
          <w:rFonts w:hint="eastAsia" w:ascii="仿宋" w:hAnsi="仿宋" w:eastAsia="仿宋" w:cs="仿宋"/>
          <w:color w:val="auto"/>
          <w:highlight w:val="none"/>
        </w:rPr>
        <w:t>十四、国有资本经营预算财政拨款支出决算表</w:t>
      </w:r>
      <w:bookmarkEnd w:id="110"/>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2"/>
          <w:jc w:val="center"/>
        </w:pPr>
        <w:r>
          <w:fldChar w:fldCharType="begin"/>
        </w:r>
        <w:r>
          <w:instrText xml:space="preserve">PAGE   \* MERGEFORMAT</w:instrText>
        </w:r>
        <w:r>
          <w:fldChar w:fldCharType="separate"/>
        </w:r>
        <w:r>
          <w:rPr>
            <w:lang w:val="zh-CN"/>
          </w:rPr>
          <w:t>12</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FBF32E9D"/>
    <w:multiLevelType w:val="singleLevel"/>
    <w:tmpl w:val="FBF32E9D"/>
    <w:lvl w:ilvl="0" w:tentative="0">
      <w:start w:val="3"/>
      <w:numFmt w:val="chineseCounting"/>
      <w:suff w:val="nothing"/>
      <w:lvlText w:val="（%1）"/>
      <w:lvlJc w:val="left"/>
      <w:pPr>
        <w:ind w:left="-640"/>
      </w:pPr>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6492B4FE"/>
    <w:multiLevelType w:val="singleLevel"/>
    <w:tmpl w:val="6492B4FE"/>
    <w:lvl w:ilvl="0" w:tentative="0">
      <w:start w:val="1"/>
      <w:numFmt w:val="chineseCounting"/>
      <w:suff w:val="nothing"/>
      <w:lvlText w:val="%1、"/>
      <w:lvlJc w:val="left"/>
      <w:rPr>
        <w:rFonts w:hint="eastAsi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66606B5"/>
    <w:rsid w:val="066D6250"/>
    <w:rsid w:val="06824DC3"/>
    <w:rsid w:val="092807EB"/>
    <w:rsid w:val="0A2032A3"/>
    <w:rsid w:val="0B8A37D8"/>
    <w:rsid w:val="0DA65670"/>
    <w:rsid w:val="0EC71F0D"/>
    <w:rsid w:val="10C055FF"/>
    <w:rsid w:val="112C7A85"/>
    <w:rsid w:val="118107EC"/>
    <w:rsid w:val="118576EB"/>
    <w:rsid w:val="11DD6519"/>
    <w:rsid w:val="12910332"/>
    <w:rsid w:val="157E27B0"/>
    <w:rsid w:val="16BB723D"/>
    <w:rsid w:val="175404DE"/>
    <w:rsid w:val="177D300F"/>
    <w:rsid w:val="18015F3F"/>
    <w:rsid w:val="1BE8440E"/>
    <w:rsid w:val="1D155CEE"/>
    <w:rsid w:val="1F046865"/>
    <w:rsid w:val="20F57F95"/>
    <w:rsid w:val="23066A21"/>
    <w:rsid w:val="240371BF"/>
    <w:rsid w:val="2446347C"/>
    <w:rsid w:val="24D54B4E"/>
    <w:rsid w:val="25C741E6"/>
    <w:rsid w:val="27842671"/>
    <w:rsid w:val="29FD04D3"/>
    <w:rsid w:val="2ABE7A3E"/>
    <w:rsid w:val="2BAE4DE0"/>
    <w:rsid w:val="2C0D4D5A"/>
    <w:rsid w:val="2EFA178C"/>
    <w:rsid w:val="30B46D73"/>
    <w:rsid w:val="319F7F4E"/>
    <w:rsid w:val="32E05DEF"/>
    <w:rsid w:val="353C0D20"/>
    <w:rsid w:val="39AE70AB"/>
    <w:rsid w:val="3C0C0783"/>
    <w:rsid w:val="3F795B0E"/>
    <w:rsid w:val="3F9F3A96"/>
    <w:rsid w:val="3FB02072"/>
    <w:rsid w:val="410D399B"/>
    <w:rsid w:val="437E6B78"/>
    <w:rsid w:val="493C27E9"/>
    <w:rsid w:val="496F39ED"/>
    <w:rsid w:val="49FF41D3"/>
    <w:rsid w:val="4A185DC8"/>
    <w:rsid w:val="4BE068DB"/>
    <w:rsid w:val="4BF6002B"/>
    <w:rsid w:val="4ECE2238"/>
    <w:rsid w:val="4F301641"/>
    <w:rsid w:val="4FD61684"/>
    <w:rsid w:val="503645ED"/>
    <w:rsid w:val="508F3649"/>
    <w:rsid w:val="51DB4B86"/>
    <w:rsid w:val="52FB5859"/>
    <w:rsid w:val="53241EFD"/>
    <w:rsid w:val="55333C3E"/>
    <w:rsid w:val="55DA5EAD"/>
    <w:rsid w:val="58737E60"/>
    <w:rsid w:val="5EED7638"/>
    <w:rsid w:val="5EEF25B2"/>
    <w:rsid w:val="64A80084"/>
    <w:rsid w:val="64CA39A1"/>
    <w:rsid w:val="65B126BB"/>
    <w:rsid w:val="69F768F0"/>
    <w:rsid w:val="6B6F4032"/>
    <w:rsid w:val="6C4A05C8"/>
    <w:rsid w:val="6C6E6699"/>
    <w:rsid w:val="6EDA0CDC"/>
    <w:rsid w:val="72734D90"/>
    <w:rsid w:val="727D7081"/>
    <w:rsid w:val="72E456B5"/>
    <w:rsid w:val="744F4926"/>
    <w:rsid w:val="74E366CA"/>
    <w:rsid w:val="78773AED"/>
    <w:rsid w:val="79E7B28D"/>
    <w:rsid w:val="7AC82E51"/>
    <w:rsid w:val="7BFA24EA"/>
    <w:rsid w:val="7CAB154F"/>
    <w:rsid w:val="7DB56BE2"/>
    <w:rsid w:val="7F8518D8"/>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9"/>
    <w:qFormat/>
    <w:uiPriority w:val="9"/>
    <w:pPr>
      <w:keepNext/>
      <w:keepLines/>
      <w:spacing w:before="340" w:after="330" w:line="578" w:lineRule="auto"/>
      <w:jc w:val="center"/>
      <w:outlineLvl w:val="0"/>
    </w:pPr>
    <w:rPr>
      <w:rFonts w:ascii="Times New Roman" w:hAnsi="Times New Roman" w:eastAsia="宋体"/>
      <w:b/>
      <w:bCs/>
      <w:kern w:val="44"/>
      <w:sz w:val="44"/>
      <w:szCs w:val="44"/>
    </w:rPr>
  </w:style>
  <w:style w:type="paragraph" w:styleId="5">
    <w:name w:val="heading 2"/>
    <w:basedOn w:val="1"/>
    <w:next w:val="1"/>
    <w:link w:val="40"/>
    <w:unhideWhenUsed/>
    <w:qFormat/>
    <w:uiPriority w:val="9"/>
    <w:pPr>
      <w:keepNext/>
      <w:keepLines/>
      <w:spacing w:before="260" w:after="260" w:line="416" w:lineRule="auto"/>
      <w:ind w:firstLine="1440" w:firstLineChars="200"/>
      <w:outlineLvl w:val="1"/>
    </w:pPr>
    <w:rPr>
      <w:rFonts w:cs="仿宋" w:asciiTheme="majorAscii" w:hAnsiTheme="majorAscii" w:eastAsiaTheme="majorEastAsia"/>
      <w:b/>
      <w:bCs/>
      <w:sz w:val="32"/>
      <w:szCs w:val="32"/>
    </w:rPr>
  </w:style>
  <w:style w:type="paragraph" w:styleId="6">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First Indent 2"/>
    <w:basedOn w:val="3"/>
    <w:link w:val="39"/>
    <w:qFormat/>
    <w:uiPriority w:val="99"/>
    <w:pPr>
      <w:ind w:firstLine="420" w:firstLineChars="200"/>
    </w:pPr>
  </w:style>
  <w:style w:type="paragraph" w:styleId="3">
    <w:name w:val="Body Text Indent"/>
    <w:basedOn w:val="1"/>
    <w:link w:val="38"/>
    <w:qFormat/>
    <w:uiPriority w:val="99"/>
    <w:pPr>
      <w:ind w:left="420" w:leftChars="200"/>
    </w:pPr>
  </w:style>
  <w:style w:type="paragraph" w:styleId="7">
    <w:name w:val="annotation text"/>
    <w:basedOn w:val="1"/>
    <w:semiHidden/>
    <w:unhideWhenUsed/>
    <w:qFormat/>
    <w:uiPriority w:val="99"/>
    <w:pPr>
      <w:jc w:val="left"/>
    </w:pPr>
  </w:style>
  <w:style w:type="paragraph" w:styleId="8">
    <w:name w:val="Salutation"/>
    <w:basedOn w:val="1"/>
    <w:next w:val="1"/>
    <w:qFormat/>
    <w:uiPriority w:val="99"/>
  </w:style>
  <w:style w:type="paragraph" w:styleId="9">
    <w:name w:val="Body Text"/>
    <w:basedOn w:val="1"/>
    <w:link w:val="37"/>
    <w:qFormat/>
    <w:uiPriority w:val="99"/>
    <w:pPr>
      <w:spacing w:beforeLines="30"/>
    </w:pPr>
    <w:rPr>
      <w:rFonts w:ascii="仿宋_GB2312" w:eastAsia="仿宋_GB2312"/>
      <w:kern w:val="0"/>
      <w:sz w:val="30"/>
    </w:r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2"/>
    <w:semiHidden/>
    <w:unhideWhenUsed/>
    <w:qFormat/>
    <w:uiPriority w:val="99"/>
    <w:rPr>
      <w:sz w:val="18"/>
      <w:szCs w:val="18"/>
    </w:rPr>
  </w:style>
  <w:style w:type="paragraph" w:styleId="12">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semiHidden/>
    <w:unhideWhenUsed/>
    <w:qFormat/>
    <w:uiPriority w:val="99"/>
    <w:rPr>
      <w:sz w:val="24"/>
    </w:r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3"/>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2"/>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9"/>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4"/>
    <w:qFormat/>
    <w:uiPriority w:val="9"/>
    <w:rPr>
      <w:rFonts w:ascii="Times New Roman" w:hAnsi="Times New Roman" w:eastAsia="宋体"/>
      <w:b/>
      <w:bCs/>
      <w:kern w:val="44"/>
      <w:sz w:val="44"/>
      <w:szCs w:val="44"/>
    </w:rPr>
  </w:style>
  <w:style w:type="character" w:customStyle="1" w:styleId="30">
    <w:name w:val="标题 2 Char"/>
    <w:basedOn w:val="18"/>
    <w:link w:val="5"/>
    <w:qFormat/>
    <w:uiPriority w:val="9"/>
    <w:rPr>
      <w:rFonts w:asciiTheme="majorHAnsi" w:hAnsiTheme="majorHAnsi" w:eastAsiaTheme="majorEastAsia" w:cstheme="majorBidi"/>
      <w:b/>
      <w:bCs/>
      <w:kern w:val="2"/>
      <w:sz w:val="32"/>
      <w:szCs w:val="32"/>
    </w:rPr>
  </w:style>
  <w:style w:type="paragraph" w:customStyle="1" w:styleId="31">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1"/>
    <w:semiHidden/>
    <w:qFormat/>
    <w:uiPriority w:val="99"/>
    <w:rPr>
      <w:rFonts w:ascii="Times New Roman" w:hAnsi="Times New Roman"/>
      <w:kern w:val="2"/>
      <w:sz w:val="18"/>
      <w:szCs w:val="18"/>
    </w:rPr>
  </w:style>
  <w:style w:type="character" w:customStyle="1" w:styleId="33">
    <w:name w:val="标题 3 Char"/>
    <w:basedOn w:val="18"/>
    <w:link w:val="6"/>
    <w:qFormat/>
    <w:uiPriority w:val="9"/>
    <w:rPr>
      <w:rFonts w:ascii="Times New Roman" w:hAnsi="Times New Roman"/>
      <w:b/>
      <w:bCs/>
      <w:kern w:val="2"/>
      <w:sz w:val="32"/>
      <w:szCs w:val="32"/>
    </w:rPr>
  </w:style>
  <w:style w:type="paragraph" w:customStyle="1" w:styleId="34">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5"/>
    <w:qFormat/>
    <w:uiPriority w:val="0"/>
    <w:rPr>
      <w:rFonts w:ascii="等线 Light" w:hAnsi="等线 Light" w:eastAsia="等线 Light" w:cs="Times New Roman"/>
      <w:b/>
      <w:bCs/>
      <w:kern w:val="2"/>
      <w:sz w:val="32"/>
      <w:szCs w:val="32"/>
    </w:rPr>
  </w:style>
  <w:style w:type="character" w:customStyle="1" w:styleId="37">
    <w:name w:val="正文文本 Char1"/>
    <w:basedOn w:val="18"/>
    <w:link w:val="9"/>
    <w:qFormat/>
    <w:uiPriority w:val="0"/>
    <w:rPr>
      <w:rFonts w:hint="eastAsia" w:ascii="仿宋_GB2312" w:eastAsia="仿宋_GB2312" w:cs="仿宋_GB2312"/>
      <w:sz w:val="24"/>
    </w:rPr>
  </w:style>
  <w:style w:type="character" w:customStyle="1" w:styleId="38">
    <w:name w:val="正文文本缩进 字符"/>
    <w:basedOn w:val="18"/>
    <w:link w:val="3"/>
    <w:qFormat/>
    <w:uiPriority w:val="0"/>
    <w:rPr>
      <w:rFonts w:hint="default" w:ascii="Times New Roman" w:hAnsi="Times New Roman" w:cs="Times New Roman"/>
      <w:kern w:val="2"/>
      <w:sz w:val="21"/>
      <w:szCs w:val="24"/>
    </w:rPr>
  </w:style>
  <w:style w:type="character" w:customStyle="1" w:styleId="39">
    <w:name w:val="正文首行缩进 2 字符"/>
    <w:basedOn w:val="38"/>
    <w:link w:val="2"/>
    <w:qFormat/>
    <w:uiPriority w:val="0"/>
    <w:rPr>
      <w:rFonts w:hint="default" w:ascii="Times New Roman" w:hAnsi="Times New Roman" w:cs="Times New Roman"/>
      <w:kern w:val="2"/>
      <w:sz w:val="21"/>
      <w:szCs w:val="24"/>
    </w:rPr>
  </w:style>
  <w:style w:type="character" w:customStyle="1" w:styleId="40">
    <w:name w:val="标题 2 字符"/>
    <w:basedOn w:val="18"/>
    <w:link w:val="5"/>
    <w:qFormat/>
    <w:uiPriority w:val="0"/>
    <w:rPr>
      <w:rFonts w:cs="仿宋" w:asciiTheme="majorAscii" w:hAnsiTheme="majorAscii" w:eastAsiaTheme="majorEastAs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773.84</c:v>
                </c:pt>
                <c:pt idx="1">
                  <c:v>822.77</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773.84</c:v>
                </c:pt>
                <c:pt idx="1">
                  <c:v>822.77</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63.54</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36.46</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522.77</c:v>
                </c:pt>
                <c:pt idx="1">
                  <c:v>300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773.84</c:v>
                </c:pt>
                <c:pt idx="1">
                  <c:v>822.77</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773.84</c:v>
                </c:pt>
                <c:pt idx="1">
                  <c:v>822.77</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773.84</c:v>
                </c:pt>
                <c:pt idx="1">
                  <c:v>822.77</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17</Pages>
  <Words>5249</Words>
  <Characters>5654</Characters>
  <Lines>47</Lines>
  <Paragraphs>13</Paragraphs>
  <TotalTime>1</TotalTime>
  <ScaleCrop>false</ScaleCrop>
  <LinksUpToDate>false</LinksUpToDate>
  <CharactersWithSpaces>5720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2022-09-30T14:39:21Z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9C626C774F6C4BB3A59D1A69C1112AA0</vt:lpwstr>
  </property>
</Properties>
</file>