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AD0D00">
      <w:pPr>
        <w:spacing w:line="600" w:lineRule="exact"/>
        <w:jc w:val="center"/>
        <w:outlineLvl w:val="0"/>
        <w:rPr>
          <w:rFonts w:ascii="方正小标宋简体" w:hAnsi="宋体" w:eastAsia="方正小标宋简体"/>
          <w:color w:val="auto"/>
          <w:sz w:val="72"/>
          <w:szCs w:val="72"/>
          <w:highlight w:val="none"/>
        </w:rPr>
      </w:pPr>
      <w:bookmarkStart w:id="0" w:name="_Toc15306267"/>
    </w:p>
    <w:p w14:paraId="23374546">
      <w:pPr>
        <w:spacing w:line="600" w:lineRule="exact"/>
        <w:jc w:val="center"/>
        <w:outlineLvl w:val="0"/>
        <w:rPr>
          <w:rFonts w:ascii="方正小标宋简体" w:hAnsi="宋体" w:eastAsia="方正小标宋简体"/>
          <w:color w:val="auto"/>
          <w:sz w:val="72"/>
          <w:szCs w:val="72"/>
          <w:highlight w:val="none"/>
        </w:rPr>
      </w:pPr>
    </w:p>
    <w:p w14:paraId="520B5102">
      <w:pPr>
        <w:spacing w:line="600" w:lineRule="exact"/>
        <w:jc w:val="center"/>
        <w:outlineLvl w:val="0"/>
        <w:rPr>
          <w:rFonts w:ascii="方正小标宋简体" w:hAnsi="宋体" w:eastAsia="方正小标宋简体"/>
          <w:color w:val="auto"/>
          <w:sz w:val="72"/>
          <w:szCs w:val="72"/>
          <w:highlight w:val="none"/>
        </w:rPr>
      </w:pPr>
    </w:p>
    <w:p w14:paraId="0FF19087">
      <w:pPr>
        <w:spacing w:line="600" w:lineRule="exact"/>
        <w:jc w:val="center"/>
        <w:outlineLvl w:val="0"/>
        <w:rPr>
          <w:rFonts w:ascii="方正小标宋简体" w:hAnsi="宋体" w:eastAsia="方正小标宋简体"/>
          <w:color w:val="auto"/>
          <w:sz w:val="72"/>
          <w:szCs w:val="72"/>
          <w:highlight w:val="none"/>
        </w:rPr>
      </w:pPr>
    </w:p>
    <w:p w14:paraId="32B6805E">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bookmarkStart w:id="1" w:name="_Toc15396475"/>
      <w:bookmarkStart w:id="2" w:name="_Toc15377425"/>
      <w:bookmarkStart w:id="3" w:name="_Toc15396597"/>
      <w:bookmarkStart w:id="4" w:name="_Toc15377193"/>
      <w:bookmarkStart w:id="5" w:name="_Toc23980"/>
      <w:bookmarkStart w:id="6" w:name="_Toc15378441"/>
      <w:bookmarkStart w:id="7" w:name="_Toc1681"/>
      <w:r>
        <w:rPr>
          <w:rFonts w:hint="eastAsia" w:ascii="方正小标宋_GBK" w:hAnsi="方正小标宋_GBK" w:eastAsia="方正小标宋_GBK" w:cs="方正小标宋_GBK"/>
          <w:color w:val="auto"/>
          <w:sz w:val="72"/>
          <w:szCs w:val="72"/>
          <w:highlight w:val="none"/>
        </w:rPr>
        <w:t>2021年度</w:t>
      </w:r>
      <w:bookmarkEnd w:id="1"/>
      <w:bookmarkEnd w:id="2"/>
      <w:bookmarkEnd w:id="3"/>
      <w:bookmarkEnd w:id="4"/>
      <w:bookmarkEnd w:id="5"/>
      <w:bookmarkEnd w:id="6"/>
      <w:bookmarkEnd w:id="7"/>
    </w:p>
    <w:p w14:paraId="3121DC10">
      <w:pPr>
        <w:adjustRightInd w:val="0"/>
        <w:snapToGrid w:val="0"/>
        <w:spacing w:line="360" w:lineRule="auto"/>
        <w:jc w:val="center"/>
        <w:outlineLvl w:val="0"/>
        <w:rPr>
          <w:rFonts w:hint="eastAsia" w:ascii="方正小标宋_GBK" w:hAnsi="方正小标宋_GBK" w:eastAsia="方正小标宋_GBK" w:cs="方正小标宋_GBK"/>
          <w:color w:val="auto"/>
          <w:sz w:val="72"/>
          <w:szCs w:val="72"/>
          <w:highlight w:val="none"/>
        </w:rPr>
      </w:pPr>
      <w:bookmarkStart w:id="8" w:name="_Toc1473"/>
      <w:bookmarkStart w:id="9" w:name="_Toc17433"/>
      <w:bookmarkStart w:id="10" w:name="_Toc15396476"/>
      <w:bookmarkStart w:id="11" w:name="_Toc15378442"/>
      <w:bookmarkStart w:id="12" w:name="_Toc15377426"/>
      <w:bookmarkStart w:id="13" w:name="_Toc15396598"/>
      <w:bookmarkStart w:id="14" w:name="_Toc15377194"/>
      <w:r>
        <w:rPr>
          <w:rFonts w:hint="eastAsia" w:ascii="方正小标宋_GBK" w:hAnsi="方正小标宋_GBK" w:eastAsia="方正小标宋_GBK" w:cs="方正小标宋_GBK"/>
          <w:color w:val="auto"/>
          <w:sz w:val="72"/>
          <w:szCs w:val="72"/>
          <w:highlight w:val="none"/>
        </w:rPr>
        <w:t>四川省</w:t>
      </w:r>
      <w:bookmarkEnd w:id="0"/>
      <w:bookmarkStart w:id="15" w:name="_Toc15306268"/>
      <w:r>
        <w:rPr>
          <w:rFonts w:hint="eastAsia" w:ascii="方正小标宋_GBK" w:hAnsi="方正小标宋_GBK" w:eastAsia="方正小标宋_GBK" w:cs="方正小标宋_GBK"/>
          <w:color w:val="auto"/>
          <w:sz w:val="72"/>
          <w:szCs w:val="72"/>
          <w:highlight w:val="none"/>
        </w:rPr>
        <w:t>广元市昭化区</w:t>
      </w:r>
      <w:bookmarkEnd w:id="8"/>
      <w:bookmarkEnd w:id="9"/>
    </w:p>
    <w:p w14:paraId="74189C70">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bookmarkStart w:id="16" w:name="_Toc2341"/>
      <w:bookmarkStart w:id="17" w:name="_Toc9679"/>
      <w:r>
        <w:rPr>
          <w:rFonts w:hint="eastAsia" w:ascii="方正小标宋_GBK" w:hAnsi="方正小标宋_GBK" w:eastAsia="方正小标宋_GBK" w:cs="方正小标宋_GBK"/>
          <w:color w:val="auto"/>
          <w:sz w:val="72"/>
          <w:szCs w:val="72"/>
          <w:highlight w:val="none"/>
          <w:lang w:val="en-US" w:eastAsia="zh-CN"/>
        </w:rPr>
        <w:t>红岩镇白果</w:t>
      </w:r>
      <w:r>
        <w:rPr>
          <w:rFonts w:hint="eastAsia" w:ascii="方正小标宋_GBK" w:hAnsi="方正小标宋_GBK" w:eastAsia="方正小标宋_GBK" w:cs="方正小标宋_GBK"/>
          <w:color w:val="auto"/>
          <w:sz w:val="72"/>
          <w:szCs w:val="72"/>
          <w:highlight w:val="none"/>
          <w:lang w:eastAsia="zh-CN"/>
        </w:rPr>
        <w:t>小学</w:t>
      </w:r>
      <w:r>
        <w:rPr>
          <w:rFonts w:hint="eastAsia" w:ascii="方正小标宋_GBK" w:hAnsi="方正小标宋_GBK" w:eastAsia="方正小标宋_GBK" w:cs="方正小标宋_GBK"/>
          <w:color w:val="auto"/>
          <w:sz w:val="72"/>
          <w:szCs w:val="72"/>
          <w:highlight w:val="none"/>
        </w:rPr>
        <w:t>单位决算</w:t>
      </w:r>
      <w:bookmarkEnd w:id="10"/>
      <w:bookmarkEnd w:id="11"/>
      <w:bookmarkEnd w:id="12"/>
      <w:bookmarkEnd w:id="13"/>
      <w:bookmarkEnd w:id="14"/>
      <w:bookmarkEnd w:id="15"/>
      <w:bookmarkEnd w:id="16"/>
      <w:bookmarkEnd w:id="17"/>
    </w:p>
    <w:p w14:paraId="767187DB">
      <w:pPr>
        <w:widowControl/>
        <w:jc w:val="center"/>
        <w:rPr>
          <w:rFonts w:ascii="黑体" w:hAnsi="黑体" w:eastAsia="黑体"/>
          <w:color w:val="auto"/>
          <w:sz w:val="48"/>
          <w:szCs w:val="4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14:paraId="1BD89815">
      <w:pPr>
        <w:pStyle w:val="13"/>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TOC \o "1-2" \h \u </w:instrText>
      </w:r>
      <w:r>
        <w:rPr>
          <w:rFonts w:hint="eastAsia" w:ascii="仿宋" w:hAnsi="仿宋" w:eastAsia="仿宋" w:cs="仿宋"/>
          <w:color w:val="auto"/>
          <w:sz w:val="24"/>
          <w:szCs w:val="24"/>
          <w:highlight w:val="none"/>
        </w:rPr>
        <w:fldChar w:fldCharType="separate"/>
      </w:r>
    </w:p>
    <w:p w14:paraId="6C181768">
      <w:pPr>
        <w:pStyle w:val="13"/>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_Toc17785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第一部分 单位概况</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_Toc17785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0E582BF">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_Toc7404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一、 职能简介</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_Toc7404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14660679">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_Toc4463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二、2021年重点工作完成情况</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_Toc4463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0B4D0056">
      <w:pPr>
        <w:pStyle w:val="13"/>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_Toc10437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第二部分 2021年度单位决算情况说明</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_Toc10437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F0457AF">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_Toc5075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一、 收入支出决算总体情况说明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_Toc5075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4A98FA1A">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_Toc11923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二、 收入决算情况说明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_Toc11923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1D2C6B2F">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_Toc2775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lang w:eastAsia="zh-CN"/>
        </w:rPr>
        <w:t>三、</w:t>
      </w:r>
      <w:r>
        <w:rPr>
          <w:rFonts w:hint="eastAsia" w:ascii="仿宋" w:hAnsi="仿宋" w:eastAsia="仿宋" w:cs="仿宋"/>
          <w:color w:val="auto"/>
          <w:sz w:val="24"/>
          <w:szCs w:val="24"/>
          <w:highlight w:val="none"/>
        </w:rPr>
        <w:t>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_Toc2775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8</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2172C52F">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_Toc12678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四、财政拨款收入支出决算总体情况说明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_Toc12678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8</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743E464B">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_Toc16782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五、一般公共预算财政拨款支出决算情况说明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_Toc16782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68381DCF">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_Toc23757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六、一般公共预算财政拨款基本支出决算情况说明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_Toc23757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10</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606B5A73">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_Toc16373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七、“三公”经费财政拨款支出决算情况说明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_Toc16373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3FD5477C">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_Toc29438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八、政府性基金预算支出决算情况说明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_Toc29438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6FB1C054">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_Toc4818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九、 国有资本经营预算支出决算情况说明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_Toc4818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13</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24ABD71C">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_Toc23871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 预算绩效管理情况</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_Toc23871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13</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4A6C1309">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_Toc16944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十一、 其他重要事项的情况说明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_Toc16944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13</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4D1EEDA4">
      <w:pPr>
        <w:pStyle w:val="13"/>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_Toc16610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第三部分 名词解释</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_Toc16610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21C1D35">
      <w:pPr>
        <w:pStyle w:val="13"/>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_Toc3498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第四部分 附件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_Toc3498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45A7AD8">
      <w:pPr>
        <w:pStyle w:val="13"/>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_Toc6245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第五部分 附表</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_Toc6245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C784254">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_Toc492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一、收入支出决算总表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_Toc492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26EF16BB">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_Toc20829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二、收入决算表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_Toc20829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7736312C">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_Toc872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三、支出决算表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_Toc872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263C631D">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_Toc32481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四、财政拨款收入支出决算总表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_Toc32481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3C7C90F2">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_Toc16282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五、财政拨款支出决算明细表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_Toc16282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1369CC7B">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_Toc27698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六、一般公共预算财政拨款支出决算表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_Toc27698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7078646D">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_Toc16786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七、一般公共预算财政拨款支出决算明细表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_Toc16786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5FE8BED0">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_Toc31149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八、一般公共预算财政拨款基本支出决算表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_Toc31149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302BAF17">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_Toc2969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九、一般公共预算财政拨款项目支出决算表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_Toc2969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73F2E6DA">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_Toc15951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十、一般公共预算财政拨款“三公”经费支出决算表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_Toc15951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2248D313">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_Toc26411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十一、政府性基金预算财政拨款收入支出决算表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_Toc26411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166E5C7B">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_Toc31313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十二、政府性基金预算财政拨款“三公”经费支出决算表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_Toc31313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11615365">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_Toc26015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十三、国有资本经营预算财政拨款收入支出决算表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_Toc26015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5EA81088">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_Toc2980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十四、国有资本经营预算财政拨款支出决算表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_Toc2980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3136E763">
      <w:pPr>
        <w:pStyle w:val="13"/>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end"/>
      </w:r>
    </w:p>
    <w:p w14:paraId="735345D5">
      <w:pPr>
        <w:rPr>
          <w:color w:val="auto"/>
          <w:highlight w:val="none"/>
        </w:rPr>
      </w:pPr>
    </w:p>
    <w:p w14:paraId="28EA386B">
      <w:pPr>
        <w:pStyle w:val="3"/>
        <w:bidi w:val="0"/>
        <w:rPr>
          <w:color w:val="auto"/>
          <w:highlight w:val="none"/>
        </w:rPr>
      </w:pPr>
      <w:bookmarkStart w:id="18" w:name="_Toc17785"/>
      <w:bookmarkStart w:id="19" w:name="_Toc15396599"/>
      <w:bookmarkStart w:id="20" w:name="_Toc15377196"/>
      <w:r>
        <w:rPr>
          <w:rFonts w:hint="eastAsia"/>
          <w:color w:val="auto"/>
          <w:highlight w:val="none"/>
        </w:rPr>
        <w:t>第一部分 单位概况</w:t>
      </w:r>
      <w:bookmarkEnd w:id="18"/>
      <w:bookmarkEnd w:id="19"/>
      <w:bookmarkEnd w:id="20"/>
    </w:p>
    <w:p w14:paraId="73333B05">
      <w:pPr>
        <w:widowControl/>
        <w:jc w:val="left"/>
        <w:rPr>
          <w:rFonts w:ascii="黑体" w:eastAsia="黑体"/>
          <w:color w:val="auto"/>
          <w:sz w:val="32"/>
          <w:szCs w:val="32"/>
          <w:highlight w:val="none"/>
        </w:rPr>
      </w:pPr>
    </w:p>
    <w:p w14:paraId="3E0736BD">
      <w:pPr>
        <w:pStyle w:val="4"/>
        <w:numPr>
          <w:ilvl w:val="0"/>
          <w:numId w:val="1"/>
        </w:numPr>
        <w:bidi w:val="0"/>
        <w:rPr>
          <w:rFonts w:hint="eastAsia" w:ascii="仿宋" w:hAnsi="仿宋" w:eastAsia="仿宋" w:cs="仿宋"/>
          <w:color w:val="auto"/>
          <w:highlight w:val="none"/>
        </w:rPr>
      </w:pPr>
      <w:bookmarkStart w:id="21" w:name="_Toc7404"/>
      <w:bookmarkStart w:id="22" w:name="_Toc15377197"/>
      <w:bookmarkStart w:id="23" w:name="_Toc15396600"/>
      <w:r>
        <w:rPr>
          <w:rFonts w:hint="eastAsia" w:ascii="仿宋" w:hAnsi="仿宋" w:eastAsia="仿宋" w:cs="仿宋"/>
          <w:color w:val="auto"/>
          <w:highlight w:val="none"/>
        </w:rPr>
        <w:t>职能简介</w:t>
      </w:r>
      <w:bookmarkEnd w:id="21"/>
    </w:p>
    <w:p w14:paraId="1C4E1CB3">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1.贯彻党的教育方针，坚持社会主义办学方向，实行教育与生产劳动相结合，对学生进行德育、智育、体育、美育和劳动等方面的教育。</w:t>
      </w:r>
    </w:p>
    <w:p w14:paraId="30D7FAE4">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2.负责配合政府依法动员、组织适龄儿童、少年入学，严格控制学生辍学，依法保证适龄儿童、少年接受九年义务教育。</w:t>
      </w:r>
    </w:p>
    <w:p w14:paraId="10921B47">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3.负责依法制定学校章程，并按照章程自主管理。</w:t>
      </w:r>
    </w:p>
    <w:p w14:paraId="3B9FA8BB">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4.负责制定学校教育发展规划，并抓好组织和实施工作。</w:t>
      </w:r>
    </w:p>
    <w:p w14:paraId="6B851923">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5.负责按照教育主管部门发布的指导性教学计划、 教学大纲，组织实施教育教学活动。</w:t>
      </w:r>
    </w:p>
    <w:p w14:paraId="141C2CFE">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6.</w:t>
      </w:r>
      <w:r>
        <w:rPr>
          <w:rFonts w:hint="eastAsia" w:ascii="仿宋" w:hAnsi="仿宋" w:eastAsia="仿宋" w:cs="仿宋"/>
          <w:color w:val="auto"/>
          <w:kern w:val="0"/>
          <w:szCs w:val="20"/>
          <w:highlight w:val="none"/>
        </w:rPr>
        <w:t xml:space="preserve"> </w:t>
      </w:r>
      <w:r>
        <w:rPr>
          <w:rFonts w:hint="eastAsia" w:ascii="仿宋" w:hAnsi="仿宋" w:eastAsia="仿宋" w:cs="仿宋"/>
          <w:color w:val="auto"/>
          <w:sz w:val="32"/>
          <w:szCs w:val="32"/>
          <w:highlight w:val="none"/>
        </w:rPr>
        <w:t>负责学籍管理并对学生实施奖励或处分。</w:t>
      </w:r>
    </w:p>
    <w:p w14:paraId="0439399A">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7.</w:t>
      </w:r>
      <w:r>
        <w:rPr>
          <w:rFonts w:hint="eastAsia" w:ascii="仿宋" w:hAnsi="仿宋" w:eastAsia="仿宋" w:cs="仿宋"/>
          <w:color w:val="auto"/>
          <w:kern w:val="0"/>
          <w:szCs w:val="20"/>
          <w:highlight w:val="none"/>
        </w:rPr>
        <w:t xml:space="preserve"> </w:t>
      </w:r>
      <w:r>
        <w:rPr>
          <w:rFonts w:hint="eastAsia" w:ascii="仿宋" w:hAnsi="仿宋" w:eastAsia="仿宋" w:cs="仿宋"/>
          <w:color w:val="auto"/>
          <w:sz w:val="32"/>
          <w:szCs w:val="32"/>
          <w:highlight w:val="none"/>
        </w:rPr>
        <w:t>负责依法制定本校教师及其他职工聘任办法并对教师及其他员工实施包括奖励、处分在内的具体管理活动。</w:t>
      </w:r>
    </w:p>
    <w:p w14:paraId="4A7B51D6">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8. 负责科学管理、合理使用学校的设施和经费，并积极筹措资金，改善办学条件。</w:t>
      </w:r>
    </w:p>
    <w:p w14:paraId="14A1DF8E">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9. 负责维护学校、师生的合法权益，有权拒绝任何组织和个人对教育教学活动</w:t>
      </w:r>
      <w:r>
        <w:rPr>
          <w:rFonts w:hint="eastAsia" w:ascii="仿宋" w:hAnsi="仿宋" w:eastAsia="仿宋" w:cs="仿宋"/>
          <w:color w:val="auto"/>
          <w:sz w:val="32"/>
          <w:szCs w:val="32"/>
          <w:highlight w:val="none"/>
          <w:lang w:eastAsia="zh-CN"/>
        </w:rPr>
        <w:t>的</w:t>
      </w:r>
      <w:r>
        <w:rPr>
          <w:rFonts w:hint="eastAsia" w:ascii="仿宋" w:hAnsi="仿宋" w:eastAsia="仿宋" w:cs="仿宋"/>
          <w:color w:val="auto"/>
          <w:sz w:val="32"/>
          <w:szCs w:val="32"/>
          <w:highlight w:val="none"/>
        </w:rPr>
        <w:t>非法干扰。</w:t>
      </w:r>
    </w:p>
    <w:p w14:paraId="090DAA49">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10.</w:t>
      </w:r>
      <w:r>
        <w:rPr>
          <w:rFonts w:hint="eastAsia" w:ascii="仿宋" w:hAnsi="仿宋" w:eastAsia="仿宋" w:cs="仿宋"/>
          <w:color w:val="auto"/>
          <w:kern w:val="0"/>
          <w:szCs w:val="20"/>
          <w:highlight w:val="none"/>
        </w:rPr>
        <w:t xml:space="preserve"> </w:t>
      </w:r>
      <w:r>
        <w:rPr>
          <w:rFonts w:hint="eastAsia" w:ascii="仿宋" w:hAnsi="仿宋" w:eastAsia="仿宋" w:cs="仿宋"/>
          <w:color w:val="auto"/>
          <w:sz w:val="32"/>
          <w:szCs w:val="32"/>
          <w:highlight w:val="none"/>
        </w:rPr>
        <w:t>依法接受各级教育行政部门的检查指导和人民群众的监督。</w:t>
      </w:r>
    </w:p>
    <w:p w14:paraId="1E35F426">
      <w:pPr>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11.承办上级交办的其他事项。</w:t>
      </w:r>
    </w:p>
    <w:p w14:paraId="62C0A89E">
      <w:pPr>
        <w:pStyle w:val="4"/>
        <w:bidi w:val="0"/>
        <w:rPr>
          <w:rFonts w:hint="eastAsia" w:ascii="仿宋" w:hAnsi="仿宋" w:eastAsia="仿宋" w:cs="仿宋"/>
          <w:color w:val="auto"/>
          <w:highlight w:val="none"/>
        </w:rPr>
      </w:pPr>
      <w:bookmarkStart w:id="24" w:name="_Toc4463"/>
      <w:r>
        <w:rPr>
          <w:rFonts w:hint="eastAsia" w:ascii="仿宋" w:hAnsi="仿宋" w:eastAsia="仿宋" w:cs="仿宋"/>
          <w:color w:val="auto"/>
          <w:highlight w:val="none"/>
        </w:rPr>
        <w:t>二、2021年重点工作</w:t>
      </w:r>
      <w:bookmarkEnd w:id="22"/>
      <w:bookmarkEnd w:id="23"/>
      <w:r>
        <w:rPr>
          <w:rFonts w:hint="eastAsia" w:ascii="仿宋" w:hAnsi="仿宋" w:eastAsia="仿宋" w:cs="仿宋"/>
          <w:color w:val="auto"/>
          <w:highlight w:val="none"/>
        </w:rPr>
        <w:t>完成情况</w:t>
      </w:r>
      <w:bookmarkEnd w:id="24"/>
    </w:p>
    <w:p w14:paraId="3FCB6619">
      <w:pPr>
        <w:spacing w:line="576" w:lineRule="exact"/>
        <w:ind w:left="0" w:leftChars="0" w:firstLine="641" w:firstLineChars="200"/>
        <w:jc w:val="left"/>
        <w:rPr>
          <w:rFonts w:hint="eastAsia" w:ascii="华文楷体" w:hAnsi="华文楷体" w:eastAsia="华文楷体" w:cs="华文楷体"/>
          <w:b/>
          <w:bCs/>
          <w:color w:val="auto"/>
          <w:sz w:val="32"/>
          <w:szCs w:val="32"/>
          <w:highlight w:val="none"/>
          <w:lang w:eastAsia="zh-CN"/>
        </w:rPr>
      </w:pPr>
      <w:r>
        <w:rPr>
          <w:rFonts w:hint="eastAsia" w:ascii="华文楷体" w:hAnsi="华文楷体" w:eastAsia="华文楷体" w:cs="华文楷体"/>
          <w:b/>
          <w:bCs/>
          <w:color w:val="auto"/>
          <w:sz w:val="32"/>
          <w:szCs w:val="32"/>
          <w:highlight w:val="none"/>
          <w:lang w:eastAsia="zh-CN"/>
        </w:rPr>
        <w:t>一是学校文化内涵更加彰显。</w:t>
      </w:r>
      <w:r>
        <w:rPr>
          <w:rFonts w:hint="eastAsia" w:ascii="仿宋" w:hAnsi="仿宋" w:eastAsia="仿宋" w:cs="仿宋"/>
          <w:b w:val="0"/>
          <w:bCs w:val="0"/>
          <w:color w:val="auto"/>
          <w:sz w:val="32"/>
          <w:szCs w:val="32"/>
          <w:highlight w:val="none"/>
          <w:lang w:val="en-US" w:eastAsia="zh-CN"/>
        </w:rPr>
        <w:t>去年秋季，学校组织承办了小规模学校教学管理现场会，学校经验做法、老教师群体，先后以集体报道和个人宣传两种方式在区级新闻媒体进行了广泛宣传报道，</w:t>
      </w:r>
      <w:r>
        <w:rPr>
          <w:rFonts w:hint="eastAsia" w:ascii="仿宋" w:hAnsi="仿宋" w:eastAsia="仿宋" w:cs="华文仿宋"/>
          <w:color w:val="auto"/>
          <w:sz w:val="32"/>
          <w:szCs w:val="32"/>
          <w:highlight w:val="none"/>
          <w:lang w:eastAsia="zh-CN"/>
        </w:rPr>
        <w:t>都市的繁华喧嚣、信息的高效便捷，让教育也多了几分浮躁，而白果教师群体的宁静与纯粹宛如一股清流，让我们切身感受到了教育的理想状态，把简单的招数练到极致，对教育的琐碎力求完美。正是这种对职业态度的坚守，积淀孕育了白果教育的精神文化。</w:t>
      </w:r>
      <w:r>
        <w:rPr>
          <w:rFonts w:hint="eastAsia" w:ascii="仿宋" w:hAnsi="仿宋" w:eastAsia="仿宋" w:cs="仿宋"/>
          <w:b w:val="0"/>
          <w:bCs w:val="0"/>
          <w:color w:val="auto"/>
          <w:sz w:val="32"/>
          <w:szCs w:val="32"/>
          <w:highlight w:val="none"/>
          <w:lang w:val="en-US" w:eastAsia="zh-CN"/>
        </w:rPr>
        <w:t>莫道桑榆晚，为霞尚满天就是这种文化的写照，如今</w:t>
      </w:r>
      <w:r>
        <w:rPr>
          <w:rFonts w:hint="eastAsia" w:ascii="仿宋" w:hAnsi="仿宋" w:eastAsia="仿宋" w:cs="华文仿宋"/>
          <w:color w:val="auto"/>
          <w:sz w:val="32"/>
          <w:szCs w:val="32"/>
          <w:highlight w:val="none"/>
          <w:lang w:eastAsia="zh-CN"/>
        </w:rPr>
        <w:t>这种文化已经成为了引领白果教师团结一心、阳光向上的不竭动力。有了精神的引领，</w:t>
      </w:r>
      <w:r>
        <w:rPr>
          <w:rFonts w:hint="eastAsia" w:ascii="仿宋" w:hAnsi="仿宋" w:eastAsia="仿宋" w:cs="仿宋"/>
          <w:b w:val="0"/>
          <w:bCs w:val="0"/>
          <w:color w:val="auto"/>
          <w:sz w:val="32"/>
          <w:szCs w:val="32"/>
          <w:highlight w:val="none"/>
          <w:lang w:val="en-US" w:eastAsia="zh-CN"/>
        </w:rPr>
        <w:t>老师们的职业成就感、幸福感显著提升。</w:t>
      </w:r>
    </w:p>
    <w:p w14:paraId="2D7FB41C">
      <w:pPr>
        <w:spacing w:line="576" w:lineRule="exact"/>
        <w:ind w:left="0" w:leftChars="0" w:firstLine="641" w:firstLineChars="200"/>
        <w:jc w:val="left"/>
        <w:rPr>
          <w:rFonts w:hint="eastAsia" w:ascii="仿宋" w:hAnsi="仿宋" w:eastAsia="仿宋" w:cs="华文仿宋"/>
          <w:color w:val="auto"/>
          <w:sz w:val="32"/>
          <w:szCs w:val="32"/>
          <w:highlight w:val="none"/>
          <w:lang w:eastAsia="zh-CN"/>
        </w:rPr>
      </w:pPr>
      <w:r>
        <w:rPr>
          <w:rFonts w:hint="eastAsia" w:ascii="华文楷体" w:hAnsi="华文楷体" w:eastAsia="华文楷体" w:cs="华文楷体"/>
          <w:b/>
          <w:bCs/>
          <w:color w:val="auto"/>
          <w:sz w:val="32"/>
          <w:szCs w:val="32"/>
          <w:highlight w:val="none"/>
          <w:lang w:eastAsia="zh-CN"/>
        </w:rPr>
        <w:t>二</w:t>
      </w:r>
      <w:r>
        <w:rPr>
          <w:rFonts w:hint="eastAsia" w:ascii="华文楷体" w:hAnsi="华文楷体" w:eastAsia="华文楷体" w:cs="华文楷体"/>
          <w:b/>
          <w:bCs/>
          <w:color w:val="auto"/>
          <w:sz w:val="32"/>
          <w:szCs w:val="32"/>
          <w:highlight w:val="none"/>
        </w:rPr>
        <w:t>是</w:t>
      </w:r>
      <w:r>
        <w:rPr>
          <w:rFonts w:hint="eastAsia" w:ascii="华文楷体" w:hAnsi="华文楷体" w:eastAsia="华文楷体" w:cs="华文楷体"/>
          <w:b/>
          <w:bCs/>
          <w:color w:val="auto"/>
          <w:sz w:val="32"/>
          <w:szCs w:val="32"/>
          <w:highlight w:val="none"/>
          <w:lang w:eastAsia="zh-CN"/>
        </w:rPr>
        <w:t>保生</w:t>
      </w:r>
      <w:r>
        <w:rPr>
          <w:rFonts w:hint="eastAsia" w:ascii="华文楷体" w:hAnsi="华文楷体" w:eastAsia="华文楷体" w:cs="华文楷体"/>
          <w:b/>
          <w:bCs/>
          <w:color w:val="auto"/>
          <w:sz w:val="32"/>
          <w:szCs w:val="32"/>
          <w:highlight w:val="none"/>
        </w:rPr>
        <w:t>保学成效显著</w:t>
      </w:r>
      <w:r>
        <w:rPr>
          <w:rFonts w:hint="eastAsia" w:ascii="仿宋" w:hAnsi="仿宋" w:eastAsia="仿宋" w:cs="华文仿宋"/>
          <w:color w:val="auto"/>
          <w:sz w:val="32"/>
          <w:szCs w:val="32"/>
          <w:highlight w:val="none"/>
        </w:rPr>
        <w:t>。今年</w:t>
      </w:r>
      <w:r>
        <w:rPr>
          <w:rFonts w:hint="eastAsia" w:ascii="仿宋" w:hAnsi="仿宋" w:eastAsia="仿宋" w:cs="华文仿宋"/>
          <w:color w:val="auto"/>
          <w:sz w:val="32"/>
          <w:szCs w:val="32"/>
          <w:highlight w:val="none"/>
          <w:lang w:eastAsia="zh-CN"/>
        </w:rPr>
        <w:t>春季</w:t>
      </w:r>
      <w:r>
        <w:rPr>
          <w:rFonts w:hint="eastAsia" w:ascii="仿宋" w:hAnsi="仿宋" w:eastAsia="仿宋" w:cs="华文仿宋"/>
          <w:color w:val="auto"/>
          <w:sz w:val="32"/>
          <w:szCs w:val="32"/>
          <w:highlight w:val="none"/>
        </w:rPr>
        <w:t>我校六年级毕业</w:t>
      </w:r>
      <w:r>
        <w:rPr>
          <w:rFonts w:hint="eastAsia" w:ascii="仿宋" w:hAnsi="仿宋" w:eastAsia="仿宋" w:cs="华文仿宋"/>
          <w:color w:val="auto"/>
          <w:sz w:val="32"/>
          <w:szCs w:val="32"/>
          <w:highlight w:val="none"/>
          <w:lang w:val="en-US" w:eastAsia="zh-CN"/>
        </w:rPr>
        <w:t>16</w:t>
      </w:r>
      <w:r>
        <w:rPr>
          <w:rFonts w:hint="eastAsia" w:ascii="仿宋" w:hAnsi="仿宋" w:eastAsia="仿宋" w:cs="华文仿宋"/>
          <w:color w:val="auto"/>
          <w:sz w:val="32"/>
          <w:szCs w:val="32"/>
          <w:highlight w:val="none"/>
        </w:rPr>
        <w:t>人，</w:t>
      </w:r>
      <w:r>
        <w:rPr>
          <w:rFonts w:hint="eastAsia" w:ascii="仿宋" w:hAnsi="仿宋" w:eastAsia="仿宋" w:cs="华文仿宋"/>
          <w:color w:val="auto"/>
          <w:sz w:val="32"/>
          <w:szCs w:val="32"/>
          <w:highlight w:val="none"/>
          <w:lang w:eastAsia="zh-CN"/>
        </w:rPr>
        <w:t>除</w:t>
      </w:r>
      <w:r>
        <w:rPr>
          <w:rFonts w:hint="eastAsia" w:ascii="仿宋" w:hAnsi="仿宋" w:eastAsia="仿宋" w:cs="华文仿宋"/>
          <w:color w:val="auto"/>
          <w:sz w:val="32"/>
          <w:szCs w:val="32"/>
          <w:highlight w:val="none"/>
          <w:lang w:val="en-US" w:eastAsia="zh-CN"/>
        </w:rPr>
        <w:t>2</w:t>
      </w:r>
      <w:r>
        <w:rPr>
          <w:rFonts w:hint="eastAsia" w:ascii="仿宋" w:hAnsi="仿宋" w:eastAsia="仿宋" w:cs="华文仿宋"/>
          <w:color w:val="auto"/>
          <w:sz w:val="32"/>
          <w:szCs w:val="32"/>
          <w:highlight w:val="none"/>
        </w:rPr>
        <w:t>人</w:t>
      </w:r>
      <w:r>
        <w:rPr>
          <w:rFonts w:hint="eastAsia" w:ascii="仿宋" w:hAnsi="仿宋" w:eastAsia="仿宋" w:cs="华文仿宋"/>
          <w:color w:val="auto"/>
          <w:sz w:val="32"/>
          <w:szCs w:val="32"/>
          <w:highlight w:val="none"/>
          <w:lang w:eastAsia="zh-CN"/>
        </w:rPr>
        <w:t>广元就读外，其余</w:t>
      </w:r>
      <w:r>
        <w:rPr>
          <w:rFonts w:hint="eastAsia" w:ascii="仿宋" w:hAnsi="仿宋" w:eastAsia="仿宋" w:cs="华文仿宋"/>
          <w:color w:val="auto"/>
          <w:sz w:val="32"/>
          <w:szCs w:val="32"/>
          <w:highlight w:val="none"/>
          <w:lang w:val="en-US" w:eastAsia="zh-CN"/>
        </w:rPr>
        <w:t>14人全部在区内就读；幼儿</w:t>
      </w:r>
      <w:r>
        <w:rPr>
          <w:rFonts w:hint="eastAsia" w:ascii="仿宋" w:hAnsi="仿宋" w:eastAsia="仿宋" w:cs="华文仿宋"/>
          <w:color w:val="auto"/>
          <w:sz w:val="32"/>
          <w:szCs w:val="32"/>
          <w:highlight w:val="none"/>
        </w:rPr>
        <w:t>学前班</w:t>
      </w:r>
      <w:r>
        <w:rPr>
          <w:rFonts w:hint="eastAsia" w:ascii="仿宋" w:hAnsi="仿宋" w:eastAsia="仿宋" w:cs="华文仿宋"/>
          <w:color w:val="auto"/>
          <w:sz w:val="32"/>
          <w:szCs w:val="32"/>
          <w:highlight w:val="none"/>
          <w:lang w:eastAsia="zh-CN"/>
        </w:rPr>
        <w:t>毕业</w:t>
      </w:r>
      <w:r>
        <w:rPr>
          <w:rFonts w:hint="eastAsia" w:ascii="仿宋" w:hAnsi="仿宋" w:eastAsia="仿宋" w:cs="华文仿宋"/>
          <w:color w:val="auto"/>
          <w:sz w:val="32"/>
          <w:szCs w:val="32"/>
          <w:highlight w:val="none"/>
          <w:lang w:val="en-US" w:eastAsia="zh-CN"/>
        </w:rPr>
        <w:t>16</w:t>
      </w:r>
      <w:r>
        <w:rPr>
          <w:rFonts w:hint="eastAsia" w:ascii="仿宋" w:hAnsi="仿宋" w:eastAsia="仿宋" w:cs="华文仿宋"/>
          <w:color w:val="auto"/>
          <w:sz w:val="32"/>
          <w:szCs w:val="32"/>
          <w:highlight w:val="none"/>
        </w:rPr>
        <w:t>人，</w:t>
      </w:r>
      <w:r>
        <w:rPr>
          <w:rFonts w:hint="eastAsia" w:ascii="仿宋" w:hAnsi="仿宋" w:eastAsia="仿宋" w:cs="华文仿宋"/>
          <w:color w:val="auto"/>
          <w:sz w:val="32"/>
          <w:szCs w:val="32"/>
          <w:highlight w:val="none"/>
          <w:lang w:eastAsia="zh-CN"/>
        </w:rPr>
        <w:t>除</w:t>
      </w:r>
      <w:r>
        <w:rPr>
          <w:rFonts w:hint="eastAsia" w:ascii="仿宋" w:hAnsi="仿宋" w:eastAsia="仿宋" w:cs="华文仿宋"/>
          <w:color w:val="auto"/>
          <w:sz w:val="32"/>
          <w:szCs w:val="32"/>
          <w:highlight w:val="none"/>
          <w:lang w:val="en-US" w:eastAsia="zh-CN"/>
        </w:rPr>
        <w:t>2人广元就读外，14</w:t>
      </w:r>
      <w:r>
        <w:rPr>
          <w:rFonts w:hint="eastAsia" w:ascii="仿宋" w:hAnsi="仿宋" w:eastAsia="仿宋" w:cs="华文仿宋"/>
          <w:color w:val="auto"/>
          <w:sz w:val="32"/>
          <w:szCs w:val="32"/>
          <w:highlight w:val="none"/>
        </w:rPr>
        <w:t>人</w:t>
      </w:r>
      <w:r>
        <w:rPr>
          <w:rFonts w:hint="eastAsia" w:ascii="仿宋" w:hAnsi="仿宋" w:eastAsia="仿宋" w:cs="华文仿宋"/>
          <w:color w:val="auto"/>
          <w:sz w:val="32"/>
          <w:szCs w:val="32"/>
          <w:highlight w:val="none"/>
          <w:lang w:eastAsia="zh-CN"/>
        </w:rPr>
        <w:t>已在我校报名；目前，幼儿园小班已有</w:t>
      </w:r>
      <w:r>
        <w:rPr>
          <w:rFonts w:hint="eastAsia" w:ascii="仿宋" w:hAnsi="仿宋" w:eastAsia="仿宋" w:cs="华文仿宋"/>
          <w:color w:val="auto"/>
          <w:sz w:val="32"/>
          <w:szCs w:val="32"/>
          <w:highlight w:val="none"/>
          <w:lang w:val="en-US" w:eastAsia="zh-CN"/>
        </w:rPr>
        <w:t>7个孩子报名。</w:t>
      </w:r>
      <w:r>
        <w:rPr>
          <w:rFonts w:hint="eastAsia" w:ascii="仿宋" w:hAnsi="仿宋" w:eastAsia="仿宋" w:cs="华文仿宋"/>
          <w:color w:val="auto"/>
          <w:sz w:val="32"/>
          <w:szCs w:val="32"/>
          <w:highlight w:val="none"/>
          <w:lang w:eastAsia="zh-CN"/>
        </w:rPr>
        <w:t>另外，会果村原就读剑阁张王小学的</w:t>
      </w:r>
      <w:r>
        <w:rPr>
          <w:rFonts w:hint="eastAsia" w:ascii="仿宋" w:hAnsi="仿宋" w:eastAsia="仿宋" w:cs="华文仿宋"/>
          <w:color w:val="auto"/>
          <w:sz w:val="32"/>
          <w:szCs w:val="32"/>
          <w:highlight w:val="none"/>
          <w:lang w:val="en-US" w:eastAsia="zh-CN"/>
        </w:rPr>
        <w:t>7名劝返学生已全部稳定。</w:t>
      </w:r>
      <w:r>
        <w:rPr>
          <w:rFonts w:hint="eastAsia" w:ascii="仿宋" w:hAnsi="仿宋" w:eastAsia="仿宋" w:cs="华文仿宋"/>
          <w:color w:val="auto"/>
          <w:sz w:val="32"/>
          <w:szCs w:val="32"/>
          <w:highlight w:val="none"/>
          <w:lang w:eastAsia="zh-CN"/>
        </w:rPr>
        <w:t>同时，我们继续细化了招生和保生保学措施和奖惩。确保了保生保学目标达成。</w:t>
      </w:r>
    </w:p>
    <w:p w14:paraId="1BA42F17">
      <w:pPr>
        <w:spacing w:line="576" w:lineRule="exact"/>
        <w:ind w:left="0" w:leftChars="0" w:firstLine="641" w:firstLineChars="200"/>
        <w:jc w:val="left"/>
        <w:rPr>
          <w:rFonts w:hint="eastAsia" w:ascii="仿宋" w:hAnsi="仿宋" w:eastAsia="仿宋" w:cs="华文仿宋"/>
          <w:color w:val="auto"/>
          <w:sz w:val="32"/>
          <w:szCs w:val="32"/>
          <w:highlight w:val="none"/>
          <w:lang w:val="en-US" w:eastAsia="zh-CN"/>
        </w:rPr>
      </w:pPr>
      <w:r>
        <w:rPr>
          <w:rFonts w:hint="eastAsia" w:ascii="华文楷体" w:hAnsi="华文楷体" w:eastAsia="华文楷体" w:cs="华文楷体"/>
          <w:b/>
          <w:bCs/>
          <w:color w:val="auto"/>
          <w:sz w:val="32"/>
          <w:szCs w:val="32"/>
          <w:highlight w:val="none"/>
          <w:lang w:eastAsia="zh-CN"/>
        </w:rPr>
        <w:t>三</w:t>
      </w:r>
      <w:r>
        <w:rPr>
          <w:rFonts w:hint="eastAsia" w:ascii="华文楷体" w:hAnsi="华文楷体" w:eastAsia="华文楷体" w:cs="华文楷体"/>
          <w:b/>
          <w:bCs/>
          <w:color w:val="auto"/>
          <w:sz w:val="32"/>
          <w:szCs w:val="32"/>
          <w:highlight w:val="none"/>
        </w:rPr>
        <w:t>是学校课题</w:t>
      </w:r>
      <w:r>
        <w:rPr>
          <w:rFonts w:hint="eastAsia" w:ascii="华文楷体" w:hAnsi="华文楷体" w:eastAsia="华文楷体" w:cs="华文楷体"/>
          <w:b/>
          <w:bCs/>
          <w:color w:val="auto"/>
          <w:sz w:val="32"/>
          <w:szCs w:val="32"/>
          <w:highlight w:val="none"/>
          <w:lang w:eastAsia="zh-CN"/>
        </w:rPr>
        <w:t>成功升级；</w:t>
      </w:r>
      <w:r>
        <w:rPr>
          <w:rFonts w:hint="eastAsia" w:ascii="仿宋" w:hAnsi="仿宋" w:eastAsia="仿宋" w:cs="仿宋"/>
          <w:b w:val="0"/>
          <w:bCs w:val="0"/>
          <w:color w:val="auto"/>
          <w:sz w:val="32"/>
          <w:szCs w:val="32"/>
          <w:highlight w:val="none"/>
          <w:lang w:eastAsia="zh-CN"/>
        </w:rPr>
        <w:t>我校区级课题</w:t>
      </w:r>
      <w:r>
        <w:rPr>
          <w:rFonts w:hint="eastAsia" w:ascii="仿宋" w:hAnsi="仿宋" w:eastAsia="仿宋" w:cs="华文仿宋"/>
          <w:color w:val="auto"/>
          <w:sz w:val="32"/>
          <w:szCs w:val="32"/>
          <w:highlight w:val="none"/>
        </w:rPr>
        <w:t>《农村小学</w:t>
      </w:r>
      <w:r>
        <w:rPr>
          <w:rFonts w:hint="eastAsia" w:ascii="仿宋" w:hAnsi="仿宋" w:eastAsia="仿宋" w:cs="华文仿宋"/>
          <w:color w:val="auto"/>
          <w:sz w:val="32"/>
          <w:szCs w:val="32"/>
          <w:highlight w:val="none"/>
          <w:lang w:eastAsia="zh-CN"/>
        </w:rPr>
        <w:t>劳动教育校本实施</w:t>
      </w:r>
      <w:r>
        <w:rPr>
          <w:rFonts w:hint="eastAsia" w:ascii="仿宋" w:hAnsi="仿宋" w:eastAsia="仿宋" w:cs="华文仿宋"/>
          <w:color w:val="auto"/>
          <w:sz w:val="32"/>
          <w:szCs w:val="32"/>
          <w:highlight w:val="none"/>
        </w:rPr>
        <w:t>策略研究》</w:t>
      </w:r>
      <w:r>
        <w:rPr>
          <w:rFonts w:hint="eastAsia" w:ascii="仿宋" w:hAnsi="仿宋" w:eastAsia="仿宋" w:cs="华文仿宋"/>
          <w:color w:val="auto"/>
          <w:sz w:val="32"/>
          <w:szCs w:val="32"/>
          <w:highlight w:val="none"/>
          <w:lang w:eastAsia="zh-CN"/>
        </w:rPr>
        <w:t>在前期研究的基础上成功申报市级课题并开题。随着研究的深入，将有力推动学校内涵发展。</w:t>
      </w:r>
      <w:r>
        <w:rPr>
          <w:rFonts w:hint="eastAsia" w:ascii="仿宋" w:hAnsi="仿宋" w:eastAsia="仿宋" w:cs="华文仿宋"/>
          <w:color w:val="auto"/>
          <w:sz w:val="32"/>
          <w:szCs w:val="32"/>
          <w:highlight w:val="none"/>
          <w:lang w:val="en-US" w:eastAsia="zh-CN"/>
        </w:rPr>
        <w:t xml:space="preserve">                    </w:t>
      </w:r>
    </w:p>
    <w:p w14:paraId="734A4D9D">
      <w:pPr>
        <w:spacing w:line="576" w:lineRule="exact"/>
        <w:ind w:left="0" w:leftChars="0" w:firstLine="641" w:firstLineChars="200"/>
        <w:jc w:val="left"/>
        <w:rPr>
          <w:rFonts w:hint="eastAsia" w:ascii="仿宋" w:hAnsi="仿宋" w:eastAsia="仿宋" w:cs="华文仿宋"/>
          <w:color w:val="auto"/>
          <w:sz w:val="32"/>
          <w:szCs w:val="32"/>
          <w:highlight w:val="none"/>
        </w:rPr>
      </w:pPr>
      <w:r>
        <w:rPr>
          <w:rFonts w:hint="eastAsia" w:ascii="华文楷体" w:hAnsi="华文楷体" w:eastAsia="华文楷体" w:cs="华文楷体"/>
          <w:b/>
          <w:bCs/>
          <w:color w:val="auto"/>
          <w:sz w:val="32"/>
          <w:szCs w:val="32"/>
          <w:highlight w:val="none"/>
          <w:lang w:eastAsia="zh-CN"/>
        </w:rPr>
        <w:t>四</w:t>
      </w:r>
      <w:r>
        <w:rPr>
          <w:rFonts w:hint="eastAsia" w:ascii="华文楷体" w:hAnsi="华文楷体" w:eastAsia="华文楷体" w:cs="华文楷体"/>
          <w:b/>
          <w:bCs/>
          <w:color w:val="auto"/>
          <w:sz w:val="32"/>
          <w:szCs w:val="32"/>
          <w:highlight w:val="none"/>
        </w:rPr>
        <w:t>是学生行为习惯养成教育常抓常新</w:t>
      </w:r>
      <w:r>
        <w:rPr>
          <w:rFonts w:hint="eastAsia" w:ascii="仿宋" w:hAnsi="仿宋" w:eastAsia="仿宋" w:cs="华文仿宋"/>
          <w:color w:val="auto"/>
          <w:sz w:val="32"/>
          <w:szCs w:val="32"/>
          <w:highlight w:val="none"/>
        </w:rPr>
        <w:t>。这一年来</w:t>
      </w:r>
      <w:r>
        <w:rPr>
          <w:rFonts w:hint="eastAsia" w:ascii="仿宋" w:hAnsi="仿宋" w:eastAsia="仿宋" w:cs="华文仿宋"/>
          <w:color w:val="auto"/>
          <w:sz w:val="32"/>
          <w:szCs w:val="32"/>
          <w:highlight w:val="none"/>
          <w:lang w:eastAsia="zh-CN"/>
        </w:rPr>
        <w:t>德育</w:t>
      </w:r>
      <w:r>
        <w:rPr>
          <w:rFonts w:hint="eastAsia" w:ascii="仿宋" w:hAnsi="仿宋" w:eastAsia="仿宋" w:cs="华文仿宋"/>
          <w:color w:val="auto"/>
          <w:sz w:val="32"/>
          <w:szCs w:val="32"/>
          <w:highlight w:val="none"/>
        </w:rPr>
        <w:t>处同志放下身段，工作抓得实、抓得细，完善了学生管理机制建设，学校环境卫生、内务整理、安全防范、学生行为习惯均有质的提升。</w:t>
      </w:r>
    </w:p>
    <w:p w14:paraId="5FD26A95">
      <w:pPr>
        <w:spacing w:line="576" w:lineRule="exact"/>
        <w:ind w:left="0" w:leftChars="0" w:firstLine="641" w:firstLineChars="200"/>
        <w:jc w:val="left"/>
        <w:rPr>
          <w:rFonts w:hint="eastAsia" w:ascii="仿宋" w:hAnsi="仿宋" w:eastAsia="仿宋" w:cs="华文仿宋"/>
          <w:color w:val="auto"/>
          <w:sz w:val="32"/>
          <w:szCs w:val="32"/>
          <w:highlight w:val="none"/>
          <w:lang w:eastAsia="zh-CN"/>
        </w:rPr>
      </w:pPr>
      <w:r>
        <w:rPr>
          <w:rFonts w:hint="eastAsia" w:ascii="华文楷体" w:hAnsi="华文楷体" w:eastAsia="华文楷体" w:cs="华文楷体"/>
          <w:b/>
          <w:bCs/>
          <w:color w:val="auto"/>
          <w:sz w:val="32"/>
          <w:szCs w:val="32"/>
          <w:highlight w:val="none"/>
          <w:lang w:eastAsia="zh-CN"/>
        </w:rPr>
        <w:t>五是疫情防控有序有效</w:t>
      </w:r>
      <w:r>
        <w:rPr>
          <w:rFonts w:hint="eastAsia" w:ascii="仿宋" w:hAnsi="仿宋" w:eastAsia="仿宋" w:cs="华文仿宋"/>
          <w:color w:val="auto"/>
          <w:sz w:val="32"/>
          <w:szCs w:val="32"/>
          <w:highlight w:val="none"/>
          <w:lang w:eastAsia="zh-CN"/>
        </w:rPr>
        <w:t>。我们严格按照中央和省市地各级指挥部安排部署，第一时间启动重大风险防控应急预案。强化组织领导，加大教育宣传，健全两案九制，精准信息摸排，紧密行程跟踪，坚持体温检测，一日三检，严格门卫值班，有效做好消毒消杀和异常处置，加强各类传染病、流行病筛查预防。确保了人员安全和人心稳定。</w:t>
      </w:r>
    </w:p>
    <w:p w14:paraId="7334882F">
      <w:pPr>
        <w:spacing w:line="576" w:lineRule="exact"/>
        <w:ind w:left="0" w:leftChars="0" w:firstLine="641" w:firstLineChars="200"/>
        <w:jc w:val="left"/>
        <w:rPr>
          <w:rFonts w:hint="eastAsia" w:ascii="仿宋" w:hAnsi="仿宋" w:eastAsia="仿宋" w:cs="华文仿宋"/>
          <w:color w:val="auto"/>
          <w:sz w:val="32"/>
          <w:szCs w:val="32"/>
          <w:highlight w:val="none"/>
        </w:rPr>
      </w:pPr>
      <w:r>
        <w:rPr>
          <w:rFonts w:hint="eastAsia" w:ascii="华文楷体" w:hAnsi="华文楷体" w:eastAsia="华文楷体" w:cs="华文楷体"/>
          <w:b/>
          <w:bCs/>
          <w:color w:val="auto"/>
          <w:sz w:val="32"/>
          <w:szCs w:val="32"/>
          <w:highlight w:val="none"/>
          <w:lang w:eastAsia="zh-CN"/>
        </w:rPr>
        <w:t>六</w:t>
      </w:r>
      <w:r>
        <w:rPr>
          <w:rFonts w:hint="eastAsia" w:ascii="华文楷体" w:hAnsi="华文楷体" w:eastAsia="华文楷体" w:cs="华文楷体"/>
          <w:b/>
          <w:bCs/>
          <w:color w:val="auto"/>
          <w:sz w:val="32"/>
          <w:szCs w:val="32"/>
          <w:highlight w:val="none"/>
        </w:rPr>
        <w:t>是素质教育推进有力</w:t>
      </w:r>
      <w:r>
        <w:rPr>
          <w:rFonts w:hint="eastAsia" w:ascii="仿宋" w:hAnsi="仿宋" w:eastAsia="仿宋" w:cs="华文仿宋"/>
          <w:color w:val="auto"/>
          <w:sz w:val="32"/>
          <w:szCs w:val="32"/>
          <w:highlight w:val="none"/>
        </w:rPr>
        <w:t>。</w:t>
      </w:r>
      <w:r>
        <w:rPr>
          <w:rFonts w:hint="eastAsia" w:ascii="仿宋" w:hAnsi="仿宋" w:eastAsia="仿宋" w:cs="华文仿宋"/>
          <w:color w:val="auto"/>
          <w:sz w:val="32"/>
          <w:szCs w:val="32"/>
          <w:highlight w:val="none"/>
          <w:lang w:eastAsia="zh-CN"/>
        </w:rPr>
        <w:t>这一年，老师们质量意识显著加强，教导上加强了教学工作管理考核，老师们教学工作也积极主动，不惜花时间，舍得下功夫。春季期末检测，学校质量综合考核居全区第</w:t>
      </w:r>
      <w:r>
        <w:rPr>
          <w:rFonts w:hint="eastAsia" w:ascii="仿宋" w:hAnsi="仿宋" w:eastAsia="仿宋" w:cs="华文仿宋"/>
          <w:color w:val="auto"/>
          <w:sz w:val="32"/>
          <w:szCs w:val="32"/>
          <w:highlight w:val="none"/>
          <w:lang w:val="en-US" w:eastAsia="zh-CN"/>
        </w:rPr>
        <w:t>5</w:t>
      </w:r>
      <w:r>
        <w:rPr>
          <w:rFonts w:hint="eastAsia" w:ascii="仿宋" w:hAnsi="仿宋" w:eastAsia="仿宋" w:cs="华文仿宋"/>
          <w:color w:val="auto"/>
          <w:sz w:val="32"/>
          <w:szCs w:val="32"/>
          <w:highlight w:val="none"/>
          <w:lang w:eastAsia="zh-CN"/>
        </w:rPr>
        <w:t>位。在学生能力培养、特长发展上，</w:t>
      </w:r>
      <w:r>
        <w:rPr>
          <w:rFonts w:hint="eastAsia" w:ascii="仿宋" w:hAnsi="仿宋" w:eastAsia="仿宋" w:cs="华文仿宋"/>
          <w:color w:val="auto"/>
          <w:sz w:val="32"/>
          <w:szCs w:val="32"/>
          <w:highlight w:val="none"/>
        </w:rPr>
        <w:t>我们</w:t>
      </w:r>
      <w:r>
        <w:rPr>
          <w:rFonts w:hint="eastAsia" w:ascii="仿宋" w:hAnsi="仿宋" w:eastAsia="仿宋" w:cs="华文仿宋"/>
          <w:color w:val="auto"/>
          <w:sz w:val="32"/>
          <w:szCs w:val="32"/>
          <w:highlight w:val="none"/>
          <w:lang w:eastAsia="zh-CN"/>
        </w:rPr>
        <w:t>依托</w:t>
      </w:r>
      <w:r>
        <w:rPr>
          <w:rFonts w:hint="eastAsia" w:ascii="仿宋" w:hAnsi="仿宋" w:eastAsia="仿宋" w:cs="华文仿宋"/>
          <w:color w:val="auto"/>
          <w:sz w:val="32"/>
          <w:szCs w:val="32"/>
          <w:highlight w:val="none"/>
        </w:rPr>
        <w:t>少年宫</w:t>
      </w:r>
      <w:r>
        <w:rPr>
          <w:rFonts w:hint="eastAsia" w:ascii="仿宋" w:hAnsi="仿宋" w:eastAsia="仿宋" w:cs="华文仿宋"/>
          <w:color w:val="auto"/>
          <w:sz w:val="32"/>
          <w:szCs w:val="32"/>
          <w:highlight w:val="none"/>
          <w:lang w:eastAsia="zh-CN"/>
        </w:rPr>
        <w:t>建设</w:t>
      </w:r>
      <w:r>
        <w:rPr>
          <w:rFonts w:hint="eastAsia" w:ascii="仿宋" w:hAnsi="仿宋" w:eastAsia="仿宋" w:cs="华文仿宋"/>
          <w:color w:val="auto"/>
          <w:sz w:val="32"/>
          <w:szCs w:val="32"/>
          <w:highlight w:val="none"/>
        </w:rPr>
        <w:t>，以</w:t>
      </w:r>
      <w:r>
        <w:rPr>
          <w:rFonts w:hint="eastAsia" w:ascii="仿宋" w:hAnsi="仿宋" w:eastAsia="仿宋" w:cs="华文仿宋"/>
          <w:color w:val="auto"/>
          <w:sz w:val="32"/>
          <w:szCs w:val="32"/>
          <w:highlight w:val="none"/>
          <w:lang w:eastAsia="zh-CN"/>
        </w:rPr>
        <w:t>社</w:t>
      </w:r>
      <w:r>
        <w:rPr>
          <w:rFonts w:hint="eastAsia" w:ascii="仿宋" w:hAnsi="仿宋" w:eastAsia="仿宋" w:cs="华文仿宋"/>
          <w:color w:val="auto"/>
          <w:sz w:val="32"/>
          <w:szCs w:val="32"/>
          <w:highlight w:val="none"/>
        </w:rPr>
        <w:t>团活动为</w:t>
      </w:r>
      <w:r>
        <w:rPr>
          <w:rFonts w:hint="eastAsia" w:ascii="仿宋" w:hAnsi="仿宋" w:eastAsia="仿宋" w:cs="华文仿宋"/>
          <w:color w:val="auto"/>
          <w:sz w:val="32"/>
          <w:szCs w:val="32"/>
          <w:highlight w:val="none"/>
          <w:lang w:eastAsia="zh-CN"/>
        </w:rPr>
        <w:t>阵地</w:t>
      </w:r>
      <w:r>
        <w:rPr>
          <w:rFonts w:hint="eastAsia" w:ascii="仿宋" w:hAnsi="仿宋" w:eastAsia="仿宋" w:cs="华文仿宋"/>
          <w:color w:val="auto"/>
          <w:sz w:val="32"/>
          <w:szCs w:val="32"/>
          <w:highlight w:val="none"/>
        </w:rPr>
        <w:t>，</w:t>
      </w:r>
      <w:r>
        <w:rPr>
          <w:rFonts w:hint="eastAsia" w:ascii="仿宋" w:hAnsi="仿宋" w:eastAsia="仿宋" w:cs="华文仿宋"/>
          <w:color w:val="auto"/>
          <w:sz w:val="32"/>
          <w:szCs w:val="32"/>
          <w:highlight w:val="none"/>
          <w:lang w:eastAsia="zh-CN"/>
        </w:rPr>
        <w:t>以延时服务为抓手，</w:t>
      </w:r>
      <w:bookmarkStart w:id="111" w:name="_GoBack"/>
      <w:bookmarkEnd w:id="111"/>
      <w:r>
        <w:rPr>
          <w:rFonts w:hint="eastAsia" w:ascii="仿宋" w:hAnsi="仿宋" w:eastAsia="仿宋" w:cs="华文仿宋"/>
          <w:color w:val="auto"/>
          <w:sz w:val="32"/>
          <w:szCs w:val="32"/>
          <w:highlight w:val="none"/>
        </w:rPr>
        <w:t>坚持兴趣</w:t>
      </w:r>
      <w:r>
        <w:rPr>
          <w:rFonts w:hint="eastAsia" w:ascii="仿宋" w:hAnsi="仿宋" w:eastAsia="仿宋" w:cs="华文仿宋"/>
          <w:color w:val="auto"/>
          <w:sz w:val="32"/>
          <w:szCs w:val="32"/>
          <w:highlight w:val="none"/>
          <w:lang w:eastAsia="zh-CN"/>
        </w:rPr>
        <w:t>加</w:t>
      </w:r>
      <w:r>
        <w:rPr>
          <w:rFonts w:hint="eastAsia" w:ascii="仿宋" w:hAnsi="仿宋" w:eastAsia="仿宋" w:cs="华文仿宋"/>
          <w:color w:val="auto"/>
          <w:sz w:val="32"/>
          <w:szCs w:val="32"/>
          <w:highlight w:val="none"/>
        </w:rPr>
        <w:t>特长培养</w:t>
      </w:r>
      <w:r>
        <w:rPr>
          <w:rFonts w:hint="eastAsia" w:ascii="仿宋" w:hAnsi="仿宋" w:eastAsia="仿宋" w:cs="华文仿宋"/>
          <w:color w:val="auto"/>
          <w:sz w:val="32"/>
          <w:szCs w:val="32"/>
          <w:highlight w:val="none"/>
          <w:lang w:eastAsia="zh-CN"/>
        </w:rPr>
        <w:t>模式</w:t>
      </w:r>
      <w:r>
        <w:rPr>
          <w:rFonts w:hint="eastAsia" w:ascii="仿宋" w:hAnsi="仿宋" w:eastAsia="仿宋" w:cs="华文仿宋"/>
          <w:color w:val="auto"/>
          <w:sz w:val="32"/>
          <w:szCs w:val="32"/>
          <w:highlight w:val="none"/>
        </w:rPr>
        <w:t>，学校阅读、球类等活动初具特色。</w:t>
      </w:r>
    </w:p>
    <w:p w14:paraId="438FB698">
      <w:pPr>
        <w:pStyle w:val="16"/>
        <w:ind w:left="0" w:leftChars="0" w:firstLine="641" w:firstLineChars="200"/>
        <w:rPr>
          <w:rFonts w:hint="eastAsia" w:ascii="仿宋" w:hAnsi="仿宋" w:eastAsia="仿宋" w:cs="仿宋"/>
          <w:color w:val="auto"/>
          <w:highlight w:val="none"/>
        </w:rPr>
      </w:pPr>
      <w:r>
        <w:rPr>
          <w:rFonts w:hint="eastAsia" w:ascii="华文楷体" w:hAnsi="华文楷体" w:eastAsia="华文楷体" w:cs="华文楷体"/>
          <w:b/>
          <w:bCs/>
          <w:color w:val="auto"/>
          <w:sz w:val="32"/>
          <w:szCs w:val="32"/>
          <w:highlight w:val="none"/>
          <w:lang w:eastAsia="zh-CN"/>
        </w:rPr>
        <w:t>七</w:t>
      </w:r>
      <w:r>
        <w:rPr>
          <w:rFonts w:hint="eastAsia" w:ascii="华文楷体" w:hAnsi="华文楷体" w:eastAsia="华文楷体" w:cs="华文楷体"/>
          <w:b/>
          <w:bCs/>
          <w:color w:val="auto"/>
          <w:sz w:val="32"/>
          <w:szCs w:val="32"/>
          <w:highlight w:val="none"/>
        </w:rPr>
        <w:t>是</w:t>
      </w:r>
      <w:r>
        <w:rPr>
          <w:rFonts w:hint="eastAsia" w:ascii="华文楷体" w:hAnsi="华文楷体" w:eastAsia="华文楷体" w:cs="华文楷体"/>
          <w:b/>
          <w:bCs/>
          <w:color w:val="auto"/>
          <w:sz w:val="32"/>
          <w:szCs w:val="32"/>
          <w:highlight w:val="none"/>
          <w:lang w:eastAsia="zh-CN"/>
        </w:rPr>
        <w:t>群团工作有序推进</w:t>
      </w:r>
      <w:r>
        <w:rPr>
          <w:rFonts w:hint="eastAsia" w:ascii="仿宋" w:hAnsi="仿宋" w:eastAsia="仿宋" w:cs="华文仿宋"/>
          <w:color w:val="auto"/>
          <w:sz w:val="32"/>
          <w:szCs w:val="32"/>
          <w:highlight w:val="none"/>
        </w:rPr>
        <w:t>。党组织领导下的校长负责制改革让</w:t>
      </w:r>
      <w:r>
        <w:rPr>
          <w:rFonts w:hint="eastAsia" w:ascii="仿宋" w:hAnsi="仿宋" w:eastAsia="仿宋" w:cs="华文仿宋"/>
          <w:color w:val="auto"/>
          <w:sz w:val="32"/>
          <w:szCs w:val="32"/>
          <w:highlight w:val="none"/>
          <w:lang w:eastAsia="zh-CN"/>
        </w:rPr>
        <w:t>支部党员引领示范作用发挥更加充分，基层组织建设和活动深入开展，学校师德师风建设取得明显成效，老师们讲政治、讲纪律，工作自律意识和职业素养都得到了显著提升。工会关心教师疾苦，关注教师诉求，积极主动为学校发展建言献策，为老师发展排忧解难。团队、总务部门也主动积极，任劳任怨。</w:t>
      </w:r>
      <w:r>
        <w:rPr>
          <w:rFonts w:hint="eastAsia" w:ascii="仿宋" w:hAnsi="仿宋" w:eastAsia="仿宋" w:cs="华文仿宋"/>
          <w:color w:val="auto"/>
          <w:sz w:val="32"/>
          <w:szCs w:val="32"/>
          <w:highlight w:val="none"/>
        </w:rPr>
        <w:t>教育扶贫工作在各级检察评估中均呈现诸多经验和亮点</w:t>
      </w:r>
      <w:r>
        <w:rPr>
          <w:rFonts w:hint="eastAsia" w:ascii="仿宋" w:hAnsi="仿宋" w:eastAsia="仿宋" w:cs="华文仿宋"/>
          <w:color w:val="auto"/>
          <w:sz w:val="32"/>
          <w:szCs w:val="32"/>
          <w:highlight w:val="none"/>
          <w:lang w:eastAsia="zh-CN"/>
        </w:rPr>
        <w:t>，为确保昭化区高质量脱贫，我们多渠道反复宣传，每学期走村入户，通过深入细致的工作，做到了资助救助应助尽助，适龄儿童应读尽读。</w:t>
      </w:r>
    </w:p>
    <w:p w14:paraId="7C1F2509">
      <w:pPr>
        <w:rPr>
          <w:rFonts w:hint="eastAsia" w:ascii="仿宋" w:hAnsi="仿宋" w:eastAsia="仿宋" w:cs="仿宋"/>
          <w:b w:val="0"/>
          <w:color w:val="auto"/>
          <w:highlight w:val="none"/>
        </w:rPr>
      </w:pPr>
      <w:bookmarkStart w:id="25" w:name="_Toc15377204"/>
      <w:bookmarkStart w:id="26" w:name="_Toc15396602"/>
      <w:r>
        <w:rPr>
          <w:rFonts w:hint="eastAsia" w:ascii="仿宋" w:hAnsi="仿宋" w:eastAsia="仿宋" w:cs="仿宋"/>
          <w:b w:val="0"/>
          <w:color w:val="auto"/>
          <w:highlight w:val="none"/>
        </w:rPr>
        <w:br w:type="page"/>
      </w:r>
    </w:p>
    <w:p w14:paraId="10EE035B">
      <w:pPr>
        <w:pStyle w:val="3"/>
        <w:bidi w:val="0"/>
        <w:rPr>
          <w:rFonts w:hint="eastAsia" w:ascii="仿宋" w:hAnsi="仿宋" w:eastAsia="仿宋" w:cs="仿宋"/>
          <w:color w:val="auto"/>
          <w:highlight w:val="none"/>
        </w:rPr>
      </w:pPr>
      <w:bookmarkStart w:id="27" w:name="_Toc10437"/>
      <w:r>
        <w:rPr>
          <w:rFonts w:hint="eastAsia" w:ascii="仿宋" w:hAnsi="仿宋" w:eastAsia="仿宋" w:cs="仿宋"/>
          <w:color w:val="auto"/>
          <w:highlight w:val="none"/>
        </w:rPr>
        <w:t>第二部分 2021年度单位决算情况说明</w:t>
      </w:r>
      <w:bookmarkEnd w:id="25"/>
      <w:bookmarkEnd w:id="26"/>
      <w:bookmarkEnd w:id="27"/>
    </w:p>
    <w:p w14:paraId="04CC76A5">
      <w:pPr>
        <w:rPr>
          <w:rFonts w:hint="eastAsia" w:ascii="仿宋" w:hAnsi="仿宋" w:eastAsia="仿宋" w:cs="仿宋"/>
          <w:color w:val="auto"/>
          <w:highlight w:val="none"/>
        </w:rPr>
      </w:pPr>
    </w:p>
    <w:p w14:paraId="6B4552E8">
      <w:pPr>
        <w:pStyle w:val="4"/>
        <w:numPr>
          <w:ilvl w:val="0"/>
          <w:numId w:val="2"/>
        </w:numPr>
        <w:bidi w:val="0"/>
        <w:ind w:left="0" w:leftChars="0" w:firstLine="643" w:firstLineChars="200"/>
        <w:rPr>
          <w:rFonts w:hint="eastAsia" w:ascii="仿宋" w:hAnsi="仿宋" w:eastAsia="仿宋" w:cs="仿宋"/>
          <w:color w:val="auto"/>
          <w:highlight w:val="none"/>
        </w:rPr>
      </w:pPr>
      <w:bookmarkStart w:id="28" w:name="_Toc15396603"/>
      <w:bookmarkStart w:id="29" w:name="_Toc5075"/>
      <w:bookmarkStart w:id="30" w:name="_Toc15377205"/>
      <w:r>
        <w:rPr>
          <w:rFonts w:hint="eastAsia" w:ascii="仿宋" w:hAnsi="仿宋" w:eastAsia="仿宋" w:cs="仿宋"/>
          <w:color w:val="auto"/>
          <w:highlight w:val="none"/>
        </w:rPr>
        <w:t>收入支出决算总体情况说明</w:t>
      </w:r>
      <w:bookmarkEnd w:id="28"/>
      <w:bookmarkEnd w:id="29"/>
      <w:bookmarkEnd w:id="30"/>
    </w:p>
    <w:p w14:paraId="3DCB097F">
      <w:pPr>
        <w:spacing w:line="600" w:lineRule="exact"/>
        <w:ind w:firstLine="640" w:firstLineChars="200"/>
        <w:outlineLvl w:val="1"/>
        <w:rPr>
          <w:rFonts w:hint="eastAsia" w:ascii="仿宋" w:hAnsi="仿宋" w:eastAsia="仿宋" w:cs="仿宋"/>
          <w:color w:val="auto"/>
          <w:highlight w:val="none"/>
          <w:lang w:eastAsia="zh-CN"/>
        </w:rPr>
      </w:pPr>
      <w:bookmarkStart w:id="31" w:name="_Toc20585"/>
      <w:bookmarkStart w:id="32" w:name="_Toc9801"/>
      <w:r>
        <w:rPr>
          <w:rFonts w:hint="eastAsia" w:ascii="仿宋" w:hAnsi="仿宋" w:eastAsia="仿宋" w:cs="仿宋"/>
          <w:color w:val="auto"/>
          <w:sz w:val="32"/>
          <w:szCs w:val="32"/>
          <w:highlight w:val="none"/>
        </w:rPr>
        <w:t>2021年度收、支总计</w:t>
      </w:r>
      <w:r>
        <w:rPr>
          <w:rFonts w:hint="eastAsia" w:ascii="仿宋" w:hAnsi="仿宋" w:eastAsia="仿宋" w:cs="仿宋"/>
          <w:color w:val="auto"/>
          <w:sz w:val="32"/>
          <w:szCs w:val="32"/>
          <w:highlight w:val="none"/>
          <w:lang w:val="en-US" w:eastAsia="zh-CN"/>
        </w:rPr>
        <w:t>571.03</w:t>
      </w:r>
      <w:r>
        <w:rPr>
          <w:rFonts w:hint="eastAsia" w:ascii="仿宋" w:hAnsi="仿宋" w:eastAsia="仿宋" w:cs="仿宋"/>
          <w:color w:val="auto"/>
          <w:sz w:val="32"/>
          <w:szCs w:val="32"/>
          <w:highlight w:val="none"/>
        </w:rPr>
        <w:t>万元。与2020年相比，收、支总计各</w:t>
      </w:r>
      <w:r>
        <w:rPr>
          <w:rFonts w:hint="eastAsia" w:ascii="仿宋" w:hAnsi="仿宋" w:eastAsia="仿宋" w:cs="仿宋"/>
          <w:color w:val="auto"/>
          <w:sz w:val="32"/>
          <w:szCs w:val="32"/>
          <w:highlight w:val="none"/>
          <w:lang w:eastAsia="zh-CN"/>
        </w:rPr>
        <w:t>减少</w:t>
      </w:r>
      <w:r>
        <w:rPr>
          <w:rFonts w:hint="eastAsia" w:ascii="仿宋" w:hAnsi="仿宋" w:eastAsia="仿宋" w:cs="仿宋"/>
          <w:color w:val="auto"/>
          <w:sz w:val="32"/>
          <w:szCs w:val="32"/>
          <w:highlight w:val="none"/>
          <w:lang w:val="en-US" w:eastAsia="zh-CN"/>
        </w:rPr>
        <w:t>100.25</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减少</w:t>
      </w:r>
      <w:r>
        <w:rPr>
          <w:rFonts w:hint="eastAsia" w:ascii="仿宋" w:hAnsi="仿宋" w:eastAsia="仿宋" w:cs="仿宋"/>
          <w:color w:val="auto"/>
          <w:sz w:val="32"/>
          <w:szCs w:val="32"/>
          <w:highlight w:val="none"/>
          <w:lang w:val="en-US" w:eastAsia="zh-CN"/>
        </w:rPr>
        <w:t>14.93</w:t>
      </w:r>
      <w:r>
        <w:rPr>
          <w:rFonts w:hint="eastAsia" w:ascii="仿宋" w:hAnsi="仿宋" w:eastAsia="仿宋" w:cs="仿宋"/>
          <w:color w:val="auto"/>
          <w:sz w:val="32"/>
          <w:szCs w:val="32"/>
          <w:highlight w:val="none"/>
        </w:rPr>
        <w:t>%。主要变动原因是</w:t>
      </w:r>
      <w:r>
        <w:rPr>
          <w:rFonts w:hint="eastAsia" w:ascii="仿宋" w:hAnsi="仿宋" w:eastAsia="仿宋" w:cs="仿宋"/>
          <w:color w:val="auto"/>
          <w:sz w:val="32"/>
          <w:szCs w:val="32"/>
          <w:highlight w:val="none"/>
          <w:lang w:eastAsia="zh-CN"/>
        </w:rPr>
        <w:t>项目支出减少</w:t>
      </w:r>
      <w:r>
        <w:rPr>
          <w:rFonts w:hint="eastAsia" w:ascii="仿宋" w:hAnsi="仿宋" w:eastAsia="仿宋" w:cs="仿宋"/>
          <w:color w:val="auto"/>
          <w:sz w:val="32"/>
          <w:szCs w:val="32"/>
          <w:highlight w:val="none"/>
        </w:rPr>
        <w:t>。</w:t>
      </w:r>
      <w:bookmarkEnd w:id="31"/>
      <w:bookmarkEnd w:id="32"/>
    </w:p>
    <w:p w14:paraId="5ADCC102">
      <w:pPr>
        <w:pStyle w:val="4"/>
        <w:numPr>
          <w:ilvl w:val="0"/>
          <w:numId w:val="2"/>
        </w:numPr>
        <w:bidi w:val="0"/>
        <w:ind w:left="0" w:leftChars="0" w:firstLine="643" w:firstLineChars="200"/>
        <w:jc w:val="left"/>
        <w:rPr>
          <w:rFonts w:hint="eastAsia" w:ascii="仿宋" w:hAnsi="仿宋" w:eastAsia="仿宋" w:cs="仿宋"/>
          <w:color w:val="auto"/>
          <w:highlight w:val="none"/>
        </w:rPr>
      </w:pPr>
      <w:bookmarkStart w:id="33" w:name="_Toc11923"/>
      <w:bookmarkStart w:id="34" w:name="_Toc15377206"/>
      <w:bookmarkStart w:id="35" w:name="_Toc15396604"/>
      <w:r>
        <w:rPr>
          <w:rFonts w:hint="eastAsia" w:ascii="仿宋" w:hAnsi="仿宋" w:eastAsia="仿宋" w:cs="仿宋"/>
          <w:color w:val="auto"/>
          <w:highlight w:val="none"/>
          <w:lang w:eastAsia="zh-CN"/>
        </w:rPr>
        <w:drawing>
          <wp:anchor distT="0" distB="0" distL="114300" distR="114300" simplePos="0" relativeHeight="251660288" behindDoc="0" locked="0" layoutInCell="1" allowOverlap="1">
            <wp:simplePos x="0" y="0"/>
            <wp:positionH relativeFrom="column">
              <wp:posOffset>213995</wp:posOffset>
            </wp:positionH>
            <wp:positionV relativeFrom="paragraph">
              <wp:posOffset>22860</wp:posOffset>
            </wp:positionV>
            <wp:extent cx="5080000" cy="2125345"/>
            <wp:effectExtent l="4445" t="4445" r="20955" b="22860"/>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r>
        <w:rPr>
          <w:rFonts w:hint="eastAsia" w:ascii="仿宋" w:hAnsi="仿宋" w:eastAsia="仿宋" w:cs="仿宋"/>
          <w:color w:val="auto"/>
          <w:highlight w:val="none"/>
        </w:rPr>
        <w:t>收入决算情况说明</w:t>
      </w:r>
      <w:bookmarkEnd w:id="33"/>
      <w:bookmarkEnd w:id="34"/>
      <w:bookmarkEnd w:id="35"/>
    </w:p>
    <w:p w14:paraId="60EEF2AC">
      <w:pPr>
        <w:spacing w:line="600" w:lineRule="exact"/>
        <w:ind w:firstLine="640" w:firstLineChars="200"/>
        <w:outlineLvl w:val="1"/>
        <w:rPr>
          <w:rFonts w:hint="eastAsia" w:ascii="仿宋" w:hAnsi="仿宋" w:eastAsia="仿宋" w:cs="仿宋"/>
          <w:color w:val="auto"/>
          <w:sz w:val="32"/>
          <w:szCs w:val="32"/>
          <w:highlight w:val="none"/>
          <w:lang w:eastAsia="zh-CN"/>
        </w:rPr>
      </w:pPr>
      <w:bookmarkStart w:id="36" w:name="_Toc32714"/>
      <w:bookmarkStart w:id="37" w:name="_Toc28868"/>
      <w:r>
        <w:rPr>
          <w:rFonts w:hint="eastAsia" w:ascii="仿宋" w:hAnsi="仿宋" w:eastAsia="仿宋" w:cs="仿宋"/>
          <w:color w:val="auto"/>
          <w:sz w:val="32"/>
          <w:szCs w:val="32"/>
          <w:highlight w:val="none"/>
        </w:rPr>
        <w:t>2021年本年收入合计</w:t>
      </w:r>
      <w:r>
        <w:rPr>
          <w:rFonts w:hint="eastAsia" w:ascii="仿宋" w:hAnsi="仿宋" w:eastAsia="仿宋" w:cs="仿宋"/>
          <w:color w:val="auto"/>
          <w:sz w:val="32"/>
          <w:szCs w:val="32"/>
          <w:highlight w:val="none"/>
          <w:lang w:val="en-US" w:eastAsia="zh-CN"/>
        </w:rPr>
        <w:t>571.03</w:t>
      </w:r>
      <w:r>
        <w:rPr>
          <w:rFonts w:hint="eastAsia" w:ascii="仿宋" w:hAnsi="仿宋" w:eastAsia="仿宋" w:cs="仿宋"/>
          <w:color w:val="auto"/>
          <w:sz w:val="32"/>
          <w:szCs w:val="32"/>
          <w:highlight w:val="none"/>
        </w:rPr>
        <w:t>万元，其中：一般公共预算财政拨款收入</w:t>
      </w:r>
      <w:r>
        <w:rPr>
          <w:rFonts w:hint="eastAsia" w:ascii="仿宋" w:hAnsi="仿宋" w:eastAsia="仿宋" w:cs="仿宋"/>
          <w:color w:val="auto"/>
          <w:sz w:val="32"/>
          <w:szCs w:val="32"/>
          <w:highlight w:val="none"/>
          <w:lang w:val="en-US" w:eastAsia="zh-CN"/>
        </w:rPr>
        <w:t>571.03</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bookmarkEnd w:id="36"/>
      <w:bookmarkEnd w:id="37"/>
    </w:p>
    <w:p w14:paraId="19921D40">
      <w:pPr>
        <w:pStyle w:val="16"/>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drawing>
          <wp:anchor distT="0" distB="0" distL="114300" distR="114300" simplePos="0" relativeHeight="251661312" behindDoc="0" locked="0" layoutInCell="1" allowOverlap="1">
            <wp:simplePos x="0" y="0"/>
            <wp:positionH relativeFrom="column">
              <wp:posOffset>-38100</wp:posOffset>
            </wp:positionH>
            <wp:positionV relativeFrom="paragraph">
              <wp:posOffset>27305</wp:posOffset>
            </wp:positionV>
            <wp:extent cx="5584825" cy="2199640"/>
            <wp:effectExtent l="4445" t="4445" r="11430" b="5715"/>
            <wp:wrapTopAndBottom/>
            <wp:docPr id="13" name="图表 13" descr="7b0a202020202263686172745265734964223a20223230343734353235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14:paraId="61E3E27F">
      <w:pPr>
        <w:pStyle w:val="4"/>
        <w:bidi w:val="0"/>
        <w:rPr>
          <w:rFonts w:hint="eastAsia" w:ascii="仿宋" w:hAnsi="仿宋" w:eastAsia="仿宋" w:cs="仿宋"/>
          <w:color w:val="auto"/>
          <w:highlight w:val="none"/>
        </w:rPr>
      </w:pPr>
      <w:bookmarkStart w:id="38" w:name="_Toc2775"/>
      <w:bookmarkStart w:id="39" w:name="_Toc15377207"/>
      <w:bookmarkStart w:id="40" w:name="_Toc15396605"/>
      <w:r>
        <w:rPr>
          <w:rFonts w:hint="eastAsia" w:ascii="仿宋" w:hAnsi="仿宋" w:eastAsia="仿宋" w:cs="仿宋"/>
          <w:color w:val="auto"/>
          <w:highlight w:val="none"/>
          <w:lang w:eastAsia="zh-CN"/>
        </w:rPr>
        <w:t>三、</w:t>
      </w:r>
      <w:r>
        <w:rPr>
          <w:rFonts w:hint="eastAsia" w:ascii="仿宋" w:hAnsi="仿宋" w:eastAsia="仿宋" w:cs="仿宋"/>
          <w:color w:val="auto"/>
          <w:highlight w:val="none"/>
        </w:rPr>
        <w:t>支出决算情况说明</w:t>
      </w:r>
      <w:bookmarkEnd w:id="38"/>
      <w:bookmarkEnd w:id="39"/>
      <w:bookmarkEnd w:id="40"/>
    </w:p>
    <w:p w14:paraId="419CE154">
      <w:pPr>
        <w:spacing w:line="600" w:lineRule="exact"/>
        <w:ind w:firstLine="640" w:firstLineChars="200"/>
        <w:outlineLvl w:val="1"/>
        <w:rPr>
          <w:rFonts w:hint="eastAsia" w:ascii="仿宋" w:hAnsi="仿宋" w:eastAsia="仿宋" w:cs="仿宋"/>
          <w:color w:val="auto"/>
          <w:sz w:val="32"/>
          <w:szCs w:val="32"/>
          <w:highlight w:val="none"/>
        </w:rPr>
      </w:pPr>
      <w:bookmarkStart w:id="41" w:name="_Toc30363"/>
      <w:bookmarkStart w:id="42" w:name="_Toc6817"/>
      <w:r>
        <w:rPr>
          <w:rFonts w:hint="eastAsia" w:ascii="仿宋" w:hAnsi="仿宋" w:eastAsia="仿宋" w:cs="仿宋"/>
          <w:color w:val="auto"/>
          <w:sz w:val="32"/>
          <w:szCs w:val="32"/>
          <w:highlight w:val="none"/>
          <w:shd w:val="pct10" w:color="auto" w:fill="FFFFFF"/>
        </w:rPr>
        <w:drawing>
          <wp:anchor distT="0" distB="0" distL="114300" distR="114300" simplePos="0" relativeHeight="251659264" behindDoc="0" locked="0" layoutInCell="1" allowOverlap="1">
            <wp:simplePos x="0" y="0"/>
            <wp:positionH relativeFrom="column">
              <wp:posOffset>43815</wp:posOffset>
            </wp:positionH>
            <wp:positionV relativeFrom="paragraph">
              <wp:posOffset>889635</wp:posOffset>
            </wp:positionV>
            <wp:extent cx="5080000" cy="2929255"/>
            <wp:effectExtent l="4445" t="4445" r="20955" b="19050"/>
            <wp:wrapTopAndBottom/>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eastAsia" w:ascii="仿宋" w:hAnsi="仿宋" w:eastAsia="仿宋" w:cs="仿宋"/>
          <w:color w:val="auto"/>
          <w:sz w:val="32"/>
          <w:szCs w:val="32"/>
          <w:highlight w:val="none"/>
        </w:rPr>
        <w:t>2021年本年支出合计</w:t>
      </w:r>
      <w:r>
        <w:rPr>
          <w:rFonts w:hint="eastAsia" w:ascii="仿宋" w:hAnsi="仿宋" w:eastAsia="仿宋" w:cs="仿宋"/>
          <w:color w:val="auto"/>
          <w:sz w:val="32"/>
          <w:szCs w:val="32"/>
          <w:highlight w:val="none"/>
          <w:lang w:eastAsia="zh-CN"/>
        </w:rPr>
        <w:t>571.03</w:t>
      </w:r>
      <w:r>
        <w:rPr>
          <w:rFonts w:hint="eastAsia" w:ascii="仿宋" w:hAnsi="仿宋" w:eastAsia="仿宋" w:cs="仿宋"/>
          <w:color w:val="auto"/>
          <w:sz w:val="32"/>
          <w:szCs w:val="32"/>
          <w:highlight w:val="none"/>
        </w:rPr>
        <w:t>万元，其中：基本支出</w:t>
      </w:r>
      <w:r>
        <w:rPr>
          <w:rFonts w:hint="eastAsia" w:ascii="仿宋" w:hAnsi="仿宋" w:eastAsia="仿宋" w:cs="仿宋"/>
          <w:color w:val="auto"/>
          <w:sz w:val="32"/>
          <w:szCs w:val="32"/>
          <w:highlight w:val="none"/>
          <w:lang w:eastAsia="zh-CN"/>
        </w:rPr>
        <w:t>416.03</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72.86</w:t>
      </w:r>
      <w:r>
        <w:rPr>
          <w:rFonts w:hint="eastAsia" w:ascii="仿宋" w:hAnsi="仿宋" w:eastAsia="仿宋" w:cs="仿宋"/>
          <w:color w:val="auto"/>
          <w:sz w:val="32"/>
          <w:szCs w:val="32"/>
          <w:highlight w:val="none"/>
        </w:rPr>
        <w:t>%；项目支出</w:t>
      </w:r>
      <w:r>
        <w:rPr>
          <w:rFonts w:hint="eastAsia" w:ascii="仿宋" w:hAnsi="仿宋" w:eastAsia="仿宋" w:cs="仿宋"/>
          <w:color w:val="auto"/>
          <w:sz w:val="32"/>
          <w:szCs w:val="32"/>
          <w:highlight w:val="none"/>
          <w:lang w:eastAsia="zh-CN"/>
        </w:rPr>
        <w:t>155.00</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27.14</w:t>
      </w:r>
      <w:r>
        <w:rPr>
          <w:rFonts w:hint="eastAsia" w:ascii="仿宋" w:hAnsi="仿宋" w:eastAsia="仿宋" w:cs="仿宋"/>
          <w:color w:val="auto"/>
          <w:sz w:val="32"/>
          <w:szCs w:val="32"/>
          <w:highlight w:val="none"/>
        </w:rPr>
        <w:t>%。</w:t>
      </w:r>
      <w:bookmarkEnd w:id="41"/>
      <w:bookmarkEnd w:id="42"/>
    </w:p>
    <w:p w14:paraId="6B816AA0">
      <w:pPr>
        <w:pStyle w:val="4"/>
        <w:bidi w:val="0"/>
        <w:rPr>
          <w:rFonts w:hint="eastAsia" w:ascii="仿宋" w:hAnsi="仿宋" w:eastAsia="仿宋" w:cs="仿宋"/>
          <w:color w:val="auto"/>
          <w:highlight w:val="none"/>
        </w:rPr>
      </w:pPr>
      <w:bookmarkStart w:id="43" w:name="_Toc15377208"/>
      <w:bookmarkStart w:id="44" w:name="_Toc12678"/>
      <w:bookmarkStart w:id="45" w:name="_Toc15396606"/>
      <w:r>
        <w:rPr>
          <w:rFonts w:hint="eastAsia" w:ascii="仿宋" w:hAnsi="仿宋" w:eastAsia="仿宋" w:cs="仿宋"/>
          <w:color w:val="auto"/>
          <w:highlight w:val="none"/>
        </w:rPr>
        <w:t>四、财政拨款收入支出决算总体情况说明</w:t>
      </w:r>
      <w:bookmarkEnd w:id="43"/>
      <w:bookmarkEnd w:id="44"/>
      <w:bookmarkEnd w:id="45"/>
    </w:p>
    <w:p w14:paraId="7B655050">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2021年财政拨款收、支总计</w:t>
      </w:r>
      <w:r>
        <w:rPr>
          <w:rFonts w:hint="eastAsia" w:ascii="仿宋" w:hAnsi="仿宋" w:eastAsia="仿宋" w:cs="仿宋"/>
          <w:color w:val="auto"/>
          <w:sz w:val="32"/>
          <w:szCs w:val="32"/>
          <w:highlight w:val="none"/>
          <w:lang w:eastAsia="zh-CN"/>
        </w:rPr>
        <w:t>571.03</w:t>
      </w:r>
      <w:r>
        <w:rPr>
          <w:rFonts w:hint="eastAsia" w:ascii="仿宋" w:hAnsi="仿宋" w:eastAsia="仿宋" w:cs="仿宋"/>
          <w:color w:val="auto"/>
          <w:sz w:val="32"/>
          <w:szCs w:val="32"/>
          <w:highlight w:val="none"/>
        </w:rPr>
        <w:t>万元。与2020年相比，财政拨款收、支总计各</w:t>
      </w:r>
      <w:r>
        <w:rPr>
          <w:rFonts w:hint="eastAsia" w:ascii="仿宋" w:hAnsi="仿宋" w:eastAsia="仿宋" w:cs="仿宋"/>
          <w:color w:val="auto"/>
          <w:sz w:val="32"/>
          <w:szCs w:val="32"/>
          <w:highlight w:val="none"/>
          <w:lang w:eastAsia="zh-CN"/>
        </w:rPr>
        <w:t>减少100.25</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减少14.93</w:t>
      </w:r>
      <w:r>
        <w:rPr>
          <w:rFonts w:hint="eastAsia" w:ascii="仿宋" w:hAnsi="仿宋" w:eastAsia="仿宋" w:cs="仿宋"/>
          <w:color w:val="auto"/>
          <w:sz w:val="32"/>
          <w:szCs w:val="32"/>
          <w:highlight w:val="none"/>
        </w:rPr>
        <w:t>%。主要变动原因是</w:t>
      </w:r>
      <w:r>
        <w:rPr>
          <w:rFonts w:hint="eastAsia" w:ascii="仿宋" w:hAnsi="仿宋" w:eastAsia="仿宋" w:cs="仿宋"/>
          <w:color w:val="auto"/>
          <w:sz w:val="32"/>
          <w:szCs w:val="32"/>
          <w:highlight w:val="none"/>
          <w:lang w:eastAsia="zh-CN"/>
        </w:rPr>
        <w:t>项目支出减少</w:t>
      </w:r>
      <w:r>
        <w:rPr>
          <w:rFonts w:hint="eastAsia" w:ascii="仿宋" w:hAnsi="仿宋" w:eastAsia="仿宋" w:cs="仿宋"/>
          <w:color w:val="auto"/>
          <w:sz w:val="32"/>
          <w:szCs w:val="32"/>
          <w:highlight w:val="none"/>
        </w:rPr>
        <w:t>。</w:t>
      </w:r>
    </w:p>
    <w:p w14:paraId="3F1EE7C5">
      <w:pPr>
        <w:pStyle w:val="16"/>
        <w:rPr>
          <w:rFonts w:hint="eastAsia" w:ascii="仿宋" w:hAnsi="仿宋" w:eastAsia="仿宋" w:cs="仿宋"/>
          <w:color w:val="auto"/>
          <w:highlight w:val="none"/>
        </w:rPr>
      </w:pPr>
      <w:r>
        <w:rPr>
          <w:rFonts w:hint="eastAsia" w:ascii="仿宋" w:hAnsi="仿宋" w:eastAsia="仿宋" w:cs="仿宋"/>
          <w:color w:val="auto"/>
          <w:highlight w:val="none"/>
          <w:lang w:eastAsia="zh-CN"/>
        </w:rPr>
        <w:drawing>
          <wp:anchor distT="0" distB="0" distL="114300" distR="114300" simplePos="0" relativeHeight="251662336" behindDoc="0" locked="0" layoutInCell="1" allowOverlap="1">
            <wp:simplePos x="0" y="0"/>
            <wp:positionH relativeFrom="column">
              <wp:posOffset>4445</wp:posOffset>
            </wp:positionH>
            <wp:positionV relativeFrom="paragraph">
              <wp:posOffset>208280</wp:posOffset>
            </wp:positionV>
            <wp:extent cx="5080000" cy="2734945"/>
            <wp:effectExtent l="4445" t="4445" r="20955" b="22860"/>
            <wp:wrapTopAndBottom/>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14:paraId="6149A1A4">
      <w:pPr>
        <w:pStyle w:val="4"/>
        <w:bidi w:val="0"/>
        <w:rPr>
          <w:rFonts w:hint="eastAsia" w:ascii="仿宋" w:hAnsi="仿宋" w:eastAsia="仿宋" w:cs="仿宋"/>
          <w:color w:val="auto"/>
          <w:highlight w:val="none"/>
        </w:rPr>
      </w:pPr>
      <w:bookmarkStart w:id="46" w:name="_Toc16782"/>
      <w:bookmarkStart w:id="47" w:name="_Toc15377209"/>
      <w:bookmarkStart w:id="48" w:name="_Toc15396607"/>
      <w:r>
        <w:rPr>
          <w:rFonts w:hint="eastAsia" w:ascii="仿宋" w:hAnsi="仿宋" w:eastAsia="仿宋" w:cs="仿宋"/>
          <w:color w:val="auto"/>
          <w:highlight w:val="none"/>
        </w:rPr>
        <w:t>五、一般公共预算财政拨款支出决算情况说明</w:t>
      </w:r>
      <w:bookmarkEnd w:id="46"/>
      <w:bookmarkEnd w:id="47"/>
      <w:bookmarkEnd w:id="48"/>
    </w:p>
    <w:p w14:paraId="727273A9">
      <w:pPr>
        <w:spacing w:line="600" w:lineRule="exact"/>
        <w:ind w:firstLine="643" w:firstLineChars="200"/>
        <w:outlineLvl w:val="2"/>
        <w:rPr>
          <w:rFonts w:hint="eastAsia" w:ascii="仿宋" w:hAnsi="仿宋" w:eastAsia="仿宋" w:cs="仿宋"/>
          <w:b/>
          <w:color w:val="auto"/>
          <w:sz w:val="32"/>
          <w:szCs w:val="32"/>
          <w:highlight w:val="none"/>
        </w:rPr>
      </w:pPr>
      <w:bookmarkStart w:id="49" w:name="_Toc15377210"/>
      <w:r>
        <w:rPr>
          <w:rFonts w:hint="eastAsia" w:ascii="仿宋" w:hAnsi="仿宋" w:eastAsia="仿宋" w:cs="仿宋"/>
          <w:b/>
          <w:color w:val="auto"/>
          <w:sz w:val="32"/>
          <w:szCs w:val="32"/>
          <w:highlight w:val="none"/>
        </w:rPr>
        <w:t>（一）一般公共预算财政拨款支出决算总体情况</w:t>
      </w:r>
      <w:bookmarkEnd w:id="49"/>
    </w:p>
    <w:p w14:paraId="77CC381D">
      <w:pPr>
        <w:spacing w:line="600" w:lineRule="exact"/>
        <w:ind w:firstLine="640"/>
        <w:rPr>
          <w:rFonts w:hint="eastAsia" w:ascii="仿宋" w:hAnsi="仿宋" w:eastAsia="仿宋" w:cs="仿宋"/>
          <w:b/>
          <w:color w:val="auto"/>
          <w:sz w:val="32"/>
          <w:szCs w:val="32"/>
          <w:highlight w:val="none"/>
          <w:lang w:eastAsia="zh-CN"/>
        </w:rPr>
      </w:pPr>
      <w:r>
        <w:rPr>
          <w:rFonts w:hint="eastAsia" w:ascii="仿宋" w:hAnsi="仿宋" w:eastAsia="仿宋" w:cs="仿宋"/>
          <w:color w:val="auto"/>
          <w:sz w:val="32"/>
          <w:szCs w:val="32"/>
          <w:highlight w:val="none"/>
        </w:rPr>
        <w:t>2021年一般公共预算财政拨款支出</w:t>
      </w:r>
      <w:r>
        <w:rPr>
          <w:rFonts w:hint="eastAsia" w:ascii="仿宋" w:hAnsi="仿宋" w:eastAsia="仿宋" w:cs="仿宋"/>
          <w:color w:val="auto"/>
          <w:sz w:val="32"/>
          <w:szCs w:val="32"/>
          <w:highlight w:val="none"/>
          <w:lang w:eastAsia="zh-CN"/>
        </w:rPr>
        <w:t>571.03</w:t>
      </w:r>
      <w:r>
        <w:rPr>
          <w:rFonts w:hint="eastAsia" w:ascii="仿宋" w:hAnsi="仿宋" w:eastAsia="仿宋" w:cs="仿宋"/>
          <w:color w:val="auto"/>
          <w:sz w:val="32"/>
          <w:szCs w:val="32"/>
          <w:highlight w:val="none"/>
        </w:rPr>
        <w:t>万元，占本年支出合计的</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%。与2020年</w:t>
      </w:r>
      <w:r>
        <w:rPr>
          <w:rFonts w:hint="eastAsia" w:ascii="仿宋" w:hAnsi="仿宋" w:eastAsia="仿宋" w:cs="仿宋"/>
          <w:color w:val="auto"/>
          <w:sz w:val="32"/>
          <w:szCs w:val="32"/>
          <w:highlight w:val="none"/>
          <w:lang w:val="en-US" w:eastAsia="zh-CN"/>
        </w:rPr>
        <w:t>671.28</w:t>
      </w:r>
      <w:r>
        <w:rPr>
          <w:rFonts w:hint="eastAsia" w:ascii="仿宋" w:hAnsi="仿宋" w:eastAsia="仿宋" w:cs="仿宋"/>
          <w:color w:val="auto"/>
          <w:sz w:val="32"/>
          <w:szCs w:val="32"/>
          <w:highlight w:val="none"/>
          <w:lang w:eastAsia="zh-CN"/>
        </w:rPr>
        <w:t>万元</w:t>
      </w:r>
      <w:r>
        <w:rPr>
          <w:rFonts w:hint="eastAsia" w:ascii="仿宋" w:hAnsi="仿宋" w:eastAsia="仿宋" w:cs="仿宋"/>
          <w:color w:val="auto"/>
          <w:sz w:val="32"/>
          <w:szCs w:val="32"/>
          <w:highlight w:val="none"/>
        </w:rPr>
        <w:t>相比，一般公共预算财政拨款支出</w:t>
      </w:r>
      <w:r>
        <w:rPr>
          <w:rFonts w:hint="eastAsia" w:ascii="仿宋" w:hAnsi="仿宋" w:eastAsia="仿宋" w:cs="仿宋"/>
          <w:color w:val="auto"/>
          <w:sz w:val="32"/>
          <w:szCs w:val="32"/>
          <w:highlight w:val="none"/>
          <w:lang w:eastAsia="zh-CN"/>
        </w:rPr>
        <w:t>减少100.25</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减少14.93</w:t>
      </w:r>
      <w:r>
        <w:rPr>
          <w:rFonts w:hint="eastAsia" w:ascii="仿宋" w:hAnsi="仿宋" w:eastAsia="仿宋" w:cs="仿宋"/>
          <w:color w:val="auto"/>
          <w:sz w:val="32"/>
          <w:szCs w:val="32"/>
          <w:highlight w:val="none"/>
        </w:rPr>
        <w:t>%。主要变动原因是</w:t>
      </w:r>
      <w:r>
        <w:rPr>
          <w:rFonts w:hint="eastAsia" w:ascii="仿宋" w:hAnsi="仿宋" w:eastAsia="仿宋" w:cs="仿宋"/>
          <w:color w:val="auto"/>
          <w:sz w:val="32"/>
          <w:szCs w:val="32"/>
          <w:highlight w:val="none"/>
          <w:lang w:eastAsia="zh-CN"/>
        </w:rPr>
        <w:t>项目支出减少</w:t>
      </w:r>
      <w:r>
        <w:rPr>
          <w:rFonts w:hint="eastAsia" w:ascii="仿宋" w:hAnsi="仿宋" w:eastAsia="仿宋" w:cs="仿宋"/>
          <w:color w:val="auto"/>
          <w:sz w:val="32"/>
          <w:szCs w:val="32"/>
          <w:highlight w:val="none"/>
        </w:rPr>
        <w:t>。</w:t>
      </w:r>
    </w:p>
    <w:p w14:paraId="6F2983AE">
      <w:pPr>
        <w:spacing w:line="600" w:lineRule="exact"/>
        <w:ind w:firstLine="643" w:firstLineChars="200"/>
        <w:outlineLvl w:val="2"/>
        <w:rPr>
          <w:rFonts w:hint="eastAsia" w:ascii="仿宋" w:hAnsi="仿宋" w:eastAsia="仿宋" w:cs="仿宋"/>
          <w:b/>
          <w:color w:val="auto"/>
          <w:sz w:val="32"/>
          <w:szCs w:val="32"/>
          <w:highlight w:val="none"/>
        </w:rPr>
      </w:pPr>
      <w:bookmarkStart w:id="50" w:name="_Toc15377211"/>
      <w:r>
        <w:rPr>
          <w:rFonts w:hint="eastAsia" w:ascii="仿宋" w:hAnsi="仿宋" w:eastAsia="仿宋" w:cs="仿宋"/>
          <w:b/>
          <w:color w:val="auto"/>
          <w:sz w:val="32"/>
          <w:szCs w:val="32"/>
          <w:highlight w:val="none"/>
          <w:lang w:eastAsia="zh-CN"/>
        </w:rPr>
        <w:drawing>
          <wp:anchor distT="0" distB="0" distL="114300" distR="114300" simplePos="0" relativeHeight="251663360" behindDoc="0" locked="0" layoutInCell="1" allowOverlap="1">
            <wp:simplePos x="0" y="0"/>
            <wp:positionH relativeFrom="column">
              <wp:posOffset>4445</wp:posOffset>
            </wp:positionH>
            <wp:positionV relativeFrom="paragraph">
              <wp:posOffset>118110</wp:posOffset>
            </wp:positionV>
            <wp:extent cx="5080000" cy="2391410"/>
            <wp:effectExtent l="4445" t="4445" r="20955" b="23495"/>
            <wp:wrapTopAndBottom/>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仿宋" w:hAnsi="仿宋" w:eastAsia="仿宋" w:cs="仿宋"/>
          <w:b/>
          <w:color w:val="auto"/>
          <w:sz w:val="32"/>
          <w:szCs w:val="32"/>
          <w:highlight w:val="none"/>
        </w:rPr>
        <w:t>（二）一般公共预算财政拨款支出决算结构情况</w:t>
      </w:r>
      <w:bookmarkEnd w:id="50"/>
    </w:p>
    <w:p w14:paraId="0A3DC3BD">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b/>
          <w:color w:val="auto"/>
          <w:sz w:val="32"/>
          <w:szCs w:val="32"/>
          <w:highlight w:val="none"/>
        </w:rPr>
        <w:drawing>
          <wp:anchor distT="0" distB="0" distL="114300" distR="114300" simplePos="0" relativeHeight="251664384" behindDoc="0" locked="0" layoutInCell="1" allowOverlap="1">
            <wp:simplePos x="0" y="0"/>
            <wp:positionH relativeFrom="column">
              <wp:posOffset>52070</wp:posOffset>
            </wp:positionH>
            <wp:positionV relativeFrom="paragraph">
              <wp:posOffset>956945</wp:posOffset>
            </wp:positionV>
            <wp:extent cx="5080000" cy="2524125"/>
            <wp:effectExtent l="4445" t="4445" r="20955" b="5080"/>
            <wp:wrapTopAndBottom/>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ascii="仿宋" w:hAnsi="仿宋" w:eastAsia="仿宋" w:cs="仿宋"/>
          <w:color w:val="auto"/>
          <w:sz w:val="32"/>
          <w:szCs w:val="32"/>
          <w:highlight w:val="none"/>
        </w:rPr>
        <w:t>2021年一般公共预算财政拨款支出</w:t>
      </w:r>
      <w:r>
        <w:rPr>
          <w:rFonts w:hint="eastAsia" w:ascii="仿宋" w:hAnsi="仿宋" w:eastAsia="仿宋" w:cs="仿宋"/>
          <w:color w:val="auto"/>
          <w:sz w:val="32"/>
          <w:szCs w:val="32"/>
          <w:highlight w:val="none"/>
          <w:lang w:val="en-US" w:eastAsia="zh-CN"/>
        </w:rPr>
        <w:t>571.03</w:t>
      </w:r>
      <w:r>
        <w:rPr>
          <w:rFonts w:hint="eastAsia" w:ascii="仿宋" w:hAnsi="仿宋" w:eastAsia="仿宋" w:cs="仿宋"/>
          <w:color w:val="auto"/>
          <w:sz w:val="32"/>
          <w:szCs w:val="32"/>
          <w:highlight w:val="none"/>
        </w:rPr>
        <w:t>万元，主要用于以下方面:</w:t>
      </w:r>
      <w:r>
        <w:rPr>
          <w:rFonts w:hint="eastAsia" w:ascii="仿宋" w:hAnsi="仿宋" w:eastAsia="仿宋" w:cs="仿宋"/>
          <w:b/>
          <w:color w:val="auto"/>
          <w:sz w:val="32"/>
          <w:szCs w:val="32"/>
          <w:highlight w:val="none"/>
        </w:rPr>
        <w:t>教育支出（类）</w:t>
      </w:r>
      <w:r>
        <w:rPr>
          <w:rFonts w:hint="eastAsia" w:ascii="仿宋" w:hAnsi="仿宋" w:eastAsia="仿宋" w:cs="仿宋"/>
          <w:color w:val="auto"/>
          <w:sz w:val="32"/>
          <w:szCs w:val="32"/>
          <w:highlight w:val="none"/>
          <w:lang w:val="en-US" w:eastAsia="zh-CN"/>
        </w:rPr>
        <w:t>571.03</w:t>
      </w:r>
      <w:r>
        <w:rPr>
          <w:rFonts w:hint="eastAsia" w:ascii="仿宋" w:hAnsi="仿宋" w:eastAsia="仿宋" w:cs="仿宋"/>
          <w:color w:val="auto"/>
          <w:sz w:val="32"/>
          <w:szCs w:val="32"/>
          <w:highlight w:val="none"/>
        </w:rPr>
        <w:t>万元，占100%。</w:t>
      </w:r>
    </w:p>
    <w:p w14:paraId="0ACA6606">
      <w:pPr>
        <w:spacing w:line="600" w:lineRule="exact"/>
        <w:ind w:left="0" w:leftChars="0" w:firstLine="643" w:firstLineChars="200"/>
        <w:rPr>
          <w:rFonts w:hint="eastAsia" w:ascii="仿宋" w:hAnsi="仿宋" w:eastAsia="仿宋" w:cs="仿宋"/>
          <w:b/>
          <w:color w:val="auto"/>
          <w:sz w:val="32"/>
          <w:szCs w:val="32"/>
          <w:highlight w:val="none"/>
        </w:rPr>
      </w:pPr>
      <w:bookmarkStart w:id="51" w:name="_Toc15377212"/>
      <w:r>
        <w:rPr>
          <w:rFonts w:hint="eastAsia" w:ascii="仿宋" w:hAnsi="仿宋" w:eastAsia="仿宋" w:cs="仿宋"/>
          <w:b/>
          <w:color w:val="auto"/>
          <w:sz w:val="32"/>
          <w:szCs w:val="32"/>
          <w:highlight w:val="none"/>
        </w:rPr>
        <w:t>（三）一般公共预算财政拨款支出决算具体情况</w:t>
      </w:r>
      <w:bookmarkEnd w:id="51"/>
    </w:p>
    <w:p w14:paraId="434A7B1B">
      <w:pPr>
        <w:spacing w:line="600" w:lineRule="exact"/>
        <w:ind w:firstLine="643" w:firstLineChars="200"/>
        <w:outlineLvl w:val="2"/>
        <w:rPr>
          <w:rFonts w:hint="eastAsia" w:ascii="仿宋" w:hAnsi="仿宋" w:eastAsia="仿宋" w:cs="仿宋"/>
          <w:color w:val="auto"/>
          <w:sz w:val="32"/>
          <w:szCs w:val="32"/>
          <w:highlight w:val="none"/>
        </w:rPr>
      </w:pPr>
      <w:bookmarkStart w:id="52" w:name="_Toc15377444"/>
      <w:bookmarkStart w:id="53" w:name="_Toc15378460"/>
      <w:bookmarkStart w:id="54" w:name="_Toc15377213"/>
      <w:r>
        <w:rPr>
          <w:rFonts w:hint="eastAsia" w:ascii="仿宋" w:hAnsi="仿宋" w:eastAsia="仿宋" w:cs="仿宋"/>
          <w:b/>
          <w:color w:val="auto"/>
          <w:sz w:val="32"/>
          <w:szCs w:val="32"/>
          <w:highlight w:val="none"/>
        </w:rPr>
        <w:t>2021年一般公共预算支出决算数为</w:t>
      </w:r>
      <w:r>
        <w:rPr>
          <w:rFonts w:hint="eastAsia" w:ascii="仿宋" w:hAnsi="仿宋" w:eastAsia="仿宋" w:cs="仿宋"/>
          <w:b/>
          <w:color w:val="auto"/>
          <w:sz w:val="32"/>
          <w:szCs w:val="32"/>
          <w:highlight w:val="none"/>
          <w:lang w:val="en-US" w:eastAsia="zh-CN"/>
        </w:rPr>
        <w:t>571.03万元</w:t>
      </w:r>
      <w:r>
        <w:rPr>
          <w:rFonts w:hint="eastAsia" w:ascii="仿宋" w:hAnsi="仿宋" w:eastAsia="仿宋" w:cs="仿宋"/>
          <w:color w:val="auto"/>
          <w:sz w:val="32"/>
          <w:szCs w:val="32"/>
          <w:highlight w:val="none"/>
        </w:rPr>
        <w:t>，</w:t>
      </w:r>
      <w:r>
        <w:rPr>
          <w:rStyle w:val="19"/>
          <w:rFonts w:hint="eastAsia" w:ascii="仿宋" w:hAnsi="仿宋" w:eastAsia="仿宋" w:cs="仿宋"/>
          <w:bCs/>
          <w:color w:val="auto"/>
          <w:sz w:val="32"/>
          <w:szCs w:val="32"/>
          <w:highlight w:val="none"/>
        </w:rPr>
        <w:t>完成预算100%。其中：</w:t>
      </w:r>
      <w:bookmarkEnd w:id="52"/>
      <w:bookmarkEnd w:id="53"/>
      <w:bookmarkEnd w:id="54"/>
    </w:p>
    <w:p w14:paraId="4B626D02">
      <w:pPr>
        <w:spacing w:line="600" w:lineRule="exact"/>
        <w:ind w:firstLine="643" w:firstLineChars="200"/>
        <w:rPr>
          <w:rFonts w:hint="eastAsia" w:ascii="仿宋" w:hAnsi="仿宋" w:eastAsia="仿宋" w:cs="仿宋"/>
          <w:b/>
          <w:color w:val="auto"/>
          <w:sz w:val="32"/>
          <w:szCs w:val="32"/>
          <w:highlight w:val="none"/>
        </w:rPr>
      </w:pPr>
      <w:r>
        <w:rPr>
          <w:rStyle w:val="19"/>
          <w:rFonts w:hint="eastAsia" w:ascii="仿宋" w:hAnsi="仿宋" w:eastAsia="仿宋" w:cs="仿宋"/>
          <w:bCs/>
          <w:color w:val="auto"/>
          <w:sz w:val="32"/>
          <w:szCs w:val="32"/>
          <w:highlight w:val="none"/>
        </w:rPr>
        <w:t>1.教育205（类）普通教育02（款）</w:t>
      </w:r>
      <w:r>
        <w:rPr>
          <w:rStyle w:val="19"/>
          <w:rFonts w:hint="eastAsia" w:ascii="仿宋" w:hAnsi="仿宋" w:eastAsia="仿宋" w:cs="仿宋"/>
          <w:bCs/>
          <w:color w:val="auto"/>
          <w:sz w:val="32"/>
          <w:szCs w:val="32"/>
          <w:highlight w:val="none"/>
          <w:lang w:eastAsia="zh-CN"/>
        </w:rPr>
        <w:t>小学</w:t>
      </w:r>
      <w:r>
        <w:rPr>
          <w:rStyle w:val="19"/>
          <w:rFonts w:hint="eastAsia" w:ascii="仿宋" w:hAnsi="仿宋" w:eastAsia="仿宋" w:cs="仿宋"/>
          <w:bCs/>
          <w:color w:val="auto"/>
          <w:sz w:val="32"/>
          <w:szCs w:val="32"/>
          <w:highlight w:val="none"/>
        </w:rPr>
        <w:t>教育0</w:t>
      </w:r>
      <w:r>
        <w:rPr>
          <w:rStyle w:val="19"/>
          <w:rFonts w:hint="eastAsia" w:ascii="仿宋" w:hAnsi="仿宋" w:eastAsia="仿宋" w:cs="仿宋"/>
          <w:bCs/>
          <w:color w:val="auto"/>
          <w:sz w:val="32"/>
          <w:szCs w:val="32"/>
          <w:highlight w:val="none"/>
          <w:lang w:val="en-US" w:eastAsia="zh-CN"/>
        </w:rPr>
        <w:t>2</w:t>
      </w:r>
      <w:r>
        <w:rPr>
          <w:rStyle w:val="19"/>
          <w:rFonts w:hint="eastAsia" w:ascii="仿宋" w:hAnsi="仿宋" w:eastAsia="仿宋" w:cs="仿宋"/>
          <w:bCs/>
          <w:color w:val="auto"/>
          <w:sz w:val="32"/>
          <w:szCs w:val="32"/>
          <w:highlight w:val="none"/>
        </w:rPr>
        <w:t>（项）:</w:t>
      </w:r>
      <w:r>
        <w:rPr>
          <w:rStyle w:val="19"/>
          <w:rFonts w:hint="eastAsia" w:ascii="仿宋" w:hAnsi="仿宋" w:eastAsia="仿宋" w:cs="仿宋"/>
          <w:b w:val="0"/>
          <w:bCs/>
          <w:color w:val="auto"/>
          <w:sz w:val="32"/>
          <w:szCs w:val="32"/>
          <w:highlight w:val="none"/>
        </w:rPr>
        <w:t xml:space="preserve"> 支出决算为</w:t>
      </w:r>
      <w:r>
        <w:rPr>
          <w:rStyle w:val="19"/>
          <w:rFonts w:hint="eastAsia" w:ascii="仿宋" w:hAnsi="仿宋" w:eastAsia="仿宋" w:cs="仿宋"/>
          <w:b w:val="0"/>
          <w:bCs/>
          <w:color w:val="auto"/>
          <w:sz w:val="32"/>
          <w:szCs w:val="32"/>
          <w:highlight w:val="none"/>
          <w:lang w:eastAsia="zh-CN"/>
        </w:rPr>
        <w:t>416.03</w:t>
      </w:r>
      <w:r>
        <w:rPr>
          <w:rStyle w:val="19"/>
          <w:rFonts w:hint="eastAsia" w:ascii="仿宋" w:hAnsi="仿宋" w:eastAsia="仿宋" w:cs="仿宋"/>
          <w:b w:val="0"/>
          <w:bCs/>
          <w:color w:val="auto"/>
          <w:sz w:val="32"/>
          <w:szCs w:val="32"/>
          <w:highlight w:val="none"/>
        </w:rPr>
        <w:t>万元，完成预算100%</w:t>
      </w:r>
      <w:r>
        <w:rPr>
          <w:rStyle w:val="19"/>
          <w:rFonts w:hint="eastAsia" w:ascii="仿宋" w:hAnsi="仿宋" w:eastAsia="仿宋" w:cs="仿宋"/>
          <w:b w:val="0"/>
          <w:bCs/>
          <w:color w:val="auto"/>
          <w:sz w:val="32"/>
          <w:szCs w:val="32"/>
          <w:highlight w:val="none"/>
          <w:lang w:eastAsia="zh-CN"/>
        </w:rPr>
        <w:t>，</w:t>
      </w:r>
      <w:r>
        <w:rPr>
          <w:rStyle w:val="19"/>
          <w:rFonts w:hint="eastAsia" w:ascii="仿宋" w:hAnsi="仿宋" w:eastAsia="仿宋" w:cs="仿宋"/>
          <w:b w:val="0"/>
          <w:bCs/>
          <w:color w:val="auto"/>
          <w:sz w:val="32"/>
          <w:szCs w:val="32"/>
          <w:highlight w:val="none"/>
        </w:rPr>
        <w:t>决算数等于预算数。</w:t>
      </w:r>
    </w:p>
    <w:p w14:paraId="305A3F7C">
      <w:pPr>
        <w:spacing w:line="600" w:lineRule="exact"/>
        <w:ind w:firstLine="643" w:firstLineChars="200"/>
        <w:rPr>
          <w:rStyle w:val="19"/>
          <w:rFonts w:hint="eastAsia" w:ascii="仿宋" w:hAnsi="仿宋" w:eastAsia="仿宋" w:cs="仿宋"/>
          <w:b w:val="0"/>
          <w:bCs/>
          <w:color w:val="auto"/>
          <w:sz w:val="32"/>
          <w:szCs w:val="32"/>
          <w:highlight w:val="none"/>
        </w:rPr>
      </w:pPr>
      <w:r>
        <w:rPr>
          <w:rStyle w:val="19"/>
          <w:rFonts w:hint="eastAsia" w:ascii="仿宋" w:hAnsi="仿宋" w:eastAsia="仿宋" w:cs="仿宋"/>
          <w:bCs/>
          <w:color w:val="auto"/>
          <w:sz w:val="32"/>
          <w:szCs w:val="32"/>
          <w:highlight w:val="none"/>
        </w:rPr>
        <w:t>2.教育205（类）普通教育0</w:t>
      </w:r>
      <w:r>
        <w:rPr>
          <w:rStyle w:val="19"/>
          <w:rFonts w:hint="eastAsia" w:ascii="仿宋" w:hAnsi="仿宋" w:eastAsia="仿宋" w:cs="仿宋"/>
          <w:bCs/>
          <w:color w:val="auto"/>
          <w:sz w:val="32"/>
          <w:szCs w:val="32"/>
          <w:highlight w:val="none"/>
          <w:lang w:val="en-US" w:eastAsia="zh-CN"/>
        </w:rPr>
        <w:t>2</w:t>
      </w:r>
      <w:r>
        <w:rPr>
          <w:rStyle w:val="19"/>
          <w:rFonts w:hint="eastAsia" w:ascii="仿宋" w:hAnsi="仿宋" w:eastAsia="仿宋" w:cs="仿宋"/>
          <w:bCs/>
          <w:color w:val="auto"/>
          <w:sz w:val="32"/>
          <w:szCs w:val="32"/>
          <w:highlight w:val="none"/>
        </w:rPr>
        <w:t>（款）</w:t>
      </w:r>
      <w:r>
        <w:rPr>
          <w:rStyle w:val="19"/>
          <w:rFonts w:hint="eastAsia" w:ascii="仿宋" w:hAnsi="仿宋" w:eastAsia="仿宋" w:cs="仿宋"/>
          <w:bCs/>
          <w:color w:val="auto"/>
          <w:sz w:val="32"/>
          <w:szCs w:val="32"/>
          <w:highlight w:val="none"/>
          <w:lang w:eastAsia="zh-CN"/>
        </w:rPr>
        <w:t>其他普通教育支出</w:t>
      </w:r>
      <w:r>
        <w:rPr>
          <w:rStyle w:val="19"/>
          <w:rFonts w:hint="eastAsia" w:ascii="仿宋" w:hAnsi="仿宋" w:eastAsia="仿宋" w:cs="仿宋"/>
          <w:bCs/>
          <w:color w:val="auto"/>
          <w:sz w:val="32"/>
          <w:szCs w:val="32"/>
          <w:highlight w:val="none"/>
        </w:rPr>
        <w:t>0</w:t>
      </w:r>
      <w:r>
        <w:rPr>
          <w:rStyle w:val="19"/>
          <w:rFonts w:hint="eastAsia" w:ascii="仿宋" w:hAnsi="仿宋" w:eastAsia="仿宋" w:cs="仿宋"/>
          <w:bCs/>
          <w:color w:val="auto"/>
          <w:sz w:val="32"/>
          <w:szCs w:val="32"/>
          <w:highlight w:val="none"/>
          <w:lang w:val="en-US" w:eastAsia="zh-CN"/>
        </w:rPr>
        <w:t>9</w:t>
      </w:r>
      <w:r>
        <w:rPr>
          <w:rStyle w:val="19"/>
          <w:rFonts w:hint="eastAsia" w:ascii="仿宋" w:hAnsi="仿宋" w:eastAsia="仿宋" w:cs="仿宋"/>
          <w:bCs/>
          <w:color w:val="auto"/>
          <w:sz w:val="32"/>
          <w:szCs w:val="32"/>
          <w:highlight w:val="none"/>
        </w:rPr>
        <w:t>（项）:</w:t>
      </w:r>
      <w:r>
        <w:rPr>
          <w:rStyle w:val="19"/>
          <w:rFonts w:hint="eastAsia" w:ascii="仿宋" w:hAnsi="仿宋" w:eastAsia="仿宋" w:cs="仿宋"/>
          <w:b w:val="0"/>
          <w:bCs/>
          <w:color w:val="auto"/>
          <w:sz w:val="32"/>
          <w:szCs w:val="32"/>
          <w:highlight w:val="none"/>
        </w:rPr>
        <w:t xml:space="preserve"> 支出决算为</w:t>
      </w:r>
      <w:r>
        <w:rPr>
          <w:rStyle w:val="19"/>
          <w:rFonts w:hint="eastAsia" w:ascii="仿宋" w:hAnsi="仿宋" w:eastAsia="仿宋" w:cs="仿宋"/>
          <w:b w:val="0"/>
          <w:bCs/>
          <w:color w:val="auto"/>
          <w:sz w:val="32"/>
          <w:szCs w:val="32"/>
          <w:highlight w:val="none"/>
          <w:lang w:val="en-US" w:eastAsia="zh-CN"/>
        </w:rPr>
        <w:t>155</w:t>
      </w:r>
      <w:r>
        <w:rPr>
          <w:rStyle w:val="19"/>
          <w:rFonts w:hint="eastAsia" w:ascii="仿宋" w:hAnsi="仿宋" w:eastAsia="仿宋" w:cs="仿宋"/>
          <w:b w:val="0"/>
          <w:bCs/>
          <w:color w:val="auto"/>
          <w:sz w:val="32"/>
          <w:szCs w:val="32"/>
          <w:highlight w:val="none"/>
        </w:rPr>
        <w:t>万元，完成预算100%。</w:t>
      </w:r>
      <w:r>
        <w:rPr>
          <w:rStyle w:val="19"/>
          <w:rFonts w:hint="eastAsia" w:ascii="仿宋" w:hAnsi="仿宋" w:eastAsia="仿宋" w:cs="仿宋"/>
          <w:b w:val="0"/>
          <w:bCs/>
          <w:color w:val="auto"/>
          <w:sz w:val="32"/>
          <w:szCs w:val="32"/>
          <w:highlight w:val="none"/>
          <w:lang w:eastAsia="zh-CN"/>
        </w:rPr>
        <w:t>，</w:t>
      </w:r>
      <w:r>
        <w:rPr>
          <w:rStyle w:val="19"/>
          <w:rFonts w:hint="eastAsia" w:ascii="仿宋" w:hAnsi="仿宋" w:eastAsia="仿宋" w:cs="仿宋"/>
          <w:b w:val="0"/>
          <w:bCs/>
          <w:color w:val="auto"/>
          <w:sz w:val="32"/>
          <w:szCs w:val="32"/>
          <w:highlight w:val="none"/>
        </w:rPr>
        <w:t>决算数等于预算数。</w:t>
      </w:r>
    </w:p>
    <w:p w14:paraId="31B42CDF">
      <w:pPr>
        <w:pStyle w:val="16"/>
        <w:rPr>
          <w:rFonts w:hint="eastAsia" w:ascii="仿宋" w:hAnsi="仿宋" w:eastAsia="仿宋" w:cs="仿宋"/>
          <w:color w:val="auto"/>
          <w:highlight w:val="none"/>
        </w:rPr>
      </w:pPr>
    </w:p>
    <w:p w14:paraId="0993897C">
      <w:pPr>
        <w:pStyle w:val="4"/>
        <w:bidi w:val="0"/>
        <w:rPr>
          <w:rFonts w:hint="eastAsia" w:ascii="仿宋" w:hAnsi="仿宋" w:eastAsia="仿宋" w:cs="仿宋"/>
          <w:color w:val="auto"/>
          <w:highlight w:val="none"/>
        </w:rPr>
      </w:pPr>
      <w:bookmarkStart w:id="55" w:name="_Toc15396608"/>
      <w:bookmarkStart w:id="56" w:name="_Toc15377214"/>
      <w:bookmarkStart w:id="57" w:name="_Toc23757"/>
      <w:r>
        <w:rPr>
          <w:rFonts w:hint="eastAsia" w:ascii="仿宋" w:hAnsi="仿宋" w:eastAsia="仿宋" w:cs="仿宋"/>
          <w:color w:val="auto"/>
          <w:highlight w:val="none"/>
        </w:rPr>
        <w:t>六、一般公共预算财政拨款基本支出决算情况说明</w:t>
      </w:r>
      <w:bookmarkEnd w:id="55"/>
      <w:bookmarkEnd w:id="56"/>
      <w:bookmarkEnd w:id="57"/>
      <w:r>
        <w:rPr>
          <w:rFonts w:hint="eastAsia" w:ascii="仿宋" w:hAnsi="仿宋" w:eastAsia="仿宋" w:cs="仿宋"/>
          <w:color w:val="auto"/>
          <w:highlight w:val="none"/>
        </w:rPr>
        <w:tab/>
      </w:r>
    </w:p>
    <w:p w14:paraId="34BF8EE2">
      <w:pPr>
        <w:spacing w:line="600" w:lineRule="exact"/>
        <w:ind w:firstLine="645"/>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2021年一般公共预算财政拨款基本支出</w:t>
      </w:r>
      <w:r>
        <w:rPr>
          <w:rFonts w:hint="eastAsia" w:ascii="仿宋" w:hAnsi="仿宋" w:eastAsia="仿宋" w:cs="仿宋"/>
          <w:color w:val="auto"/>
          <w:sz w:val="32"/>
          <w:szCs w:val="32"/>
          <w:highlight w:val="none"/>
          <w:lang w:eastAsia="zh-CN"/>
        </w:rPr>
        <w:t>416.03</w:t>
      </w:r>
      <w:r>
        <w:rPr>
          <w:rFonts w:hint="eastAsia" w:ascii="仿宋" w:hAnsi="仿宋" w:eastAsia="仿宋" w:cs="仿宋"/>
          <w:color w:val="auto"/>
          <w:sz w:val="32"/>
          <w:szCs w:val="32"/>
          <w:highlight w:val="none"/>
        </w:rPr>
        <w:t>万元，其中：</w:t>
      </w:r>
    </w:p>
    <w:p w14:paraId="1AE5E197">
      <w:pPr>
        <w:spacing w:line="600" w:lineRule="exact"/>
        <w:ind w:firstLine="645"/>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人员经费</w:t>
      </w:r>
      <w:r>
        <w:rPr>
          <w:rFonts w:hint="eastAsia" w:ascii="仿宋" w:hAnsi="仿宋" w:eastAsia="仿宋" w:cs="仿宋"/>
          <w:color w:val="auto"/>
          <w:sz w:val="32"/>
          <w:szCs w:val="32"/>
          <w:highlight w:val="none"/>
          <w:lang w:val="en-US" w:eastAsia="zh-CN"/>
        </w:rPr>
        <w:t>350.91</w:t>
      </w:r>
      <w:r>
        <w:rPr>
          <w:rFonts w:hint="eastAsia" w:ascii="仿宋" w:hAnsi="仿宋" w:eastAsia="仿宋" w:cs="仿宋"/>
          <w:color w:val="auto"/>
          <w:sz w:val="32"/>
          <w:szCs w:val="32"/>
          <w:highlight w:val="none"/>
        </w:rPr>
        <w:t>万元，主要包括：基本工资、津贴补贴、绩效工资、机关事业单位基本养老保险缴费、职工基本医疗保险缴费</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其他社会保障缴费、其他工资福利支出、生活补助、助学金</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奖励金、住房公积金</w:t>
      </w:r>
      <w:r>
        <w:rPr>
          <w:rFonts w:hint="eastAsia" w:ascii="仿宋" w:hAnsi="仿宋" w:eastAsia="仿宋" w:cs="仿宋"/>
          <w:color w:val="auto"/>
          <w:sz w:val="32"/>
          <w:szCs w:val="32"/>
          <w:highlight w:val="none"/>
          <w:lang w:eastAsia="zh-CN"/>
        </w:rPr>
        <w:t>、其他个人和家庭的补助支出</w:t>
      </w:r>
      <w:r>
        <w:rPr>
          <w:rFonts w:hint="eastAsia" w:ascii="仿宋" w:hAnsi="仿宋" w:eastAsia="仿宋" w:cs="仿宋"/>
          <w:color w:val="auto"/>
          <w:sz w:val="32"/>
          <w:szCs w:val="32"/>
          <w:highlight w:val="none"/>
        </w:rPr>
        <w:t>等。</w:t>
      </w:r>
    </w:p>
    <w:p w14:paraId="29A4C272">
      <w:pPr>
        <w:spacing w:line="600" w:lineRule="exact"/>
        <w:ind w:firstLine="645"/>
        <w:rPr>
          <w:rFonts w:hint="eastAsia" w:ascii="仿宋" w:hAnsi="仿宋" w:eastAsia="仿宋" w:cs="仿宋"/>
          <w:b/>
          <w:color w:val="auto"/>
          <w:sz w:val="32"/>
          <w:szCs w:val="32"/>
          <w:highlight w:val="none"/>
        </w:rPr>
      </w:pPr>
      <w:r>
        <w:rPr>
          <w:rFonts w:hint="eastAsia" w:ascii="仿宋" w:hAnsi="仿宋" w:eastAsia="仿宋" w:cs="仿宋"/>
          <w:color w:val="auto"/>
          <w:sz w:val="32"/>
          <w:szCs w:val="32"/>
          <w:highlight w:val="none"/>
        </w:rPr>
        <w:t>公用经费</w:t>
      </w:r>
      <w:r>
        <w:rPr>
          <w:rFonts w:hint="eastAsia" w:ascii="仿宋" w:hAnsi="仿宋" w:eastAsia="仿宋" w:cs="仿宋"/>
          <w:color w:val="auto"/>
          <w:sz w:val="32"/>
          <w:szCs w:val="32"/>
          <w:highlight w:val="none"/>
          <w:lang w:val="en-US" w:eastAsia="zh-CN"/>
        </w:rPr>
        <w:t>65.12</w:t>
      </w:r>
      <w:r>
        <w:rPr>
          <w:rFonts w:hint="eastAsia" w:ascii="仿宋" w:hAnsi="仿宋" w:eastAsia="仿宋" w:cs="仿宋"/>
          <w:color w:val="auto"/>
          <w:sz w:val="32"/>
          <w:szCs w:val="32"/>
          <w:highlight w:val="none"/>
        </w:rPr>
        <w:t>万元，主要包括：办公费、印刷费、手续费、水费、电费、邮电费、差旅费、维修（护）费、培训费、公务接待费、工会经费等。</w:t>
      </w:r>
    </w:p>
    <w:p w14:paraId="260E62A1">
      <w:pPr>
        <w:pStyle w:val="4"/>
        <w:bidi w:val="0"/>
        <w:rPr>
          <w:rFonts w:hint="eastAsia" w:ascii="仿宋" w:hAnsi="仿宋" w:eastAsia="仿宋" w:cs="仿宋"/>
          <w:color w:val="auto"/>
          <w:highlight w:val="none"/>
        </w:rPr>
      </w:pPr>
      <w:bookmarkStart w:id="58" w:name="_Toc16373"/>
      <w:bookmarkStart w:id="59" w:name="_Toc15377215"/>
      <w:bookmarkStart w:id="60" w:name="_Toc15396609"/>
      <w:r>
        <w:rPr>
          <w:rFonts w:hint="eastAsia" w:ascii="仿宋" w:hAnsi="仿宋" w:eastAsia="仿宋" w:cs="仿宋"/>
          <w:color w:val="auto"/>
          <w:highlight w:val="none"/>
        </w:rPr>
        <w:t>七、“三公”经费财政拨款支出决算情况说明</w:t>
      </w:r>
      <w:bookmarkEnd w:id="58"/>
      <w:bookmarkEnd w:id="59"/>
      <w:bookmarkEnd w:id="60"/>
    </w:p>
    <w:p w14:paraId="33EA07AA">
      <w:pPr>
        <w:spacing w:line="600" w:lineRule="exact"/>
        <w:ind w:firstLine="640"/>
        <w:outlineLvl w:val="2"/>
        <w:rPr>
          <w:rFonts w:hint="eastAsia" w:ascii="仿宋" w:hAnsi="仿宋" w:eastAsia="仿宋" w:cs="仿宋"/>
          <w:b/>
          <w:color w:val="auto"/>
          <w:sz w:val="32"/>
          <w:szCs w:val="32"/>
          <w:highlight w:val="none"/>
        </w:rPr>
      </w:pPr>
      <w:bookmarkStart w:id="61" w:name="_Toc15377216"/>
      <w:r>
        <w:rPr>
          <w:rFonts w:hint="eastAsia" w:ascii="仿宋" w:hAnsi="仿宋" w:eastAsia="仿宋" w:cs="仿宋"/>
          <w:b/>
          <w:color w:val="auto"/>
          <w:sz w:val="32"/>
          <w:szCs w:val="32"/>
          <w:highlight w:val="none"/>
        </w:rPr>
        <w:t>（一）“三公”经费财政拨款支出决算总体情况说明</w:t>
      </w:r>
      <w:bookmarkEnd w:id="61"/>
    </w:p>
    <w:p w14:paraId="791E0116">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2021年“三公”经费财政拨款支出决算为</w:t>
      </w:r>
      <w:r>
        <w:rPr>
          <w:rFonts w:hint="eastAsia" w:ascii="仿宋" w:hAnsi="仿宋" w:eastAsia="仿宋" w:cs="仿宋"/>
          <w:color w:val="auto"/>
          <w:sz w:val="32"/>
          <w:szCs w:val="32"/>
          <w:highlight w:val="none"/>
          <w:lang w:val="en-US" w:eastAsia="zh-CN"/>
        </w:rPr>
        <w:t>0.52</w:t>
      </w:r>
      <w:r>
        <w:rPr>
          <w:rFonts w:hint="eastAsia" w:ascii="仿宋" w:hAnsi="仿宋" w:eastAsia="仿宋" w:cs="仿宋"/>
          <w:color w:val="auto"/>
          <w:sz w:val="32"/>
          <w:szCs w:val="32"/>
          <w:highlight w:val="none"/>
        </w:rPr>
        <w:t>万元，完成预算</w:t>
      </w:r>
      <w:r>
        <w:rPr>
          <w:rFonts w:hint="eastAsia" w:ascii="仿宋" w:hAnsi="仿宋" w:eastAsia="仿宋" w:cs="仿宋"/>
          <w:color w:val="auto"/>
          <w:sz w:val="32"/>
          <w:szCs w:val="32"/>
          <w:highlight w:val="none"/>
          <w:lang w:val="en-US" w:eastAsia="zh-CN"/>
        </w:rPr>
        <w:t>94.55</w:t>
      </w:r>
      <w:r>
        <w:rPr>
          <w:rFonts w:hint="eastAsia" w:ascii="仿宋" w:hAnsi="仿宋" w:eastAsia="仿宋" w:cs="仿宋"/>
          <w:color w:val="auto"/>
          <w:sz w:val="32"/>
          <w:szCs w:val="32"/>
          <w:highlight w:val="none"/>
        </w:rPr>
        <w:t>%，主要原因是</w:t>
      </w:r>
      <w:r>
        <w:rPr>
          <w:rFonts w:hint="eastAsia" w:ascii="仿宋" w:hAnsi="仿宋" w:eastAsia="仿宋" w:cs="仿宋"/>
          <w:color w:val="auto"/>
          <w:sz w:val="32"/>
          <w:szCs w:val="32"/>
          <w:highlight w:val="none"/>
          <w:lang w:eastAsia="zh-CN"/>
        </w:rPr>
        <w:t>认真贯彻落实中央八项规定精神，采取有效措施严格控制接待范围和接待标准</w:t>
      </w:r>
      <w:r>
        <w:rPr>
          <w:rFonts w:hint="eastAsia" w:ascii="仿宋" w:hAnsi="仿宋" w:eastAsia="仿宋" w:cs="仿宋"/>
          <w:color w:val="auto"/>
          <w:sz w:val="32"/>
          <w:szCs w:val="32"/>
          <w:highlight w:val="none"/>
        </w:rPr>
        <w:t>。</w:t>
      </w:r>
    </w:p>
    <w:p w14:paraId="3D939FE7">
      <w:pPr>
        <w:spacing w:line="600" w:lineRule="exact"/>
        <w:ind w:firstLine="640"/>
        <w:outlineLvl w:val="2"/>
        <w:rPr>
          <w:rFonts w:hint="eastAsia" w:ascii="仿宋" w:hAnsi="仿宋" w:eastAsia="仿宋" w:cs="仿宋"/>
          <w:b/>
          <w:color w:val="auto"/>
          <w:sz w:val="32"/>
          <w:szCs w:val="32"/>
          <w:highlight w:val="none"/>
        </w:rPr>
      </w:pPr>
      <w:bookmarkStart w:id="62" w:name="_Toc15377217"/>
      <w:r>
        <w:rPr>
          <w:rFonts w:hint="eastAsia" w:ascii="仿宋" w:hAnsi="仿宋" w:eastAsia="仿宋" w:cs="仿宋"/>
          <w:b/>
          <w:color w:val="auto"/>
          <w:sz w:val="32"/>
          <w:szCs w:val="32"/>
          <w:highlight w:val="none"/>
        </w:rPr>
        <w:t>（二）“三公”经费财政拨款支出决算具体情况说明</w:t>
      </w:r>
      <w:bookmarkEnd w:id="62"/>
    </w:p>
    <w:p w14:paraId="15AF96D8">
      <w:pPr>
        <w:spacing w:line="600" w:lineRule="exact"/>
        <w:ind w:firstLine="640" w:firstLineChars="200"/>
        <w:rPr>
          <w:rFonts w:hint="eastAsia" w:ascii="仿宋" w:hAnsi="仿宋" w:eastAsia="仿宋" w:cs="仿宋"/>
          <w:b/>
          <w:color w:val="auto"/>
          <w:sz w:val="32"/>
          <w:szCs w:val="32"/>
          <w:highlight w:val="none"/>
        </w:rPr>
      </w:pPr>
      <w:r>
        <w:rPr>
          <w:rFonts w:hint="eastAsia" w:ascii="仿宋" w:hAnsi="仿宋" w:eastAsia="仿宋" w:cs="仿宋"/>
          <w:color w:val="auto"/>
          <w:sz w:val="32"/>
          <w:szCs w:val="32"/>
          <w:highlight w:val="none"/>
        </w:rPr>
        <w:t>2021年“三公”经费财政拨款支出决算中，因公出国（境）费支出决算0万元，当年未安排</w:t>
      </w:r>
      <w:r>
        <w:rPr>
          <w:rFonts w:hint="eastAsia" w:ascii="仿宋" w:hAnsi="仿宋" w:eastAsia="仿宋" w:cs="仿宋"/>
          <w:color w:val="auto"/>
          <w:sz w:val="32"/>
          <w:szCs w:val="32"/>
          <w:highlight w:val="none"/>
          <w:lang w:eastAsia="zh-CN"/>
        </w:rPr>
        <w:t>预算</w:t>
      </w:r>
      <w:r>
        <w:rPr>
          <w:rFonts w:hint="eastAsia" w:ascii="仿宋" w:hAnsi="仿宋" w:eastAsia="仿宋" w:cs="仿宋"/>
          <w:color w:val="auto"/>
          <w:sz w:val="32"/>
          <w:szCs w:val="32"/>
          <w:highlight w:val="none"/>
          <w:lang w:val="en-US" w:eastAsia="zh-CN"/>
        </w:rPr>
        <w:t>，与上年持平</w:t>
      </w:r>
      <w:r>
        <w:rPr>
          <w:rFonts w:hint="eastAsia" w:ascii="仿宋" w:hAnsi="仿宋" w:eastAsia="仿宋" w:cs="仿宋"/>
          <w:color w:val="auto"/>
          <w:sz w:val="32"/>
          <w:szCs w:val="32"/>
          <w:highlight w:val="none"/>
        </w:rPr>
        <w:t>；公务用车购置及运行维护费支出决算0万元，当年未安排</w:t>
      </w:r>
      <w:r>
        <w:rPr>
          <w:rFonts w:hint="eastAsia" w:ascii="仿宋" w:hAnsi="仿宋" w:eastAsia="仿宋" w:cs="仿宋"/>
          <w:color w:val="auto"/>
          <w:sz w:val="32"/>
          <w:szCs w:val="32"/>
          <w:highlight w:val="none"/>
          <w:lang w:eastAsia="zh-CN"/>
        </w:rPr>
        <w:t>预算</w:t>
      </w:r>
      <w:r>
        <w:rPr>
          <w:rFonts w:hint="eastAsia" w:ascii="仿宋" w:hAnsi="仿宋" w:eastAsia="仿宋" w:cs="仿宋"/>
          <w:color w:val="auto"/>
          <w:sz w:val="32"/>
          <w:szCs w:val="32"/>
          <w:highlight w:val="none"/>
          <w:lang w:val="en-US" w:eastAsia="zh-CN"/>
        </w:rPr>
        <w:t>，与上年持平</w:t>
      </w:r>
      <w:r>
        <w:rPr>
          <w:rFonts w:hint="eastAsia" w:ascii="仿宋" w:hAnsi="仿宋" w:eastAsia="仿宋" w:cs="仿宋"/>
          <w:color w:val="auto"/>
          <w:sz w:val="32"/>
          <w:szCs w:val="32"/>
          <w:highlight w:val="none"/>
        </w:rPr>
        <w:t>；公务接待费支出决算</w:t>
      </w:r>
      <w:r>
        <w:rPr>
          <w:rFonts w:hint="eastAsia" w:ascii="仿宋" w:hAnsi="仿宋" w:eastAsia="仿宋" w:cs="仿宋"/>
          <w:color w:val="auto"/>
          <w:sz w:val="32"/>
          <w:szCs w:val="32"/>
          <w:highlight w:val="none"/>
          <w:lang w:val="en-US" w:eastAsia="zh-CN"/>
        </w:rPr>
        <w:t>0.63</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%。具体情况如下：</w:t>
      </w:r>
    </w:p>
    <w:p w14:paraId="44F8F224">
      <w:pPr>
        <w:spacing w:line="600" w:lineRule="exact"/>
        <w:ind w:firstLine="640"/>
        <w:rPr>
          <w:rFonts w:hint="eastAsia" w:ascii="仿宋" w:hAnsi="仿宋" w:eastAsia="仿宋" w:cs="仿宋"/>
          <w:b/>
          <w:bCs w:val="0"/>
          <w:color w:val="auto"/>
          <w:sz w:val="32"/>
          <w:szCs w:val="32"/>
          <w:highlight w:val="none"/>
          <w:lang w:val="en-US"/>
        </w:rPr>
      </w:pPr>
      <w:r>
        <w:rPr>
          <w:rFonts w:hint="eastAsia" w:ascii="仿宋" w:hAnsi="仿宋" w:eastAsia="仿宋" w:cs="仿宋"/>
          <w:color w:val="auto"/>
          <w:sz w:val="32"/>
          <w:szCs w:val="32"/>
          <w:highlight w:val="none"/>
          <w:lang w:eastAsia="zh-CN"/>
        </w:rPr>
        <w:drawing>
          <wp:anchor distT="0" distB="0" distL="114300" distR="114300" simplePos="0" relativeHeight="251665408" behindDoc="0" locked="0" layoutInCell="1" allowOverlap="1">
            <wp:simplePos x="0" y="0"/>
            <wp:positionH relativeFrom="column">
              <wp:posOffset>1270</wp:posOffset>
            </wp:positionH>
            <wp:positionV relativeFrom="paragraph">
              <wp:posOffset>242570</wp:posOffset>
            </wp:positionV>
            <wp:extent cx="5080000" cy="2771775"/>
            <wp:effectExtent l="4445" t="4445" r="20955" b="5080"/>
            <wp:wrapTopAndBottom/>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 w:hAnsi="仿宋" w:eastAsia="仿宋" w:cs="仿宋"/>
          <w:b/>
          <w:bCs w:val="0"/>
          <w:color w:val="auto"/>
          <w:kern w:val="2"/>
          <w:sz w:val="32"/>
          <w:szCs w:val="32"/>
          <w:highlight w:val="none"/>
          <w:lang w:val="en-US" w:eastAsia="zh-CN" w:bidi="ar"/>
        </w:rPr>
        <w:t>1.因公出国（境）经费支出</w:t>
      </w:r>
      <w:r>
        <w:rPr>
          <w:rFonts w:hint="eastAsia" w:ascii="仿宋" w:hAnsi="仿宋" w:eastAsia="仿宋" w:cs="仿宋"/>
          <w:color w:val="auto"/>
          <w:kern w:val="2"/>
          <w:sz w:val="32"/>
          <w:szCs w:val="32"/>
          <w:highlight w:val="none"/>
          <w:lang w:val="en-US" w:eastAsia="zh-CN" w:bidi="ar"/>
        </w:rPr>
        <w:t>0万元，</w:t>
      </w:r>
      <w:r>
        <w:rPr>
          <w:rStyle w:val="19"/>
          <w:rFonts w:hint="eastAsia" w:ascii="仿宋" w:hAnsi="仿宋" w:eastAsia="仿宋" w:cs="仿宋"/>
          <w:b w:val="0"/>
          <w:bCs/>
          <w:color w:val="auto"/>
          <w:kern w:val="2"/>
          <w:sz w:val="32"/>
          <w:szCs w:val="32"/>
          <w:highlight w:val="none"/>
          <w:lang w:val="en-US" w:eastAsia="zh-CN" w:bidi="ar"/>
        </w:rPr>
        <w:t>年初未安排预算，与上年数持平。</w:t>
      </w:r>
    </w:p>
    <w:p w14:paraId="031A98A4">
      <w:pPr>
        <w:spacing w:line="600" w:lineRule="exact"/>
        <w:ind w:firstLine="640"/>
        <w:rPr>
          <w:rFonts w:hint="eastAsia" w:ascii="仿宋" w:hAnsi="仿宋" w:eastAsia="仿宋" w:cs="仿宋"/>
          <w:b/>
          <w:bCs w:val="0"/>
          <w:color w:val="auto"/>
          <w:sz w:val="32"/>
          <w:szCs w:val="32"/>
          <w:highlight w:val="none"/>
          <w:lang w:val="en-US"/>
        </w:rPr>
      </w:pPr>
      <w:r>
        <w:rPr>
          <w:rFonts w:hint="eastAsia" w:ascii="仿宋" w:hAnsi="仿宋" w:eastAsia="仿宋" w:cs="仿宋"/>
          <w:b/>
          <w:bCs w:val="0"/>
          <w:color w:val="auto"/>
          <w:kern w:val="2"/>
          <w:sz w:val="32"/>
          <w:szCs w:val="32"/>
          <w:highlight w:val="none"/>
          <w:lang w:val="en-US" w:eastAsia="zh-CN" w:bidi="ar"/>
        </w:rPr>
        <w:t>2.公务用车购置及运行维护费支出</w:t>
      </w:r>
      <w:r>
        <w:rPr>
          <w:rFonts w:hint="eastAsia" w:ascii="仿宋" w:hAnsi="仿宋" w:eastAsia="仿宋" w:cs="仿宋"/>
          <w:color w:val="auto"/>
          <w:kern w:val="2"/>
          <w:sz w:val="32"/>
          <w:szCs w:val="32"/>
          <w:highlight w:val="none"/>
          <w:lang w:val="en-US" w:eastAsia="zh-CN" w:bidi="ar"/>
        </w:rPr>
        <w:t>0万元,</w:t>
      </w:r>
      <w:r>
        <w:rPr>
          <w:rStyle w:val="19"/>
          <w:rFonts w:hint="eastAsia" w:ascii="仿宋" w:hAnsi="仿宋" w:eastAsia="仿宋" w:cs="仿宋"/>
          <w:b w:val="0"/>
          <w:bCs/>
          <w:color w:val="auto"/>
          <w:kern w:val="2"/>
          <w:sz w:val="32"/>
          <w:szCs w:val="32"/>
          <w:highlight w:val="none"/>
          <w:lang w:val="en-US" w:eastAsia="zh-CN" w:bidi="ar"/>
        </w:rPr>
        <w:t>年初未安排预算，与上年数持平。</w:t>
      </w:r>
    </w:p>
    <w:p w14:paraId="37E7EC3A">
      <w:pPr>
        <w:keepNext w:val="0"/>
        <w:keepLines w:val="0"/>
        <w:widowControl w:val="0"/>
        <w:suppressLineNumbers w:val="0"/>
        <w:spacing w:before="0" w:beforeAutospacing="0" w:after="0" w:afterAutospacing="0" w:line="600" w:lineRule="exact"/>
        <w:ind w:right="0" w:firstLine="643" w:firstLineChars="200"/>
        <w:jc w:val="both"/>
        <w:rPr>
          <w:rFonts w:hint="eastAsia" w:ascii="仿宋" w:hAnsi="仿宋" w:eastAsia="仿宋" w:cs="仿宋"/>
          <w:bCs/>
          <w:color w:val="auto"/>
          <w:sz w:val="32"/>
          <w:szCs w:val="32"/>
          <w:highlight w:val="none"/>
          <w:lang w:val="en-US"/>
        </w:rPr>
      </w:pPr>
      <w:r>
        <w:rPr>
          <w:rFonts w:hint="eastAsia" w:ascii="仿宋" w:hAnsi="仿宋" w:eastAsia="仿宋" w:cs="仿宋"/>
          <w:b/>
          <w:bCs/>
          <w:color w:val="auto"/>
          <w:kern w:val="2"/>
          <w:sz w:val="32"/>
          <w:szCs w:val="32"/>
          <w:highlight w:val="none"/>
          <w:lang w:val="en-US" w:eastAsia="zh-CN" w:bidi="ar"/>
        </w:rPr>
        <w:t>其中：</w:t>
      </w:r>
      <w:r>
        <w:rPr>
          <w:rFonts w:hint="eastAsia" w:ascii="仿宋" w:hAnsi="仿宋" w:eastAsia="仿宋" w:cs="仿宋"/>
          <w:b/>
          <w:bCs w:val="0"/>
          <w:color w:val="auto"/>
          <w:kern w:val="2"/>
          <w:sz w:val="32"/>
          <w:szCs w:val="32"/>
          <w:highlight w:val="none"/>
          <w:lang w:val="en-US" w:eastAsia="zh-CN" w:bidi="ar"/>
        </w:rPr>
        <w:t>公务用车购置支出</w:t>
      </w:r>
      <w:r>
        <w:rPr>
          <w:rFonts w:hint="eastAsia" w:ascii="仿宋" w:hAnsi="仿宋" w:eastAsia="仿宋" w:cs="仿宋"/>
          <w:bCs/>
          <w:color w:val="auto"/>
          <w:kern w:val="2"/>
          <w:sz w:val="32"/>
          <w:szCs w:val="32"/>
          <w:highlight w:val="none"/>
          <w:lang w:val="en-US" w:eastAsia="zh-CN" w:bidi="ar"/>
        </w:rPr>
        <w:t>0万元。全年按规定更新购置公务用车0辆，</w:t>
      </w:r>
      <w:r>
        <w:rPr>
          <w:rFonts w:hint="eastAsia" w:ascii="仿宋" w:hAnsi="仿宋" w:eastAsia="仿宋" w:cs="仿宋"/>
          <w:color w:val="auto"/>
          <w:kern w:val="2"/>
          <w:sz w:val="32"/>
          <w:szCs w:val="32"/>
          <w:highlight w:val="none"/>
          <w:lang w:val="en-US" w:eastAsia="zh-CN" w:bidi="ar"/>
        </w:rPr>
        <w:t>主要原因是我单位未购置公务用车。</w:t>
      </w:r>
      <w:r>
        <w:rPr>
          <w:rFonts w:hint="eastAsia" w:ascii="仿宋" w:hAnsi="仿宋" w:eastAsia="仿宋" w:cs="仿宋"/>
          <w:bCs/>
          <w:color w:val="auto"/>
          <w:kern w:val="2"/>
          <w:sz w:val="32"/>
          <w:szCs w:val="32"/>
          <w:highlight w:val="none"/>
          <w:lang w:val="en-US" w:eastAsia="zh-CN" w:bidi="ar"/>
        </w:rPr>
        <w:t>截止2021年12月底，单位共有公务用车0辆。</w:t>
      </w:r>
    </w:p>
    <w:p w14:paraId="33E7735B">
      <w:pPr>
        <w:keepNext w:val="0"/>
        <w:keepLines w:val="0"/>
        <w:widowControl w:val="0"/>
        <w:suppressLineNumbers w:val="0"/>
        <w:spacing w:before="0" w:beforeAutospacing="0" w:after="0" w:afterAutospacing="0" w:line="600" w:lineRule="exact"/>
        <w:ind w:right="0" w:firstLine="643" w:firstLineChars="200"/>
        <w:jc w:val="both"/>
        <w:rPr>
          <w:rFonts w:hint="eastAsia" w:ascii="仿宋" w:hAnsi="仿宋" w:eastAsia="仿宋" w:cs="仿宋"/>
          <w:color w:val="auto"/>
          <w:highlight w:val="none"/>
        </w:rPr>
      </w:pPr>
      <w:r>
        <w:rPr>
          <w:rFonts w:hint="eastAsia" w:ascii="仿宋" w:hAnsi="仿宋" w:eastAsia="仿宋" w:cs="仿宋"/>
          <w:b/>
          <w:bCs w:val="0"/>
          <w:color w:val="auto"/>
          <w:kern w:val="2"/>
          <w:sz w:val="32"/>
          <w:szCs w:val="32"/>
          <w:highlight w:val="none"/>
          <w:lang w:val="en-US" w:eastAsia="zh-CN" w:bidi="ar"/>
        </w:rPr>
        <w:t>公务用车运行维护费支出</w:t>
      </w:r>
      <w:r>
        <w:rPr>
          <w:rFonts w:hint="eastAsia" w:ascii="仿宋" w:hAnsi="仿宋" w:eastAsia="仿宋" w:cs="仿宋"/>
          <w:color w:val="auto"/>
          <w:kern w:val="2"/>
          <w:sz w:val="32"/>
          <w:szCs w:val="32"/>
          <w:highlight w:val="none"/>
          <w:lang w:val="en-US" w:eastAsia="zh-CN" w:bidi="ar"/>
        </w:rPr>
        <w:t>0万元。主要原因是我单位无公务用车。</w:t>
      </w:r>
    </w:p>
    <w:p w14:paraId="024AE034">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b/>
          <w:bCs w:val="0"/>
          <w:color w:val="auto"/>
          <w:sz w:val="32"/>
          <w:szCs w:val="32"/>
          <w:highlight w:val="none"/>
        </w:rPr>
        <w:t>3.公务接待费支出</w:t>
      </w:r>
      <w:r>
        <w:rPr>
          <w:rFonts w:hint="eastAsia" w:ascii="仿宋" w:hAnsi="仿宋" w:eastAsia="仿宋" w:cs="仿宋"/>
          <w:b/>
          <w:bCs w:val="0"/>
          <w:color w:val="auto"/>
          <w:sz w:val="32"/>
          <w:szCs w:val="32"/>
          <w:highlight w:val="none"/>
          <w:lang w:val="en-US" w:eastAsia="zh-CN"/>
        </w:rPr>
        <w:t>0.63</w:t>
      </w:r>
      <w:r>
        <w:rPr>
          <w:rFonts w:hint="eastAsia" w:ascii="仿宋" w:hAnsi="仿宋" w:eastAsia="仿宋" w:cs="仿宋"/>
          <w:color w:val="auto"/>
          <w:sz w:val="32"/>
          <w:szCs w:val="32"/>
          <w:highlight w:val="none"/>
        </w:rPr>
        <w:t>万元，完成预算</w:t>
      </w:r>
      <w:r>
        <w:rPr>
          <w:rFonts w:hint="eastAsia" w:ascii="仿宋" w:hAnsi="仿宋" w:eastAsia="仿宋" w:cs="仿宋"/>
          <w:color w:val="auto"/>
          <w:sz w:val="32"/>
          <w:szCs w:val="32"/>
          <w:highlight w:val="none"/>
          <w:lang w:val="en-US" w:eastAsia="zh-CN"/>
        </w:rPr>
        <w:t>95.45</w:t>
      </w:r>
      <w:r>
        <w:rPr>
          <w:rFonts w:hint="eastAsia" w:ascii="仿宋" w:hAnsi="仿宋" w:eastAsia="仿宋" w:cs="仿宋"/>
          <w:color w:val="auto"/>
          <w:sz w:val="32"/>
          <w:szCs w:val="32"/>
          <w:highlight w:val="none"/>
        </w:rPr>
        <w:t>%。公务接待费支出决算</w:t>
      </w:r>
      <w:r>
        <w:rPr>
          <w:rFonts w:hint="eastAsia" w:ascii="仿宋" w:hAnsi="仿宋" w:eastAsia="仿宋" w:cs="仿宋"/>
          <w:color w:val="auto"/>
          <w:sz w:val="32"/>
          <w:szCs w:val="32"/>
          <w:highlight w:val="none"/>
          <w:lang w:eastAsia="zh-CN"/>
        </w:rPr>
        <w:t>比</w:t>
      </w:r>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eastAsia="zh-CN"/>
        </w:rPr>
        <w:t>20</w:t>
      </w:r>
      <w:r>
        <w:rPr>
          <w:rFonts w:hint="eastAsia" w:ascii="仿宋" w:hAnsi="仿宋" w:eastAsia="仿宋" w:cs="仿宋"/>
          <w:color w:val="auto"/>
          <w:sz w:val="32"/>
          <w:szCs w:val="32"/>
          <w:highlight w:val="none"/>
        </w:rPr>
        <w:t>年减少</w:t>
      </w:r>
      <w:r>
        <w:rPr>
          <w:rFonts w:hint="eastAsia" w:ascii="仿宋" w:hAnsi="仿宋" w:eastAsia="仿宋" w:cs="仿宋"/>
          <w:color w:val="auto"/>
          <w:sz w:val="32"/>
          <w:szCs w:val="32"/>
          <w:highlight w:val="none"/>
          <w:lang w:val="en-US" w:eastAsia="zh-CN"/>
        </w:rPr>
        <w:t>0.03</w:t>
      </w:r>
      <w:r>
        <w:rPr>
          <w:rFonts w:hint="eastAsia" w:ascii="仿宋" w:hAnsi="仿宋" w:eastAsia="仿宋" w:cs="仿宋"/>
          <w:color w:val="auto"/>
          <w:sz w:val="32"/>
          <w:szCs w:val="32"/>
          <w:highlight w:val="none"/>
        </w:rPr>
        <w:t>万元，下降</w:t>
      </w:r>
      <w:r>
        <w:rPr>
          <w:rFonts w:hint="eastAsia" w:ascii="仿宋" w:hAnsi="仿宋" w:eastAsia="仿宋" w:cs="仿宋"/>
          <w:color w:val="auto"/>
          <w:sz w:val="32"/>
          <w:szCs w:val="32"/>
          <w:highlight w:val="none"/>
          <w:lang w:val="en-US" w:eastAsia="zh-CN"/>
        </w:rPr>
        <w:t>4.55</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。主要原因是认真贯彻落实中央八项规定精神，采取有效措施严格控制接待范围和接待标准</w:t>
      </w:r>
      <w:r>
        <w:rPr>
          <w:rFonts w:hint="eastAsia" w:ascii="仿宋" w:hAnsi="仿宋" w:eastAsia="仿宋" w:cs="仿宋"/>
          <w:color w:val="auto"/>
          <w:sz w:val="32"/>
          <w:szCs w:val="32"/>
          <w:highlight w:val="none"/>
        </w:rPr>
        <w:t>。其中：</w:t>
      </w:r>
    </w:p>
    <w:p w14:paraId="05245697">
      <w:pPr>
        <w:spacing w:line="600" w:lineRule="exact"/>
        <w:ind w:firstLine="640"/>
        <w:rPr>
          <w:rFonts w:hint="eastAsia" w:ascii="仿宋" w:hAnsi="仿宋" w:eastAsia="仿宋" w:cs="仿宋"/>
          <w:color w:val="auto"/>
          <w:sz w:val="32"/>
          <w:szCs w:val="32"/>
          <w:highlight w:val="none"/>
          <w:lang w:val="en-US" w:eastAsia="zh-CN"/>
        </w:rPr>
      </w:pPr>
      <w:r>
        <w:rPr>
          <w:rFonts w:hint="eastAsia" w:ascii="仿宋" w:hAnsi="仿宋" w:eastAsia="仿宋" w:cs="仿宋"/>
          <w:b/>
          <w:bCs/>
          <w:color w:val="auto"/>
          <w:sz w:val="32"/>
          <w:szCs w:val="32"/>
          <w:highlight w:val="none"/>
        </w:rPr>
        <w:t>国内公务接待支出</w:t>
      </w:r>
      <w:r>
        <w:rPr>
          <w:rFonts w:hint="eastAsia" w:ascii="仿宋" w:hAnsi="仿宋" w:eastAsia="仿宋" w:cs="仿宋"/>
          <w:color w:val="auto"/>
          <w:sz w:val="32"/>
          <w:szCs w:val="32"/>
          <w:highlight w:val="none"/>
          <w:lang w:val="en-US" w:eastAsia="zh-CN"/>
        </w:rPr>
        <w:t>0.63</w:t>
      </w:r>
      <w:r>
        <w:rPr>
          <w:rFonts w:hint="eastAsia" w:ascii="仿宋" w:hAnsi="仿宋" w:eastAsia="仿宋" w:cs="仿宋"/>
          <w:color w:val="auto"/>
          <w:sz w:val="32"/>
          <w:szCs w:val="32"/>
          <w:highlight w:val="none"/>
        </w:rPr>
        <w:t>万元，主要用于</w:t>
      </w:r>
      <w:r>
        <w:rPr>
          <w:rFonts w:hint="eastAsia" w:ascii="仿宋" w:hAnsi="仿宋" w:eastAsia="仿宋" w:cs="仿宋"/>
          <w:color w:val="auto"/>
          <w:sz w:val="32"/>
          <w:szCs w:val="32"/>
          <w:highlight w:val="none"/>
          <w:lang w:eastAsia="zh-CN"/>
        </w:rPr>
        <w:t>接待上级来访、</w:t>
      </w:r>
      <w:r>
        <w:rPr>
          <w:rFonts w:hint="eastAsia" w:ascii="仿宋" w:hAnsi="仿宋" w:eastAsia="仿宋" w:cs="仿宋"/>
          <w:color w:val="auto"/>
          <w:kern w:val="2"/>
          <w:sz w:val="32"/>
          <w:szCs w:val="32"/>
          <w:highlight w:val="none"/>
          <w:lang w:val="en-US" w:eastAsia="zh-CN" w:bidi="ar"/>
        </w:rPr>
        <w:t>教育教学活动交流、</w:t>
      </w:r>
      <w:r>
        <w:rPr>
          <w:rFonts w:hint="eastAsia" w:ascii="仿宋" w:hAnsi="仿宋" w:eastAsia="仿宋" w:cs="仿宋"/>
          <w:color w:val="auto"/>
          <w:sz w:val="32"/>
          <w:szCs w:val="32"/>
          <w:highlight w:val="none"/>
          <w:lang w:val="en-US" w:eastAsia="zh-CN"/>
        </w:rPr>
        <w:t>学生活动费及运动会学生用餐、交通费、体检费等</w:t>
      </w:r>
      <w:r>
        <w:rPr>
          <w:rFonts w:hint="eastAsia" w:ascii="仿宋" w:hAnsi="仿宋" w:eastAsia="仿宋" w:cs="仿宋"/>
          <w:color w:val="auto"/>
          <w:sz w:val="32"/>
          <w:szCs w:val="32"/>
          <w:highlight w:val="none"/>
        </w:rPr>
        <w:t>。国内公务接待</w:t>
      </w:r>
      <w:r>
        <w:rPr>
          <w:rFonts w:hint="eastAsia" w:ascii="仿宋" w:hAnsi="仿宋" w:eastAsia="仿宋" w:cs="仿宋"/>
          <w:color w:val="auto"/>
          <w:sz w:val="32"/>
          <w:szCs w:val="32"/>
          <w:highlight w:val="none"/>
          <w:lang w:val="en-US" w:eastAsia="zh-CN"/>
        </w:rPr>
        <w:t>32</w:t>
      </w:r>
      <w:r>
        <w:rPr>
          <w:rFonts w:hint="eastAsia" w:ascii="仿宋" w:hAnsi="仿宋" w:eastAsia="仿宋" w:cs="仿宋"/>
          <w:color w:val="auto"/>
          <w:sz w:val="32"/>
          <w:szCs w:val="32"/>
          <w:highlight w:val="none"/>
        </w:rPr>
        <w:t>批次，</w:t>
      </w:r>
      <w:r>
        <w:rPr>
          <w:rFonts w:hint="eastAsia" w:ascii="仿宋" w:hAnsi="仿宋" w:eastAsia="仿宋" w:cs="仿宋"/>
          <w:color w:val="auto"/>
          <w:sz w:val="32"/>
          <w:szCs w:val="32"/>
          <w:highlight w:val="none"/>
          <w:lang w:val="en-US" w:eastAsia="zh-CN"/>
        </w:rPr>
        <w:t>128</w:t>
      </w:r>
      <w:r>
        <w:rPr>
          <w:rFonts w:hint="eastAsia" w:ascii="仿宋" w:hAnsi="仿宋" w:eastAsia="仿宋" w:cs="仿宋"/>
          <w:color w:val="auto"/>
          <w:sz w:val="32"/>
          <w:szCs w:val="32"/>
          <w:highlight w:val="none"/>
        </w:rPr>
        <w:t>人次（不包括陪同人员），共计支出</w:t>
      </w:r>
      <w:r>
        <w:rPr>
          <w:rFonts w:hint="eastAsia" w:ascii="仿宋" w:hAnsi="仿宋" w:eastAsia="仿宋" w:cs="仿宋"/>
          <w:color w:val="auto"/>
          <w:sz w:val="32"/>
          <w:szCs w:val="32"/>
          <w:highlight w:val="none"/>
          <w:lang w:val="en-US" w:eastAsia="zh-CN"/>
        </w:rPr>
        <w:t>0.63</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，具体内容包括接待上级来访</w:t>
      </w:r>
      <w:r>
        <w:rPr>
          <w:rFonts w:hint="eastAsia" w:ascii="仿宋" w:hAnsi="仿宋" w:eastAsia="仿宋" w:cs="仿宋"/>
          <w:color w:val="auto"/>
          <w:sz w:val="32"/>
          <w:szCs w:val="32"/>
          <w:highlight w:val="none"/>
          <w:lang w:val="en-US" w:eastAsia="zh-CN"/>
        </w:rPr>
        <w:t>0.13万元</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kern w:val="2"/>
          <w:sz w:val="32"/>
          <w:szCs w:val="32"/>
          <w:highlight w:val="none"/>
          <w:lang w:val="en-US" w:eastAsia="zh-CN" w:bidi="ar"/>
        </w:rPr>
        <w:t>教育教学活动交流0.2万元、</w:t>
      </w:r>
      <w:r>
        <w:rPr>
          <w:rFonts w:hint="eastAsia" w:ascii="仿宋" w:hAnsi="仿宋" w:eastAsia="仿宋" w:cs="仿宋"/>
          <w:color w:val="auto"/>
          <w:sz w:val="32"/>
          <w:szCs w:val="32"/>
          <w:highlight w:val="none"/>
          <w:lang w:val="en-US" w:eastAsia="zh-CN"/>
        </w:rPr>
        <w:t>学生活动费及运动会学生用餐、交通费、体检费等0.3万元。</w:t>
      </w:r>
    </w:p>
    <w:p w14:paraId="1224F45F">
      <w:pPr>
        <w:spacing w:line="60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外事接待支出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万元，外事接待</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批次，</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人，共计支出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万元。外事接待支出</w:t>
      </w:r>
      <w:r>
        <w:rPr>
          <w:rFonts w:hint="eastAsia" w:ascii="仿宋" w:hAnsi="仿宋" w:eastAsia="仿宋" w:cs="仿宋"/>
          <w:color w:val="auto"/>
          <w:kern w:val="2"/>
          <w:sz w:val="32"/>
          <w:szCs w:val="32"/>
          <w:highlight w:val="none"/>
          <w:lang w:val="en-US" w:eastAsia="zh-CN" w:bidi="ar"/>
        </w:rPr>
        <w:t>决算与2020年持平</w:t>
      </w:r>
      <w:r>
        <w:rPr>
          <w:rFonts w:hint="eastAsia" w:ascii="仿宋" w:hAnsi="仿宋" w:eastAsia="仿宋" w:cs="仿宋"/>
          <w:color w:val="auto"/>
          <w:sz w:val="32"/>
          <w:szCs w:val="32"/>
          <w:highlight w:val="none"/>
        </w:rPr>
        <w:t>。</w:t>
      </w:r>
    </w:p>
    <w:p w14:paraId="1E6C6220">
      <w:pPr>
        <w:pStyle w:val="4"/>
        <w:bidi w:val="0"/>
        <w:rPr>
          <w:rFonts w:hint="eastAsia" w:ascii="仿宋" w:hAnsi="仿宋" w:eastAsia="仿宋" w:cs="仿宋"/>
          <w:color w:val="auto"/>
          <w:highlight w:val="none"/>
        </w:rPr>
      </w:pPr>
      <w:bookmarkStart w:id="63" w:name="_Toc15377218"/>
      <w:bookmarkStart w:id="64" w:name="_Toc29438"/>
      <w:bookmarkStart w:id="65" w:name="_Toc15396610"/>
      <w:r>
        <w:rPr>
          <w:rFonts w:hint="eastAsia" w:ascii="仿宋" w:hAnsi="仿宋" w:eastAsia="仿宋" w:cs="仿宋"/>
          <w:color w:val="auto"/>
          <w:highlight w:val="none"/>
        </w:rPr>
        <w:t>八、政府性基金预算支出决算情况说明</w:t>
      </w:r>
      <w:bookmarkEnd w:id="63"/>
      <w:bookmarkEnd w:id="64"/>
      <w:bookmarkEnd w:id="65"/>
    </w:p>
    <w:p w14:paraId="432929A9">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2021年政府性基金预算财政拨款支出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万元。202</w:t>
      </w:r>
      <w:r>
        <w:rPr>
          <w:rFonts w:hint="eastAsia" w:ascii="仿宋" w:hAnsi="仿宋" w:eastAsia="仿宋" w:cs="仿宋"/>
          <w:color w:val="auto"/>
          <w:sz w:val="32"/>
          <w:szCs w:val="32"/>
          <w:highlight w:val="none"/>
          <w:lang w:val="en-US" w:eastAsia="zh-CN"/>
        </w:rPr>
        <w:t>1</w:t>
      </w:r>
      <w:r>
        <w:rPr>
          <w:rFonts w:hint="eastAsia" w:ascii="仿宋" w:hAnsi="仿宋" w:eastAsia="仿宋" w:cs="仿宋"/>
          <w:color w:val="auto"/>
          <w:sz w:val="32"/>
          <w:szCs w:val="32"/>
          <w:highlight w:val="none"/>
        </w:rPr>
        <w:t>年本单位未在政府性基金预算拨款安排“三公”经费支出。</w:t>
      </w:r>
    </w:p>
    <w:p w14:paraId="03869F9A">
      <w:pPr>
        <w:pStyle w:val="16"/>
        <w:rPr>
          <w:rFonts w:hint="eastAsia" w:ascii="仿宋" w:hAnsi="仿宋" w:eastAsia="仿宋" w:cs="仿宋"/>
          <w:color w:val="auto"/>
          <w:highlight w:val="none"/>
        </w:rPr>
      </w:pPr>
    </w:p>
    <w:p w14:paraId="08F87074">
      <w:pPr>
        <w:pStyle w:val="4"/>
        <w:numPr>
          <w:ilvl w:val="0"/>
          <w:numId w:val="3"/>
        </w:numPr>
        <w:bidi w:val="0"/>
        <w:rPr>
          <w:rFonts w:hint="eastAsia" w:ascii="仿宋" w:hAnsi="仿宋" w:eastAsia="仿宋" w:cs="仿宋"/>
          <w:color w:val="auto"/>
          <w:highlight w:val="none"/>
        </w:rPr>
      </w:pPr>
      <w:bookmarkStart w:id="66" w:name="_Toc4818"/>
      <w:bookmarkStart w:id="67" w:name="_Toc15396611"/>
      <w:bookmarkStart w:id="68" w:name="_Toc15377219"/>
      <w:r>
        <w:rPr>
          <w:rFonts w:hint="eastAsia" w:ascii="仿宋" w:hAnsi="仿宋" w:eastAsia="仿宋" w:cs="仿宋"/>
          <w:color w:val="auto"/>
          <w:highlight w:val="none"/>
        </w:rPr>
        <w:t>国有资本经营预算支出决算情况说明</w:t>
      </w:r>
      <w:bookmarkEnd w:id="66"/>
      <w:bookmarkEnd w:id="67"/>
      <w:bookmarkEnd w:id="68"/>
    </w:p>
    <w:p w14:paraId="1AF6790B">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2021年国有资本经营预算财政拨款支出0万元，年初未安排预算。</w:t>
      </w:r>
    </w:p>
    <w:p w14:paraId="1540A2CD">
      <w:pPr>
        <w:pStyle w:val="4"/>
        <w:numPr>
          <w:ilvl w:val="0"/>
          <w:numId w:val="3"/>
        </w:numPr>
        <w:bidi w:val="0"/>
        <w:rPr>
          <w:rFonts w:hint="eastAsia" w:ascii="仿宋" w:hAnsi="仿宋" w:eastAsia="仿宋" w:cs="仿宋"/>
          <w:color w:val="auto"/>
          <w:highlight w:val="none"/>
        </w:rPr>
      </w:pPr>
      <w:bookmarkStart w:id="69" w:name="_Toc23871"/>
      <w:bookmarkStart w:id="70" w:name="_Toc15377221"/>
      <w:bookmarkStart w:id="71" w:name="_Toc15396612"/>
      <w:r>
        <w:rPr>
          <w:rFonts w:hint="eastAsia" w:ascii="仿宋" w:hAnsi="仿宋" w:eastAsia="仿宋" w:cs="仿宋"/>
          <w:color w:val="auto"/>
          <w:highlight w:val="none"/>
        </w:rPr>
        <w:t>预算绩效管理情况</w:t>
      </w:r>
      <w:bookmarkEnd w:id="69"/>
    </w:p>
    <w:p w14:paraId="65A341D5">
      <w:pPr>
        <w:spacing w:line="58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根据预算绩效管理要求，本单位在2021年度预算编制阶段，因无项目支出，故不涉及事前评估和项目绩效目标，预算执行过程中，</w:t>
      </w:r>
      <w:r>
        <w:rPr>
          <w:rFonts w:hint="eastAsia" w:ascii="仿宋" w:hAnsi="仿宋" w:eastAsia="仿宋" w:cs="仿宋"/>
          <w:color w:val="auto"/>
          <w:sz w:val="32"/>
          <w:szCs w:val="32"/>
          <w:highlight w:val="none"/>
          <w:lang w:eastAsia="zh-CN"/>
        </w:rPr>
        <w:t>对追加预算校舍维修项目</w:t>
      </w:r>
      <w:r>
        <w:rPr>
          <w:rFonts w:hint="eastAsia" w:ascii="仿宋" w:hAnsi="仿宋" w:eastAsia="仿宋" w:cs="仿宋"/>
          <w:color w:val="auto"/>
          <w:sz w:val="32"/>
          <w:szCs w:val="32"/>
          <w:highlight w:val="none"/>
        </w:rPr>
        <w:t>编制了绩效目标</w:t>
      </w:r>
      <w:r>
        <w:rPr>
          <w:rFonts w:hint="eastAsia" w:ascii="仿宋" w:hAnsi="仿宋" w:eastAsia="仿宋" w:cs="仿宋"/>
          <w:color w:val="auto"/>
          <w:sz w:val="32"/>
          <w:szCs w:val="32"/>
          <w:highlight w:val="none"/>
          <w:lang w:eastAsia="zh-CN"/>
        </w:rPr>
        <w:t>，并</w:t>
      </w:r>
      <w:r>
        <w:rPr>
          <w:rFonts w:hint="eastAsia" w:ascii="仿宋" w:hAnsi="仿宋" w:eastAsia="仿宋" w:cs="仿宋"/>
          <w:color w:val="auto"/>
          <w:sz w:val="32"/>
          <w:szCs w:val="32"/>
          <w:highlight w:val="none"/>
        </w:rPr>
        <w:t>开展</w:t>
      </w:r>
      <w:r>
        <w:rPr>
          <w:rFonts w:hint="eastAsia" w:ascii="仿宋" w:hAnsi="仿宋" w:eastAsia="仿宋" w:cs="仿宋"/>
          <w:color w:val="auto"/>
          <w:sz w:val="32"/>
          <w:szCs w:val="32"/>
          <w:highlight w:val="none"/>
          <w:lang w:eastAsia="zh-CN"/>
        </w:rPr>
        <w:t>了</w:t>
      </w:r>
      <w:r>
        <w:rPr>
          <w:rFonts w:hint="eastAsia" w:ascii="仿宋" w:hAnsi="仿宋" w:eastAsia="仿宋" w:cs="仿宋"/>
          <w:color w:val="auto"/>
          <w:sz w:val="32"/>
          <w:szCs w:val="32"/>
          <w:highlight w:val="none"/>
        </w:rPr>
        <w:t>绩效</w:t>
      </w:r>
      <w:r>
        <w:rPr>
          <w:rFonts w:hint="eastAsia" w:ascii="仿宋" w:hAnsi="仿宋" w:eastAsia="仿宋" w:cs="仿宋"/>
          <w:color w:val="auto"/>
          <w:sz w:val="32"/>
          <w:szCs w:val="32"/>
          <w:highlight w:val="none"/>
          <w:lang w:eastAsia="zh-CN"/>
        </w:rPr>
        <w:t>运行</w:t>
      </w:r>
      <w:r>
        <w:rPr>
          <w:rFonts w:hint="eastAsia" w:ascii="仿宋" w:hAnsi="仿宋" w:eastAsia="仿宋" w:cs="仿宋"/>
          <w:color w:val="auto"/>
          <w:sz w:val="32"/>
          <w:szCs w:val="32"/>
          <w:highlight w:val="none"/>
        </w:rPr>
        <w:t>监控，年终执行完毕后，对</w:t>
      </w:r>
      <w:r>
        <w:rPr>
          <w:rFonts w:hint="eastAsia" w:ascii="仿宋" w:hAnsi="仿宋" w:eastAsia="仿宋" w:cs="仿宋"/>
          <w:color w:val="auto"/>
          <w:sz w:val="32"/>
          <w:szCs w:val="32"/>
          <w:highlight w:val="none"/>
          <w:lang w:val="en-US" w:eastAsia="zh-CN"/>
        </w:rPr>
        <w:t>1</w:t>
      </w:r>
      <w:r>
        <w:rPr>
          <w:rFonts w:hint="eastAsia" w:ascii="仿宋" w:hAnsi="仿宋" w:eastAsia="仿宋" w:cs="仿宋"/>
          <w:color w:val="auto"/>
          <w:sz w:val="32"/>
          <w:szCs w:val="32"/>
          <w:highlight w:val="none"/>
        </w:rPr>
        <w:t>个项目开展了绩效自评，2021年部门预算项目绩效目标自评表见附件（第四部分）。</w:t>
      </w:r>
    </w:p>
    <w:p w14:paraId="5DC0C6DA">
      <w:pPr>
        <w:pStyle w:val="4"/>
        <w:numPr>
          <w:ilvl w:val="0"/>
          <w:numId w:val="3"/>
        </w:numPr>
        <w:bidi w:val="0"/>
        <w:rPr>
          <w:rFonts w:hint="eastAsia" w:ascii="仿宋" w:hAnsi="仿宋" w:eastAsia="仿宋" w:cs="仿宋"/>
          <w:color w:val="auto"/>
          <w:highlight w:val="none"/>
        </w:rPr>
      </w:pPr>
      <w:bookmarkStart w:id="72" w:name="_Toc16944"/>
      <w:r>
        <w:rPr>
          <w:rFonts w:hint="eastAsia" w:ascii="仿宋" w:hAnsi="仿宋" w:eastAsia="仿宋" w:cs="仿宋"/>
          <w:color w:val="auto"/>
          <w:highlight w:val="none"/>
        </w:rPr>
        <w:t>其他重要事项的情况说明</w:t>
      </w:r>
      <w:bookmarkEnd w:id="70"/>
      <w:bookmarkEnd w:id="71"/>
      <w:bookmarkEnd w:id="72"/>
    </w:p>
    <w:p w14:paraId="03605CEB">
      <w:pPr>
        <w:spacing w:line="600" w:lineRule="exact"/>
        <w:ind w:firstLine="643" w:firstLineChars="200"/>
        <w:outlineLvl w:val="2"/>
        <w:rPr>
          <w:rFonts w:hint="eastAsia" w:ascii="仿宋" w:hAnsi="仿宋" w:eastAsia="仿宋" w:cs="仿宋"/>
          <w:color w:val="auto"/>
          <w:sz w:val="32"/>
          <w:szCs w:val="32"/>
          <w:highlight w:val="none"/>
        </w:rPr>
      </w:pPr>
      <w:bookmarkStart w:id="73" w:name="_Toc15377222"/>
      <w:r>
        <w:rPr>
          <w:rFonts w:hint="eastAsia" w:ascii="仿宋" w:hAnsi="仿宋" w:eastAsia="仿宋" w:cs="仿宋"/>
          <w:b/>
          <w:color w:val="auto"/>
          <w:sz w:val="32"/>
          <w:szCs w:val="32"/>
          <w:highlight w:val="none"/>
        </w:rPr>
        <w:t>（一）机关运行经费支出情况</w:t>
      </w:r>
      <w:bookmarkEnd w:id="73"/>
    </w:p>
    <w:p w14:paraId="0717A63B">
      <w:pPr>
        <w:keepNext w:val="0"/>
        <w:keepLines w:val="0"/>
        <w:widowControl w:val="0"/>
        <w:suppressLineNumbers w:val="0"/>
        <w:spacing w:before="0" w:beforeAutospacing="0" w:after="0" w:afterAutospacing="0" w:line="600" w:lineRule="exact"/>
        <w:ind w:left="0" w:right="0" w:firstLine="640"/>
        <w:jc w:val="both"/>
        <w:rPr>
          <w:rFonts w:hint="eastAsia" w:ascii="仿宋" w:hAnsi="仿宋" w:eastAsia="仿宋" w:cs="仿宋"/>
          <w:color w:val="auto"/>
          <w:sz w:val="32"/>
          <w:szCs w:val="32"/>
          <w:highlight w:val="none"/>
          <w:lang w:val="en-US"/>
        </w:rPr>
      </w:pPr>
      <w:bookmarkStart w:id="74" w:name="_Toc15377223"/>
      <w:r>
        <w:rPr>
          <w:rFonts w:hint="eastAsia" w:ascii="仿宋" w:hAnsi="仿宋" w:eastAsia="仿宋" w:cs="仿宋"/>
          <w:color w:val="auto"/>
          <w:kern w:val="2"/>
          <w:sz w:val="32"/>
          <w:szCs w:val="32"/>
          <w:highlight w:val="none"/>
          <w:lang w:val="en-US" w:eastAsia="zh-CN" w:bidi="ar"/>
        </w:rPr>
        <w:t>2021年，我部门机关运行经费支出0元，与</w:t>
      </w:r>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eastAsia="zh-CN"/>
        </w:rPr>
        <w:t>20</w:t>
      </w:r>
      <w:r>
        <w:rPr>
          <w:rFonts w:hint="eastAsia" w:ascii="仿宋" w:hAnsi="仿宋" w:eastAsia="仿宋" w:cs="仿宋"/>
          <w:color w:val="auto"/>
          <w:sz w:val="32"/>
          <w:szCs w:val="32"/>
          <w:highlight w:val="none"/>
        </w:rPr>
        <w:t>年决算数持平</w:t>
      </w:r>
      <w:r>
        <w:rPr>
          <w:rFonts w:hint="eastAsia" w:ascii="仿宋" w:hAnsi="仿宋" w:eastAsia="仿宋" w:cs="仿宋"/>
          <w:color w:val="auto"/>
          <w:kern w:val="2"/>
          <w:sz w:val="32"/>
          <w:szCs w:val="32"/>
          <w:highlight w:val="none"/>
          <w:lang w:val="en-US" w:eastAsia="zh-CN" w:bidi="ar"/>
        </w:rPr>
        <w:t>。主要原因是本单位为事业单位，未发生机关运行经费支出。</w:t>
      </w:r>
    </w:p>
    <w:p w14:paraId="5BECC053">
      <w:pPr>
        <w:autoSpaceDE w:val="0"/>
        <w:autoSpaceDN w:val="0"/>
        <w:adjustRightInd w:val="0"/>
        <w:spacing w:line="600" w:lineRule="exact"/>
        <w:ind w:firstLine="643" w:firstLineChars="200"/>
        <w:jc w:val="left"/>
        <w:outlineLvl w:val="2"/>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（二）政府采购支出情况</w:t>
      </w:r>
      <w:bookmarkEnd w:id="74"/>
    </w:p>
    <w:p w14:paraId="44F9DD12">
      <w:pPr>
        <w:spacing w:line="60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2021年，我单位政府采购支出</w:t>
      </w:r>
      <w:r>
        <w:rPr>
          <w:rFonts w:hint="eastAsia" w:ascii="仿宋" w:hAnsi="仿宋" w:eastAsia="仿宋" w:cs="仿宋"/>
          <w:color w:val="auto"/>
          <w:sz w:val="32"/>
          <w:szCs w:val="32"/>
          <w:highlight w:val="none"/>
          <w:lang w:eastAsia="zh-CN"/>
        </w:rPr>
        <w:t>年初未预算采购经费，</w:t>
      </w:r>
      <w:r>
        <w:rPr>
          <w:rFonts w:hint="eastAsia" w:ascii="仿宋" w:hAnsi="仿宋" w:eastAsia="仿宋" w:cs="仿宋"/>
          <w:color w:val="auto"/>
          <w:sz w:val="32"/>
          <w:szCs w:val="32"/>
          <w:highlight w:val="none"/>
        </w:rPr>
        <w:t>政府采购支出总额</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kern w:val="2"/>
          <w:sz w:val="32"/>
          <w:szCs w:val="32"/>
          <w:highlight w:val="none"/>
          <w:lang w:val="en-US" w:eastAsia="zh-CN" w:bidi="ar"/>
        </w:rPr>
        <w:t>与</w:t>
      </w:r>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eastAsia="zh-CN"/>
        </w:rPr>
        <w:t>20</w:t>
      </w:r>
      <w:r>
        <w:rPr>
          <w:rFonts w:hint="eastAsia" w:ascii="仿宋" w:hAnsi="仿宋" w:eastAsia="仿宋" w:cs="仿宋"/>
          <w:color w:val="auto"/>
          <w:sz w:val="32"/>
          <w:szCs w:val="32"/>
          <w:highlight w:val="none"/>
        </w:rPr>
        <w:t>年决算数持平</w:t>
      </w:r>
      <w:r>
        <w:rPr>
          <w:rFonts w:hint="eastAsia" w:ascii="仿宋" w:hAnsi="仿宋" w:eastAsia="仿宋" w:cs="仿宋"/>
          <w:color w:val="auto"/>
          <w:kern w:val="2"/>
          <w:sz w:val="32"/>
          <w:szCs w:val="32"/>
          <w:highlight w:val="none"/>
          <w:lang w:val="en-US" w:eastAsia="zh-CN" w:bidi="ar"/>
        </w:rPr>
        <w:t>。</w:t>
      </w:r>
    </w:p>
    <w:p w14:paraId="6D67A022">
      <w:pPr>
        <w:autoSpaceDE w:val="0"/>
        <w:autoSpaceDN w:val="0"/>
        <w:adjustRightInd w:val="0"/>
        <w:spacing w:line="600" w:lineRule="exact"/>
        <w:ind w:firstLine="643" w:firstLineChars="200"/>
        <w:jc w:val="left"/>
        <w:outlineLvl w:val="2"/>
        <w:rPr>
          <w:rFonts w:hint="eastAsia" w:ascii="仿宋" w:hAnsi="仿宋" w:eastAsia="仿宋" w:cs="仿宋"/>
          <w:b/>
          <w:color w:val="auto"/>
          <w:sz w:val="32"/>
          <w:szCs w:val="32"/>
          <w:highlight w:val="none"/>
        </w:rPr>
      </w:pPr>
      <w:bookmarkStart w:id="75" w:name="_Toc15377224"/>
      <w:r>
        <w:rPr>
          <w:rFonts w:hint="eastAsia" w:ascii="仿宋" w:hAnsi="仿宋" w:eastAsia="仿宋" w:cs="仿宋"/>
          <w:b/>
          <w:color w:val="auto"/>
          <w:sz w:val="32"/>
          <w:szCs w:val="32"/>
          <w:highlight w:val="none"/>
        </w:rPr>
        <w:t>（三）国有资产占有使用情况</w:t>
      </w:r>
      <w:bookmarkEnd w:id="75"/>
    </w:p>
    <w:p w14:paraId="361147FC">
      <w:pPr>
        <w:autoSpaceDE w:val="0"/>
        <w:autoSpaceDN w:val="0"/>
        <w:adjustRightInd w:val="0"/>
        <w:spacing w:line="600" w:lineRule="exact"/>
        <w:ind w:firstLine="640" w:firstLineChars="200"/>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截至20</w:t>
      </w:r>
      <w:r>
        <w:rPr>
          <w:rFonts w:hint="eastAsia" w:ascii="仿宋" w:hAnsi="仿宋" w:eastAsia="仿宋" w:cs="仿宋"/>
          <w:color w:val="auto"/>
          <w:sz w:val="32"/>
          <w:szCs w:val="32"/>
          <w:highlight w:val="none"/>
          <w:lang w:val="en-US" w:eastAsia="zh-CN"/>
        </w:rPr>
        <w:t>21</w:t>
      </w:r>
      <w:r>
        <w:rPr>
          <w:rFonts w:hint="eastAsia" w:ascii="仿宋" w:hAnsi="仿宋" w:eastAsia="仿宋" w:cs="仿宋"/>
          <w:color w:val="auto"/>
          <w:sz w:val="32"/>
          <w:szCs w:val="32"/>
          <w:highlight w:val="none"/>
        </w:rPr>
        <w:t>年12月31日，</w:t>
      </w:r>
      <w:r>
        <w:rPr>
          <w:rFonts w:hint="eastAsia" w:ascii="仿宋" w:hAnsi="仿宋" w:eastAsia="仿宋" w:cs="仿宋"/>
          <w:color w:val="auto"/>
          <w:sz w:val="32"/>
          <w:szCs w:val="32"/>
          <w:highlight w:val="none"/>
          <w:lang w:eastAsia="zh-CN"/>
        </w:rPr>
        <w:t>我单位</w:t>
      </w:r>
      <w:r>
        <w:rPr>
          <w:rFonts w:hint="eastAsia" w:ascii="仿宋" w:hAnsi="仿宋" w:eastAsia="仿宋" w:cs="仿宋"/>
          <w:color w:val="auto"/>
          <w:sz w:val="32"/>
          <w:szCs w:val="32"/>
          <w:highlight w:val="none"/>
        </w:rPr>
        <w:t>共有车辆</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辆，其中：主要领导干部用车</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辆、机要通信用车</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辆、应急保障用车</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辆、其他用车</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单价50万元以上通用设备</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台（套），单价100万元以上专用设备</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台（套）。</w:t>
      </w:r>
    </w:p>
    <w:p w14:paraId="113F38CA">
      <w:pPr>
        <w:pStyle w:val="2"/>
        <w:spacing w:before="93"/>
        <w:rPr>
          <w:rFonts w:hint="eastAsia" w:ascii="仿宋" w:hAnsi="仿宋" w:eastAsia="仿宋" w:cs="仿宋"/>
          <w:color w:val="auto"/>
          <w:highlight w:val="none"/>
        </w:rPr>
      </w:pPr>
    </w:p>
    <w:p w14:paraId="09774E00">
      <w:pPr>
        <w:widowControl/>
        <w:jc w:val="left"/>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14:paraId="7C60E52D">
      <w:pPr>
        <w:pStyle w:val="3"/>
        <w:numPr>
          <w:ilvl w:val="0"/>
          <w:numId w:val="4"/>
        </w:numPr>
        <w:bidi w:val="0"/>
        <w:rPr>
          <w:rFonts w:hint="eastAsia" w:ascii="仿宋" w:hAnsi="仿宋" w:eastAsia="仿宋" w:cs="仿宋"/>
          <w:color w:val="auto"/>
          <w:highlight w:val="none"/>
        </w:rPr>
      </w:pPr>
      <w:bookmarkStart w:id="76" w:name="_Toc16610"/>
      <w:bookmarkStart w:id="77" w:name="_Toc15377225"/>
      <w:bookmarkStart w:id="78" w:name="_Toc15396613"/>
      <w:r>
        <w:rPr>
          <w:rFonts w:hint="eastAsia" w:ascii="仿宋" w:hAnsi="仿宋" w:eastAsia="仿宋" w:cs="仿宋"/>
          <w:color w:val="auto"/>
          <w:highlight w:val="none"/>
        </w:rPr>
        <w:t>名词解释</w:t>
      </w:r>
      <w:bookmarkEnd w:id="76"/>
      <w:bookmarkEnd w:id="77"/>
      <w:bookmarkEnd w:id="78"/>
    </w:p>
    <w:p w14:paraId="63E6270E">
      <w:pPr>
        <w:spacing w:line="600" w:lineRule="exact"/>
        <w:jc w:val="left"/>
        <w:rPr>
          <w:rFonts w:hint="eastAsia" w:ascii="仿宋" w:hAnsi="仿宋" w:eastAsia="仿宋" w:cs="仿宋"/>
          <w:b/>
          <w:color w:val="auto"/>
          <w:sz w:val="44"/>
          <w:szCs w:val="44"/>
          <w:highlight w:val="none"/>
        </w:rPr>
      </w:pPr>
    </w:p>
    <w:p w14:paraId="179A2C11">
      <w:pPr>
        <w:pStyle w:val="2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p>
    <w:p w14:paraId="154F17B8">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2</w:t>
      </w:r>
      <w:r>
        <w:rPr>
          <w:rFonts w:ascii="仿宋_GB2312" w:eastAsia="仿宋_GB2312"/>
          <w:color w:val="auto"/>
          <w:sz w:val="32"/>
          <w:szCs w:val="32"/>
          <w:highlight w:val="none"/>
        </w:rPr>
        <w:t>.</w:t>
      </w:r>
      <w:r>
        <w:rPr>
          <w:rFonts w:hint="eastAsia" w:ascii="仿宋_GB2312" w:eastAsia="仿宋_GB2312"/>
          <w:color w:val="auto"/>
          <w:sz w:val="32"/>
          <w:szCs w:val="32"/>
          <w:highlight w:val="none"/>
        </w:rPr>
        <w:t>使用非财政拨款结余：指事业单位使用以前年度积累的非财政拨款结余弥补当年收支差额的金额。</w:t>
      </w:r>
      <w:r>
        <w:rPr>
          <w:rFonts w:ascii="仿宋_GB2312" w:eastAsia="仿宋_GB2312"/>
          <w:color w:val="auto"/>
          <w:sz w:val="32"/>
          <w:szCs w:val="32"/>
          <w:highlight w:val="none"/>
        </w:rPr>
        <w:t xml:space="preserve"> </w:t>
      </w:r>
    </w:p>
    <w:p w14:paraId="65CEE230">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3</w:t>
      </w:r>
      <w:r>
        <w:rPr>
          <w:rFonts w:ascii="仿宋_GB2312" w:eastAsia="仿宋_GB2312"/>
          <w:color w:val="auto"/>
          <w:sz w:val="32"/>
          <w:szCs w:val="32"/>
          <w:highlight w:val="none"/>
        </w:rPr>
        <w:t>.</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14:paraId="083A1AF9">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rPr>
        <w:t>结余分配：指事业单位按照会计制度规定缴纳的所得税、提取的专用结余以及转入非财政拨款结余的金额等。</w:t>
      </w:r>
    </w:p>
    <w:p w14:paraId="4553E8F0">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5</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年末结转和结余：指单位按有关规定结转到下年或以后年度继续使用的资金。</w:t>
      </w:r>
    </w:p>
    <w:p w14:paraId="417EFE43">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6</w:t>
      </w:r>
      <w:r>
        <w:rPr>
          <w:rFonts w:ascii="仿宋_GB2312" w:eastAsia="仿宋_GB2312"/>
          <w:color w:val="auto"/>
          <w:sz w:val="32"/>
          <w:szCs w:val="32"/>
          <w:highlight w:val="none"/>
        </w:rPr>
        <w:t>.</w:t>
      </w:r>
      <w:r>
        <w:rPr>
          <w:rFonts w:hint="eastAsia" w:ascii="仿宋_GB2312" w:eastAsia="仿宋_GB2312"/>
          <w:color w:val="auto"/>
          <w:sz w:val="32"/>
          <w:szCs w:val="32"/>
          <w:highlight w:val="none"/>
        </w:rPr>
        <w:t>教育（类）普通教育（款）小学教育（项）：指小学教育。</w:t>
      </w:r>
    </w:p>
    <w:p w14:paraId="170A8361">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7</w:t>
      </w:r>
      <w:r>
        <w:rPr>
          <w:rFonts w:ascii="仿宋_GB2312" w:eastAsia="仿宋_GB2312"/>
          <w:color w:val="auto"/>
          <w:sz w:val="32"/>
          <w:szCs w:val="32"/>
          <w:highlight w:val="none"/>
        </w:rPr>
        <w:t>.</w:t>
      </w:r>
      <w:r>
        <w:rPr>
          <w:rFonts w:hint="eastAsia" w:ascii="仿宋_GB2312" w:eastAsia="仿宋_GB2312"/>
          <w:color w:val="auto"/>
          <w:sz w:val="32"/>
          <w:szCs w:val="32"/>
          <w:highlight w:val="none"/>
        </w:rPr>
        <w:t>教育（类）普通教育（款）其他普通教育支出（项）：指其他普通教育支出。</w:t>
      </w:r>
    </w:p>
    <w:p w14:paraId="077A395B">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8</w:t>
      </w:r>
      <w:r>
        <w:rPr>
          <w:rFonts w:hint="eastAsia" w:ascii="仿宋_GB2312" w:eastAsia="仿宋_GB2312"/>
          <w:color w:val="auto"/>
          <w:sz w:val="32"/>
          <w:szCs w:val="32"/>
          <w:highlight w:val="none"/>
        </w:rPr>
        <w:t>.社会保障和就业支出（类）抚恤（款）死亡抚恤（项）：指死亡抚恤。</w:t>
      </w:r>
    </w:p>
    <w:p w14:paraId="5C9B8E46">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9</w:t>
      </w:r>
      <w:r>
        <w:rPr>
          <w:rFonts w:hint="eastAsia" w:ascii="仿宋_GB2312" w:eastAsia="仿宋_GB2312"/>
          <w:color w:val="auto"/>
          <w:sz w:val="32"/>
          <w:szCs w:val="32"/>
          <w:highlight w:val="none"/>
        </w:rPr>
        <w:t>.</w:t>
      </w:r>
      <w:r>
        <w:rPr>
          <w:rFonts w:hint="eastAsia" w:ascii="仿宋_GB2312" w:hAnsi="Calibri" w:eastAsia="仿宋_GB2312" w:cs="仿宋"/>
          <w:color w:val="auto"/>
          <w:kern w:val="0"/>
          <w:sz w:val="32"/>
          <w:szCs w:val="32"/>
          <w:highlight w:val="none"/>
          <w:lang w:val="en-US" w:eastAsia="zh-CN" w:bidi="ar-SA"/>
        </w:rPr>
        <w:t>其他支出（类）彩票公益金安排的支出（款）用于教育事业的彩票公益金支出（项）：指</w:t>
      </w:r>
      <w:r>
        <w:rPr>
          <w:rFonts w:hint="eastAsia" w:ascii="仿宋_GB2312" w:hAnsi="Calibri" w:eastAsia="仿宋_GB2312" w:cs="仿宋"/>
          <w:color w:val="auto"/>
          <w:kern w:val="0"/>
          <w:sz w:val="32"/>
          <w:szCs w:val="32"/>
          <w:highlight w:val="none"/>
          <w:lang w:val="en-US" w:eastAsia="zh-CN"/>
        </w:rPr>
        <w:t>用于教育事业的彩票公益金支出。</w:t>
      </w:r>
    </w:p>
    <w:p w14:paraId="3A5E6DB2">
      <w:pPr>
        <w:numPr>
          <w:ilvl w:val="0"/>
          <w:numId w:val="0"/>
        </w:numPr>
        <w:spacing w:line="600" w:lineRule="exact"/>
        <w:ind w:firstLine="640" w:firstLineChars="200"/>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t>10.社会保障和就业支出（类）行政事业单位养老支出（款）机关事业单位基本养老保险缴费支出（项）: 指机关事业单位实施养老保险制度由单位缴纳的基本养老保险费支出。</w:t>
      </w:r>
    </w:p>
    <w:p w14:paraId="2C1B5378">
      <w:pPr>
        <w:pStyle w:val="16"/>
        <w:ind w:left="0" w:leftChars="0" w:firstLine="640" w:firstLineChars="200"/>
        <w:rPr>
          <w:rFonts w:hint="eastAsia"/>
          <w:color w:val="auto"/>
          <w:highlight w:val="none"/>
          <w:lang w:val="en-US" w:eastAsia="zh-CN"/>
        </w:rPr>
      </w:pPr>
      <w:r>
        <w:rPr>
          <w:rFonts w:hint="eastAsia" w:ascii="仿宋_GB2312" w:hAnsi="Calibri" w:eastAsia="仿宋_GB2312" w:cs="仿宋"/>
          <w:color w:val="auto"/>
          <w:kern w:val="0"/>
          <w:sz w:val="32"/>
          <w:szCs w:val="32"/>
          <w:highlight w:val="none"/>
          <w:lang w:val="en-US" w:eastAsia="zh-CN" w:bidi="ar-SA"/>
        </w:rPr>
        <w:t>11.社会保障和就业支出（类）其他社会保障和就业支出（款）其他社会保障和就业支出（项）: 指其他用于社会保障和就业方面的支出。</w:t>
      </w:r>
    </w:p>
    <w:p w14:paraId="504FBAC5">
      <w:pPr>
        <w:pStyle w:val="2"/>
        <w:ind w:firstLine="640" w:firstLineChars="200"/>
        <w:rPr>
          <w:color w:val="auto"/>
          <w:highlight w:val="none"/>
        </w:rPr>
      </w:pPr>
      <w:r>
        <w:rPr>
          <w:rFonts w:hint="eastAsia" w:hAnsi="Calibri" w:cs="仿宋"/>
          <w:color w:val="auto"/>
          <w:kern w:val="0"/>
          <w:sz w:val="32"/>
          <w:szCs w:val="32"/>
          <w:highlight w:val="none"/>
          <w:lang w:val="en-US" w:eastAsia="zh-CN"/>
        </w:rPr>
        <w:t>12.</w:t>
      </w:r>
      <w:r>
        <w:rPr>
          <w:rFonts w:hint="eastAsia" w:ascii="仿宋_GB2312" w:hAnsi="Calibri" w:eastAsia="仿宋_GB2312" w:cs="仿宋"/>
          <w:color w:val="auto"/>
          <w:kern w:val="0"/>
          <w:sz w:val="32"/>
          <w:szCs w:val="32"/>
          <w:highlight w:val="none"/>
          <w:lang w:val="en-US" w:eastAsia="zh-CN"/>
        </w:rPr>
        <w:t>卫生健康（类）行政事业单位医疗（款）事业单位医疗（项）：指财政部门安排的事业单位基本医疗保险缴费经费，未参加医疗保险的事业单位的公费医疗经费，按国家规定享受离休人员待遇的医疗保险。</w:t>
      </w:r>
    </w:p>
    <w:p w14:paraId="1A7AE65C">
      <w:pPr>
        <w:pStyle w:val="2"/>
        <w:ind w:firstLine="640" w:firstLineChars="200"/>
        <w:rPr>
          <w:color w:val="auto"/>
          <w:highlight w:val="none"/>
        </w:rPr>
      </w:pPr>
      <w:r>
        <w:rPr>
          <w:rFonts w:hint="eastAsia" w:hAnsi="Calibri" w:cs="仿宋"/>
          <w:color w:val="auto"/>
          <w:kern w:val="0"/>
          <w:sz w:val="32"/>
          <w:szCs w:val="32"/>
          <w:highlight w:val="none"/>
          <w:lang w:val="en-US" w:eastAsia="zh-CN"/>
        </w:rPr>
        <w:t>13.</w:t>
      </w:r>
      <w:r>
        <w:rPr>
          <w:rFonts w:hint="eastAsia" w:ascii="仿宋_GB2312" w:hAnsi="Calibri" w:eastAsia="仿宋_GB2312" w:cs="仿宋"/>
          <w:color w:val="auto"/>
          <w:kern w:val="0"/>
          <w:sz w:val="32"/>
          <w:szCs w:val="32"/>
          <w:highlight w:val="none"/>
          <w:lang w:val="en-US" w:eastAsia="zh-CN"/>
        </w:rPr>
        <w:t>住房保障支出（类）住房改革支出（款）住房公积金（项）：指行政事业单位按人力资源和社会保障部、财政部规定的基本工资和津贴补贴以及规定比例为职工缴纳的住房公积金。</w:t>
      </w:r>
    </w:p>
    <w:p w14:paraId="36BAFCC2">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14</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14:paraId="6F67E67E">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5</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14:paraId="55E98F9C">
      <w:pPr>
        <w:pStyle w:val="27"/>
        <w:spacing w:line="560" w:lineRule="exact"/>
        <w:ind w:firstLine="640" w:firstLineChars="200"/>
        <w:jc w:val="left"/>
        <w:rPr>
          <w:rFonts w:hint="eastAsia" w:ascii="仿宋" w:hAnsi="仿宋" w:eastAsia="仿宋" w:cs="仿宋"/>
          <w:color w:val="auto"/>
          <w:sz w:val="32"/>
          <w:szCs w:val="32"/>
          <w:highlight w:val="none"/>
        </w:rPr>
      </w:pPr>
      <w:r>
        <w:rPr>
          <w:rFonts w:hint="eastAsia" w:ascii="仿宋_GB2312" w:eastAsia="仿宋_GB2312"/>
          <w:color w:val="auto"/>
          <w:sz w:val="32"/>
          <w:szCs w:val="32"/>
          <w:highlight w:val="none"/>
          <w:lang w:val="en-US" w:eastAsia="zh-CN"/>
        </w:rPr>
        <w:t>16</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Start w:id="79" w:name="_Toc15377226"/>
    </w:p>
    <w:p w14:paraId="5477E3E2">
      <w:pPr>
        <w:pStyle w:val="27"/>
        <w:spacing w:line="560" w:lineRule="exact"/>
        <w:ind w:firstLine="883" w:firstLineChars="200"/>
        <w:jc w:val="center"/>
        <w:rPr>
          <w:rStyle w:val="29"/>
          <w:rFonts w:hint="eastAsia" w:ascii="仿宋" w:hAnsi="仿宋" w:eastAsia="仿宋" w:cs="仿宋"/>
          <w:b w:val="0"/>
          <w:color w:val="auto"/>
          <w:highlight w:val="none"/>
        </w:rPr>
      </w:pPr>
      <w:r>
        <w:rPr>
          <w:rFonts w:hint="eastAsia" w:ascii="仿宋" w:hAnsi="仿宋" w:eastAsia="仿宋" w:cs="仿宋"/>
          <w:b/>
          <w:color w:val="auto"/>
          <w:sz w:val="44"/>
          <w:szCs w:val="44"/>
          <w:highlight w:val="none"/>
        </w:rPr>
        <w:br w:type="page"/>
      </w:r>
      <w:bookmarkStart w:id="80" w:name="_Toc15396614"/>
      <w:bookmarkStart w:id="81" w:name="_Toc3498"/>
      <w:r>
        <w:rPr>
          <w:rStyle w:val="29"/>
          <w:rFonts w:hint="eastAsia" w:ascii="仿宋" w:hAnsi="仿宋" w:eastAsia="仿宋" w:cs="仿宋"/>
          <w:color w:val="auto"/>
          <w:highlight w:val="none"/>
        </w:rPr>
        <w:t>第四部分 附件</w:t>
      </w:r>
      <w:bookmarkEnd w:id="80"/>
    </w:p>
    <w:bookmarkEnd w:id="81"/>
    <w:tbl>
      <w:tblPr>
        <w:tblStyle w:val="17"/>
        <w:tblpPr w:leftFromText="180" w:rightFromText="180" w:vertAnchor="text" w:horzAnchor="page" w:tblpX="1702" w:tblpY="109"/>
        <w:tblOverlap w:val="never"/>
        <w:tblW w:w="9454" w:type="dxa"/>
        <w:tblInd w:w="0" w:type="dxa"/>
        <w:tblLayout w:type="fixed"/>
        <w:tblCellMar>
          <w:top w:w="0" w:type="dxa"/>
          <w:left w:w="108" w:type="dxa"/>
          <w:bottom w:w="0" w:type="dxa"/>
          <w:right w:w="108" w:type="dxa"/>
        </w:tblCellMar>
      </w:tblPr>
      <w:tblGrid>
        <w:gridCol w:w="1113"/>
        <w:gridCol w:w="1005"/>
        <w:gridCol w:w="1215"/>
        <w:gridCol w:w="2385"/>
        <w:gridCol w:w="1178"/>
        <w:gridCol w:w="2322"/>
        <w:gridCol w:w="236"/>
      </w:tblGrid>
      <w:tr w14:paraId="0291F766">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shd w:val="clear" w:color="auto" w:fill="auto"/>
            <w:vAlign w:val="center"/>
          </w:tcPr>
          <w:p w14:paraId="0447AE6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color w:val="auto"/>
                <w:sz w:val="32"/>
                <w:szCs w:val="32"/>
                <w:highlight w:val="none"/>
                <w:lang w:eastAsia="zh-CN"/>
              </w:rPr>
            </w:pPr>
            <w:bookmarkStart w:id="82" w:name="_Toc6245"/>
            <w:bookmarkStart w:id="83" w:name="_Toc15396618"/>
            <w:r>
              <w:rPr>
                <w:rFonts w:hint="eastAsia" w:ascii="仿宋" w:hAnsi="仿宋" w:eastAsia="仿宋" w:cs="仿宋"/>
                <w:b/>
                <w:color w:val="auto"/>
                <w:sz w:val="32"/>
                <w:szCs w:val="32"/>
                <w:highlight w:val="none"/>
              </w:rPr>
              <w:t>2021年部门预算项目绩效目标自评</w:t>
            </w:r>
            <w:r>
              <w:rPr>
                <w:rFonts w:hint="eastAsia" w:ascii="仿宋" w:hAnsi="仿宋" w:eastAsia="仿宋" w:cs="仿宋"/>
                <w:b/>
                <w:color w:val="auto"/>
                <w:sz w:val="32"/>
                <w:szCs w:val="32"/>
                <w:highlight w:val="none"/>
                <w:lang w:eastAsia="zh-CN"/>
              </w:rPr>
              <w:t>（校舍维修）</w:t>
            </w:r>
          </w:p>
        </w:tc>
        <w:tc>
          <w:tcPr>
            <w:tcW w:w="236" w:type="dxa"/>
            <w:tcBorders>
              <w:top w:val="nil"/>
              <w:left w:val="nil"/>
              <w:bottom w:val="nil"/>
              <w:right w:val="nil"/>
            </w:tcBorders>
            <w:shd w:val="clear" w:color="auto" w:fill="auto"/>
            <w:vAlign w:val="center"/>
          </w:tcPr>
          <w:p w14:paraId="67A9560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color w:val="auto"/>
                <w:kern w:val="0"/>
                <w:sz w:val="32"/>
                <w:szCs w:val="32"/>
                <w:highlight w:val="none"/>
              </w:rPr>
            </w:pPr>
          </w:p>
        </w:tc>
      </w:tr>
      <w:tr w14:paraId="163724FD">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BA82C1">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主管部门及代码</w:t>
            </w:r>
          </w:p>
        </w:tc>
        <w:tc>
          <w:tcPr>
            <w:tcW w:w="3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16578E">
            <w:pPr>
              <w:keepNext w:val="0"/>
              <w:keepLines w:val="0"/>
              <w:widowControl/>
              <w:suppressLineNumbers w:val="0"/>
              <w:spacing w:before="0" w:beforeAutospacing="0" w:after="0" w:afterAutospacing="0" w:line="320" w:lineRule="exact"/>
              <w:ind w:left="0" w:right="0"/>
              <w:textAlignment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360319</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B6B18">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实施单位</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731F4">
            <w:pPr>
              <w:keepNext w:val="0"/>
              <w:keepLines w:val="0"/>
              <w:widowControl/>
              <w:suppressLineNumbers w:val="0"/>
              <w:spacing w:before="0" w:beforeAutospacing="0" w:after="0" w:afterAutospacing="0" w:line="320" w:lineRule="exact"/>
              <w:ind w:left="0" w:right="0"/>
              <w:textAlignment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广元市昭化区红岩镇白果小学</w:t>
            </w:r>
          </w:p>
        </w:tc>
      </w:tr>
      <w:tr w14:paraId="422C7879">
        <w:tblPrEx>
          <w:tblCellMar>
            <w:top w:w="0" w:type="dxa"/>
            <w:left w:w="108" w:type="dxa"/>
            <w:bottom w:w="0" w:type="dxa"/>
            <w:right w:w="108" w:type="dxa"/>
          </w:tblCellMar>
        </w:tblPrEx>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0543FB">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项目预算</w:t>
            </w:r>
          </w:p>
          <w:p w14:paraId="0D456CFE">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执行情况</w:t>
            </w:r>
          </w:p>
          <w:p w14:paraId="5C4DF7B6">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（万元）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FB2FC">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 xml:space="preserve"> 预算数：</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22162">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155</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16709">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 xml:space="preserve"> 执行数：</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6A6E6">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155</w:t>
            </w:r>
          </w:p>
        </w:tc>
      </w:tr>
      <w:tr w14:paraId="705B363F">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EA4577">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996A4">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其中：</w:t>
            </w:r>
          </w:p>
          <w:p w14:paraId="577D1704">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财政拨款</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8CF00">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rPr>
            </w:pPr>
            <w:r>
              <w:rPr>
                <w:rFonts w:hint="eastAsia" w:ascii="仿宋" w:hAnsi="仿宋" w:eastAsia="仿宋" w:cs="仿宋"/>
                <w:color w:val="auto"/>
                <w:sz w:val="24"/>
                <w:highlight w:val="none"/>
                <w:lang w:val="en-US" w:eastAsia="zh-CN"/>
              </w:rPr>
              <w:t>155</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7879C">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其中：</w:t>
            </w:r>
          </w:p>
          <w:p w14:paraId="2D82BADB">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财政拨款</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5EC06">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rPr>
            </w:pPr>
            <w:r>
              <w:rPr>
                <w:rFonts w:hint="eastAsia" w:ascii="仿宋" w:hAnsi="仿宋" w:eastAsia="仿宋" w:cs="仿宋"/>
                <w:color w:val="auto"/>
                <w:sz w:val="24"/>
                <w:highlight w:val="none"/>
                <w:lang w:val="en-US" w:eastAsia="zh-CN"/>
              </w:rPr>
              <w:t>155</w:t>
            </w:r>
          </w:p>
        </w:tc>
      </w:tr>
      <w:tr w14:paraId="42DA5C59">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7F8719">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16284">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其他资金</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6E261">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lang w:val="en-US" w:eastAsia="zh-CN"/>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6C15C">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其他资金</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0EAE3">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eastAsia="zh-CN"/>
              </w:rPr>
            </w:pPr>
          </w:p>
        </w:tc>
      </w:tr>
      <w:tr w14:paraId="6D274D53">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8123CA">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年度总体目标</w:t>
            </w:r>
          </w:p>
          <w:p w14:paraId="2A7E968A">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完成情况</w:t>
            </w: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C89F0F9">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预期目标</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2621C5">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目标实际完成情况</w:t>
            </w:r>
          </w:p>
        </w:tc>
      </w:tr>
      <w:tr w14:paraId="14731057">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78584C">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4"/>
                <w:highlight w:val="none"/>
              </w:rPr>
            </w:pP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tcPr>
          <w:p w14:paraId="5A99D1A0">
            <w:pPr>
              <w:keepNext w:val="0"/>
              <w:keepLines w:val="0"/>
              <w:widowControl/>
              <w:suppressLineNumbers w:val="0"/>
              <w:spacing w:before="0" w:beforeAutospacing="0" w:after="0" w:afterAutospacing="0" w:line="320" w:lineRule="exact"/>
              <w:ind w:left="0" w:right="0"/>
              <w:jc w:val="left"/>
              <w:textAlignment w:val="top"/>
              <w:rPr>
                <w:rFonts w:hint="eastAsia" w:ascii="仿宋" w:hAnsi="仿宋" w:eastAsia="仿宋" w:cs="仿宋"/>
                <w:color w:val="auto"/>
                <w:sz w:val="24"/>
                <w:highlight w:val="none"/>
                <w:lang w:eastAsia="zh-CN"/>
              </w:rPr>
            </w:pPr>
            <w:r>
              <w:rPr>
                <w:rFonts w:hint="eastAsia" w:ascii="仿宋" w:hAnsi="仿宋" w:eastAsia="仿宋" w:cs="仿宋"/>
                <w:color w:val="auto"/>
                <w:sz w:val="22"/>
                <w:szCs w:val="22"/>
                <w:highlight w:val="none"/>
              </w:rPr>
              <w:t>校舍</w:t>
            </w:r>
            <w:r>
              <w:rPr>
                <w:rFonts w:hint="eastAsia" w:ascii="仿宋" w:hAnsi="仿宋" w:eastAsia="仿宋" w:cs="仿宋"/>
                <w:color w:val="auto"/>
                <w:sz w:val="22"/>
                <w:szCs w:val="22"/>
                <w:highlight w:val="none"/>
                <w:lang w:eastAsia="zh-CN"/>
              </w:rPr>
              <w:t>维修面积</w:t>
            </w:r>
            <w:r>
              <w:rPr>
                <w:rFonts w:hint="eastAsia" w:ascii="仿宋" w:hAnsi="仿宋" w:eastAsia="仿宋" w:cs="仿宋"/>
                <w:color w:val="auto"/>
                <w:sz w:val="22"/>
                <w:szCs w:val="22"/>
                <w:highlight w:val="none"/>
                <w:lang w:val="en-US" w:eastAsia="zh-CN"/>
              </w:rPr>
              <w:t>2020</w:t>
            </w:r>
            <w:r>
              <w:rPr>
                <w:rFonts w:hint="eastAsia" w:ascii="仿宋" w:hAnsi="仿宋" w:eastAsia="仿宋" w:cs="仿宋"/>
                <w:color w:val="auto"/>
                <w:sz w:val="22"/>
                <w:szCs w:val="22"/>
                <w:highlight w:val="none"/>
              </w:rPr>
              <w:t>平方米，改善学校办学条件和基础设施配套，提供高质量硬件设施设备，营造良好的学习氛围</w:t>
            </w:r>
            <w:r>
              <w:rPr>
                <w:rFonts w:hint="eastAsia" w:ascii="仿宋" w:hAnsi="仿宋" w:eastAsia="仿宋" w:cs="仿宋"/>
                <w:color w:val="auto"/>
                <w:sz w:val="22"/>
                <w:szCs w:val="22"/>
                <w:highlight w:val="none"/>
                <w:lang w:eastAsia="zh-CN"/>
              </w:rPr>
              <w:t>。</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tcPr>
          <w:p w14:paraId="2A354881">
            <w:pPr>
              <w:keepNext w:val="0"/>
              <w:keepLines w:val="0"/>
              <w:widowControl/>
              <w:suppressLineNumbers w:val="0"/>
              <w:spacing w:before="0" w:beforeAutospacing="0" w:after="0" w:afterAutospacing="0" w:line="320" w:lineRule="exact"/>
              <w:ind w:left="0" w:right="0"/>
              <w:jc w:val="left"/>
              <w:textAlignment w:val="top"/>
              <w:rPr>
                <w:rFonts w:hint="eastAsia" w:ascii="仿宋" w:hAnsi="仿宋" w:eastAsia="仿宋" w:cs="仿宋"/>
                <w:color w:val="auto"/>
                <w:sz w:val="24"/>
                <w:highlight w:val="none"/>
                <w:lang w:eastAsia="zh-CN"/>
              </w:rPr>
            </w:pPr>
            <w:r>
              <w:rPr>
                <w:rFonts w:hint="eastAsia" w:ascii="仿宋" w:hAnsi="仿宋" w:eastAsia="仿宋" w:cs="仿宋"/>
                <w:color w:val="auto"/>
                <w:sz w:val="22"/>
                <w:szCs w:val="22"/>
                <w:highlight w:val="none"/>
                <w:lang w:eastAsia="zh-CN"/>
              </w:rPr>
              <w:t>完成</w:t>
            </w:r>
            <w:r>
              <w:rPr>
                <w:rFonts w:hint="eastAsia" w:ascii="仿宋" w:hAnsi="仿宋" w:eastAsia="仿宋" w:cs="仿宋"/>
                <w:color w:val="auto"/>
                <w:sz w:val="22"/>
                <w:szCs w:val="22"/>
                <w:highlight w:val="none"/>
                <w:lang w:val="en-US" w:eastAsia="zh-CN"/>
              </w:rPr>
              <w:t>2020</w:t>
            </w:r>
            <w:r>
              <w:rPr>
                <w:rFonts w:hint="eastAsia" w:ascii="仿宋" w:hAnsi="仿宋" w:eastAsia="仿宋" w:cs="仿宋"/>
                <w:color w:val="auto"/>
                <w:sz w:val="22"/>
                <w:szCs w:val="22"/>
                <w:highlight w:val="none"/>
              </w:rPr>
              <w:t>平方米</w:t>
            </w:r>
            <w:r>
              <w:rPr>
                <w:rFonts w:hint="eastAsia" w:ascii="仿宋" w:hAnsi="仿宋" w:eastAsia="仿宋" w:cs="仿宋"/>
                <w:color w:val="auto"/>
                <w:sz w:val="22"/>
                <w:szCs w:val="22"/>
                <w:highlight w:val="none"/>
                <w:lang w:eastAsia="zh-CN"/>
              </w:rPr>
              <w:t>的校舍维修，</w:t>
            </w:r>
            <w:r>
              <w:rPr>
                <w:rFonts w:hint="eastAsia" w:ascii="仿宋" w:hAnsi="仿宋" w:eastAsia="仿宋" w:cs="仿宋"/>
                <w:color w:val="auto"/>
                <w:sz w:val="22"/>
                <w:szCs w:val="22"/>
                <w:highlight w:val="none"/>
              </w:rPr>
              <w:t>改善</w:t>
            </w:r>
            <w:r>
              <w:rPr>
                <w:rFonts w:hint="eastAsia" w:ascii="仿宋" w:hAnsi="仿宋" w:eastAsia="仿宋" w:cs="仿宋"/>
                <w:color w:val="auto"/>
                <w:sz w:val="22"/>
                <w:szCs w:val="22"/>
                <w:highlight w:val="none"/>
                <w:lang w:eastAsia="zh-CN"/>
              </w:rPr>
              <w:t>了</w:t>
            </w:r>
            <w:r>
              <w:rPr>
                <w:rFonts w:hint="eastAsia" w:ascii="仿宋" w:hAnsi="仿宋" w:eastAsia="仿宋" w:cs="仿宋"/>
                <w:color w:val="auto"/>
                <w:sz w:val="22"/>
                <w:szCs w:val="22"/>
                <w:highlight w:val="none"/>
              </w:rPr>
              <w:t>学校办学条件和基础设施配套，提供</w:t>
            </w:r>
            <w:r>
              <w:rPr>
                <w:rFonts w:hint="eastAsia" w:ascii="仿宋" w:hAnsi="仿宋" w:eastAsia="仿宋" w:cs="仿宋"/>
                <w:color w:val="auto"/>
                <w:sz w:val="22"/>
                <w:szCs w:val="22"/>
                <w:highlight w:val="none"/>
                <w:lang w:eastAsia="zh-CN"/>
              </w:rPr>
              <w:t>了</w:t>
            </w:r>
            <w:r>
              <w:rPr>
                <w:rFonts w:hint="eastAsia" w:ascii="仿宋" w:hAnsi="仿宋" w:eastAsia="仿宋" w:cs="仿宋"/>
                <w:color w:val="auto"/>
                <w:sz w:val="22"/>
                <w:szCs w:val="22"/>
                <w:highlight w:val="none"/>
              </w:rPr>
              <w:t>高质量硬件设施设备，营造</w:t>
            </w:r>
            <w:r>
              <w:rPr>
                <w:rFonts w:hint="eastAsia" w:ascii="仿宋" w:hAnsi="仿宋" w:eastAsia="仿宋" w:cs="仿宋"/>
                <w:color w:val="auto"/>
                <w:sz w:val="22"/>
                <w:szCs w:val="22"/>
                <w:highlight w:val="none"/>
                <w:lang w:eastAsia="zh-CN"/>
              </w:rPr>
              <w:t>了</w:t>
            </w:r>
            <w:r>
              <w:rPr>
                <w:rFonts w:hint="eastAsia" w:ascii="仿宋" w:hAnsi="仿宋" w:eastAsia="仿宋" w:cs="仿宋"/>
                <w:color w:val="auto"/>
                <w:sz w:val="22"/>
                <w:szCs w:val="22"/>
                <w:highlight w:val="none"/>
              </w:rPr>
              <w:t>良好的学习氛围</w:t>
            </w:r>
            <w:r>
              <w:rPr>
                <w:rFonts w:hint="eastAsia" w:ascii="仿宋" w:hAnsi="仿宋" w:eastAsia="仿宋" w:cs="仿宋"/>
                <w:color w:val="auto"/>
                <w:sz w:val="22"/>
                <w:szCs w:val="22"/>
                <w:highlight w:val="none"/>
                <w:lang w:eastAsia="zh-CN"/>
              </w:rPr>
              <w:t>。</w:t>
            </w:r>
          </w:p>
        </w:tc>
      </w:tr>
      <w:tr w14:paraId="3295F75F">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shd w:val="clear" w:color="auto" w:fill="auto"/>
            <w:vAlign w:val="center"/>
          </w:tcPr>
          <w:p w14:paraId="4D97B621">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年度绩效指标完成情况</w:t>
            </w:r>
          </w:p>
        </w:tc>
        <w:tc>
          <w:tcPr>
            <w:tcW w:w="1005" w:type="dxa"/>
            <w:tcBorders>
              <w:top w:val="single" w:color="000000" w:sz="4" w:space="0"/>
              <w:left w:val="nil"/>
              <w:bottom w:val="single" w:color="000000" w:sz="4" w:space="0"/>
              <w:right w:val="single" w:color="000000" w:sz="4" w:space="0"/>
            </w:tcBorders>
            <w:shd w:val="clear" w:color="auto" w:fill="auto"/>
            <w:vAlign w:val="center"/>
          </w:tcPr>
          <w:p w14:paraId="65F2EBE8">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一级</w:t>
            </w:r>
          </w:p>
          <w:p w14:paraId="26396424">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C4412">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二级</w:t>
            </w:r>
          </w:p>
          <w:p w14:paraId="3765FEA5">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D68DA">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三级</w:t>
            </w:r>
          </w:p>
          <w:p w14:paraId="347667BC">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5C9FB">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预期指标值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25E93">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实际完成指标值</w:t>
            </w:r>
          </w:p>
        </w:tc>
      </w:tr>
      <w:tr w14:paraId="7A291BF4">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14:paraId="48DDEDE2">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48B39D">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完成</w:t>
            </w:r>
          </w:p>
          <w:p w14:paraId="2F29E4A7">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215" w:type="dxa"/>
            <w:vMerge w:val="restart"/>
            <w:tcBorders>
              <w:top w:val="single" w:color="000000" w:sz="4" w:space="0"/>
              <w:left w:val="single" w:color="000000" w:sz="4" w:space="0"/>
              <w:right w:val="single" w:color="000000" w:sz="4" w:space="0"/>
            </w:tcBorders>
            <w:shd w:val="clear" w:color="auto" w:fill="auto"/>
            <w:vAlign w:val="center"/>
          </w:tcPr>
          <w:p w14:paraId="1DE990D1">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数量指标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30712">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改扩建面积</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EADE0">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2020m²</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031B0">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2020m²</w:t>
            </w:r>
          </w:p>
        </w:tc>
      </w:tr>
      <w:tr w14:paraId="3F538392">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14:paraId="451E5507">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right w:val="single" w:color="000000" w:sz="4" w:space="0"/>
            </w:tcBorders>
            <w:shd w:val="clear" w:color="auto" w:fill="auto"/>
            <w:vAlign w:val="center"/>
          </w:tcPr>
          <w:p w14:paraId="293E3292">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14:paraId="01FBB12C">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8EB77">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惠及学生人数</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9EE5F">
            <w:pPr>
              <w:keepNext w:val="0"/>
              <w:keepLines w:val="0"/>
              <w:widowControl/>
              <w:suppressLineNumbers w:val="0"/>
              <w:spacing w:before="0" w:beforeAutospacing="0" w:after="0" w:afterAutospacing="0" w:line="320" w:lineRule="exact"/>
              <w:ind w:left="0" w:right="0"/>
              <w:jc w:val="center"/>
              <w:textAlignment w:val="bottom"/>
              <w:rPr>
                <w:rFonts w:hint="default"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94</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581A8">
            <w:pPr>
              <w:keepNext w:val="0"/>
              <w:keepLines w:val="0"/>
              <w:widowControl/>
              <w:suppressLineNumbers w:val="0"/>
              <w:spacing w:before="0" w:beforeAutospacing="0" w:after="0" w:afterAutospacing="0" w:line="320" w:lineRule="exact"/>
              <w:ind w:left="0" w:right="0"/>
              <w:jc w:val="center"/>
              <w:textAlignment w:val="bottom"/>
              <w:rPr>
                <w:rFonts w:hint="default"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94</w:t>
            </w:r>
          </w:p>
        </w:tc>
      </w:tr>
      <w:tr w14:paraId="314AA7D6">
        <w:tblPrEx>
          <w:tblCellMar>
            <w:top w:w="0" w:type="dxa"/>
            <w:left w:w="108" w:type="dxa"/>
            <w:bottom w:w="0" w:type="dxa"/>
            <w:right w:w="108" w:type="dxa"/>
          </w:tblCellMar>
        </w:tblPrEx>
        <w:trPr>
          <w:gridAfter w:val="1"/>
          <w:wAfter w:w="236" w:type="dxa"/>
          <w:trHeight w:val="575" w:hRule="atLeast"/>
        </w:trPr>
        <w:tc>
          <w:tcPr>
            <w:tcW w:w="1113" w:type="dxa"/>
            <w:vMerge w:val="continue"/>
            <w:tcBorders>
              <w:left w:val="single" w:color="000000" w:sz="4" w:space="0"/>
              <w:right w:val="single" w:color="000000" w:sz="4" w:space="0"/>
            </w:tcBorders>
            <w:shd w:val="clear" w:color="auto" w:fill="auto"/>
            <w:vAlign w:val="center"/>
          </w:tcPr>
          <w:p w14:paraId="59FA5373">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54B735">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14:paraId="175B1BB3">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质量指标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DFBE7">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校舍维修</w:t>
            </w:r>
            <w:r>
              <w:rPr>
                <w:rFonts w:hint="eastAsia" w:ascii="仿宋" w:hAnsi="仿宋" w:eastAsia="仿宋" w:cs="仿宋"/>
                <w:color w:val="auto"/>
                <w:sz w:val="20"/>
                <w:szCs w:val="20"/>
                <w:highlight w:val="none"/>
              </w:rPr>
              <w:t>竣工验收合格率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90A01">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100%</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2E373">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lang w:val="en-US" w:eastAsia="zh-CN"/>
              </w:rPr>
              <w:t>100%</w:t>
            </w:r>
          </w:p>
        </w:tc>
      </w:tr>
      <w:tr w14:paraId="33A7C4F1">
        <w:tblPrEx>
          <w:tblCellMar>
            <w:top w:w="0" w:type="dxa"/>
            <w:left w:w="108" w:type="dxa"/>
            <w:bottom w:w="0" w:type="dxa"/>
            <w:right w:w="108" w:type="dxa"/>
          </w:tblCellMar>
        </w:tblPrEx>
        <w:trPr>
          <w:gridAfter w:val="1"/>
          <w:wAfter w:w="236" w:type="dxa"/>
          <w:trHeight w:val="461" w:hRule="atLeast"/>
        </w:trPr>
        <w:tc>
          <w:tcPr>
            <w:tcW w:w="1113" w:type="dxa"/>
            <w:vMerge w:val="continue"/>
            <w:tcBorders>
              <w:left w:val="single" w:color="000000" w:sz="4" w:space="0"/>
              <w:right w:val="single" w:color="000000" w:sz="4" w:space="0"/>
            </w:tcBorders>
            <w:shd w:val="clear" w:color="auto" w:fill="auto"/>
            <w:vAlign w:val="center"/>
          </w:tcPr>
          <w:p w14:paraId="4A0A64F9">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81D35C">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continue"/>
            <w:tcBorders>
              <w:left w:val="single" w:color="000000" w:sz="4" w:space="0"/>
              <w:right w:val="single" w:color="000000" w:sz="4" w:space="0"/>
            </w:tcBorders>
            <w:shd w:val="clear" w:color="auto" w:fill="auto"/>
            <w:vAlign w:val="center"/>
          </w:tcPr>
          <w:p w14:paraId="2E073E6E">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C086F">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校舍</w:t>
            </w:r>
            <w:r>
              <w:rPr>
                <w:rFonts w:hint="eastAsia" w:ascii="仿宋" w:hAnsi="仿宋" w:eastAsia="仿宋" w:cs="仿宋"/>
                <w:color w:val="auto"/>
                <w:sz w:val="20"/>
                <w:szCs w:val="20"/>
                <w:highlight w:val="none"/>
                <w:lang w:eastAsia="zh-CN"/>
              </w:rPr>
              <w:t>维修</w:t>
            </w:r>
            <w:r>
              <w:rPr>
                <w:rFonts w:hint="eastAsia" w:ascii="仿宋" w:hAnsi="仿宋" w:eastAsia="仿宋" w:cs="仿宋"/>
                <w:color w:val="auto"/>
                <w:sz w:val="20"/>
                <w:szCs w:val="20"/>
                <w:highlight w:val="none"/>
              </w:rPr>
              <w:t>质量标准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53987">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7F753">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rPr>
              <w:t>合格</w:t>
            </w:r>
          </w:p>
        </w:tc>
      </w:tr>
      <w:tr w14:paraId="466A0980">
        <w:tblPrEx>
          <w:tblCellMar>
            <w:top w:w="0" w:type="dxa"/>
            <w:left w:w="108" w:type="dxa"/>
            <w:bottom w:w="0" w:type="dxa"/>
            <w:right w:w="108" w:type="dxa"/>
          </w:tblCellMar>
        </w:tblPrEx>
        <w:trPr>
          <w:gridAfter w:val="1"/>
          <w:wAfter w:w="236" w:type="dxa"/>
          <w:trHeight w:val="465" w:hRule="atLeast"/>
        </w:trPr>
        <w:tc>
          <w:tcPr>
            <w:tcW w:w="1113" w:type="dxa"/>
            <w:vMerge w:val="continue"/>
            <w:tcBorders>
              <w:left w:val="single" w:color="000000" w:sz="4" w:space="0"/>
              <w:right w:val="single" w:color="000000" w:sz="4" w:space="0"/>
            </w:tcBorders>
            <w:shd w:val="clear" w:color="auto" w:fill="auto"/>
            <w:vAlign w:val="center"/>
          </w:tcPr>
          <w:p w14:paraId="762007DC">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88B8C3">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14:paraId="56D50ED0">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8DF26">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设备购置质量标准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F7924">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4D0F6">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rPr>
              <w:t>合格</w:t>
            </w:r>
          </w:p>
        </w:tc>
      </w:tr>
      <w:tr w14:paraId="0963954A">
        <w:tblPrEx>
          <w:tblCellMar>
            <w:top w:w="0" w:type="dxa"/>
            <w:left w:w="108" w:type="dxa"/>
            <w:bottom w:w="0" w:type="dxa"/>
            <w:right w:w="108" w:type="dxa"/>
          </w:tblCellMar>
        </w:tblPrEx>
        <w:trPr>
          <w:gridAfter w:val="1"/>
          <w:wAfter w:w="236" w:type="dxa"/>
          <w:trHeight w:val="431" w:hRule="atLeast"/>
        </w:trPr>
        <w:tc>
          <w:tcPr>
            <w:tcW w:w="1113" w:type="dxa"/>
            <w:vMerge w:val="continue"/>
            <w:tcBorders>
              <w:left w:val="single" w:color="000000" w:sz="4" w:space="0"/>
              <w:right w:val="single" w:color="000000" w:sz="4" w:space="0"/>
            </w:tcBorders>
            <w:shd w:val="clear" w:color="auto" w:fill="auto"/>
            <w:vAlign w:val="center"/>
          </w:tcPr>
          <w:p w14:paraId="33CE9682">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39FCA4">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14:paraId="1A1A7A06">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时效指标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64844">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校舍维修建设周期</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B0A43">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1年</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7E21F">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1年</w:t>
            </w:r>
          </w:p>
        </w:tc>
      </w:tr>
      <w:tr w14:paraId="4ED8B20B">
        <w:tblPrEx>
          <w:tblCellMar>
            <w:top w:w="0" w:type="dxa"/>
            <w:left w:w="108" w:type="dxa"/>
            <w:bottom w:w="0" w:type="dxa"/>
            <w:right w:w="108" w:type="dxa"/>
          </w:tblCellMar>
        </w:tblPrEx>
        <w:trPr>
          <w:gridAfter w:val="1"/>
          <w:wAfter w:w="236" w:type="dxa"/>
          <w:trHeight w:val="401" w:hRule="atLeast"/>
        </w:trPr>
        <w:tc>
          <w:tcPr>
            <w:tcW w:w="1113" w:type="dxa"/>
            <w:vMerge w:val="continue"/>
            <w:tcBorders>
              <w:left w:val="single" w:color="000000" w:sz="4" w:space="0"/>
              <w:right w:val="single" w:color="000000" w:sz="4" w:space="0"/>
            </w:tcBorders>
            <w:shd w:val="clear" w:color="auto" w:fill="auto"/>
            <w:vAlign w:val="center"/>
          </w:tcPr>
          <w:p w14:paraId="21FAEC2B">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2C443B">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14:paraId="31597742">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AA15E">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设备购置周期</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6AB31">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8个月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999A0">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8个月</w:t>
            </w:r>
          </w:p>
        </w:tc>
      </w:tr>
      <w:tr w14:paraId="7C7D4CC8">
        <w:tblPrEx>
          <w:tblCellMar>
            <w:top w:w="0" w:type="dxa"/>
            <w:left w:w="108" w:type="dxa"/>
            <w:bottom w:w="0" w:type="dxa"/>
            <w:right w:w="108" w:type="dxa"/>
          </w:tblCellMar>
        </w:tblPrEx>
        <w:trPr>
          <w:gridAfter w:val="1"/>
          <w:wAfter w:w="236" w:type="dxa"/>
          <w:trHeight w:val="611" w:hRule="atLeast"/>
        </w:trPr>
        <w:tc>
          <w:tcPr>
            <w:tcW w:w="1113" w:type="dxa"/>
            <w:vMerge w:val="continue"/>
            <w:tcBorders>
              <w:left w:val="single" w:color="000000" w:sz="4" w:space="0"/>
              <w:right w:val="single" w:color="000000" w:sz="4" w:space="0"/>
            </w:tcBorders>
            <w:shd w:val="clear" w:color="auto" w:fill="auto"/>
            <w:vAlign w:val="center"/>
          </w:tcPr>
          <w:p w14:paraId="3FF0543F">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F636F0">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tcBorders>
              <w:top w:val="single" w:color="000000" w:sz="4" w:space="0"/>
              <w:left w:val="single" w:color="000000" w:sz="4" w:space="0"/>
              <w:bottom w:val="single" w:color="auto" w:sz="4" w:space="0"/>
              <w:right w:val="single" w:color="000000" w:sz="4" w:space="0"/>
            </w:tcBorders>
            <w:shd w:val="clear" w:color="auto" w:fill="auto"/>
            <w:vAlign w:val="center"/>
          </w:tcPr>
          <w:p w14:paraId="34FEC40A">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成本指标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E44A8">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校舍</w:t>
            </w:r>
            <w:r>
              <w:rPr>
                <w:rFonts w:hint="eastAsia" w:ascii="仿宋" w:hAnsi="仿宋" w:eastAsia="仿宋" w:cs="仿宋"/>
                <w:color w:val="auto"/>
                <w:sz w:val="20"/>
                <w:szCs w:val="20"/>
                <w:highlight w:val="none"/>
                <w:lang w:eastAsia="zh-CN"/>
              </w:rPr>
              <w:t>维修</w:t>
            </w:r>
            <w:r>
              <w:rPr>
                <w:rFonts w:hint="eastAsia" w:ascii="仿宋" w:hAnsi="仿宋" w:eastAsia="仿宋" w:cs="仿宋"/>
                <w:color w:val="auto"/>
                <w:sz w:val="20"/>
                <w:szCs w:val="20"/>
                <w:highlight w:val="none"/>
              </w:rPr>
              <w:t>类项目每平方米造价</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47423">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≤800元</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88CE9">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rPr>
            </w:pPr>
            <w:r>
              <w:rPr>
                <w:rFonts w:hint="eastAsia" w:ascii="仿宋" w:hAnsi="仿宋" w:eastAsia="仿宋" w:cs="仿宋"/>
                <w:color w:val="auto"/>
                <w:sz w:val="20"/>
                <w:szCs w:val="20"/>
                <w:highlight w:val="none"/>
                <w:lang w:val="en-US" w:eastAsia="zh-CN"/>
              </w:rPr>
              <w:t>767元</w:t>
            </w:r>
          </w:p>
        </w:tc>
      </w:tr>
      <w:tr w14:paraId="0784B1D1">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shd w:val="clear" w:color="auto" w:fill="auto"/>
            <w:vAlign w:val="center"/>
          </w:tcPr>
          <w:p w14:paraId="7AADED60">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restart"/>
            <w:tcBorders>
              <w:top w:val="single" w:color="000000" w:sz="4" w:space="0"/>
              <w:left w:val="single" w:color="000000" w:sz="4" w:space="0"/>
              <w:right w:val="single" w:color="auto" w:sz="4" w:space="0"/>
            </w:tcBorders>
            <w:shd w:val="clear" w:color="auto" w:fill="auto"/>
            <w:vAlign w:val="center"/>
          </w:tcPr>
          <w:p w14:paraId="067E55A7">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效益</w:t>
            </w:r>
          </w:p>
          <w:p w14:paraId="2C4BB333">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14:paraId="18A9B2B0">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社会效益  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14:paraId="20452005">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改善办学条件</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EE9A1">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041FD">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r>
      <w:tr w14:paraId="1D0B42FD">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14:paraId="262C8EA3">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right w:val="single" w:color="auto" w:sz="4" w:space="0"/>
            </w:tcBorders>
            <w:shd w:val="clear" w:color="auto" w:fill="auto"/>
            <w:vAlign w:val="center"/>
          </w:tcPr>
          <w:p w14:paraId="2BFC9D87">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14:paraId="52C1DAF6">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生态效益</w:t>
            </w:r>
          </w:p>
          <w:p w14:paraId="0CE44097">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14:paraId="563E9B58">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建筑能源消耗水平降低</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A50F6">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49D16">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r>
      <w:tr w14:paraId="60D15B5A">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14:paraId="21492004">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bottom w:val="single" w:color="000000" w:sz="4" w:space="0"/>
              <w:right w:val="single" w:color="auto" w:sz="4" w:space="0"/>
            </w:tcBorders>
            <w:shd w:val="clear" w:color="auto" w:fill="auto"/>
            <w:vAlign w:val="center"/>
          </w:tcPr>
          <w:p w14:paraId="200288C5">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14:paraId="35168BAD">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可持续影响指标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14:paraId="2827C150">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吸引外流学生持续回流</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AB4D4">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CED86">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有效</w:t>
            </w:r>
          </w:p>
        </w:tc>
      </w:tr>
      <w:tr w14:paraId="4F4D80DF">
        <w:tblPrEx>
          <w:tblCellMar>
            <w:top w:w="0" w:type="dxa"/>
            <w:left w:w="108" w:type="dxa"/>
            <w:bottom w:w="0" w:type="dxa"/>
            <w:right w:w="108" w:type="dxa"/>
          </w:tblCellMar>
        </w:tblPrEx>
        <w:trPr>
          <w:gridAfter w:val="1"/>
          <w:wAfter w:w="236" w:type="dxa"/>
          <w:trHeight w:val="705" w:hRule="atLeast"/>
        </w:trPr>
        <w:tc>
          <w:tcPr>
            <w:tcW w:w="1113" w:type="dxa"/>
            <w:vMerge w:val="continue"/>
            <w:tcBorders>
              <w:left w:val="single" w:color="000000" w:sz="4" w:space="0"/>
              <w:right w:val="single" w:color="000000" w:sz="4" w:space="0"/>
            </w:tcBorders>
            <w:shd w:val="clear" w:color="auto" w:fill="auto"/>
            <w:vAlign w:val="center"/>
          </w:tcPr>
          <w:p w14:paraId="27DD100C">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restart"/>
            <w:tcBorders>
              <w:top w:val="single" w:color="000000" w:sz="4" w:space="0"/>
              <w:left w:val="single" w:color="000000" w:sz="4" w:space="0"/>
              <w:right w:val="single" w:color="000000" w:sz="4" w:space="0"/>
            </w:tcBorders>
            <w:shd w:val="clear" w:color="auto" w:fill="auto"/>
            <w:vAlign w:val="center"/>
          </w:tcPr>
          <w:p w14:paraId="5E0F8783">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满意</w:t>
            </w:r>
          </w:p>
          <w:p w14:paraId="74520D4A">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度指标</w:t>
            </w:r>
          </w:p>
        </w:tc>
        <w:tc>
          <w:tcPr>
            <w:tcW w:w="1215"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6878F0A6">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满意度</w:t>
            </w:r>
          </w:p>
          <w:p w14:paraId="4B90314E">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7F8D6">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学生满意度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F68A9">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EBCB6">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97%</w:t>
            </w:r>
          </w:p>
        </w:tc>
      </w:tr>
      <w:tr w14:paraId="08BCD9FF">
        <w:tblPrEx>
          <w:tblCellMar>
            <w:top w:w="0" w:type="dxa"/>
            <w:left w:w="108" w:type="dxa"/>
            <w:bottom w:w="0" w:type="dxa"/>
            <w:right w:w="108" w:type="dxa"/>
          </w:tblCellMar>
        </w:tblPrEx>
        <w:trPr>
          <w:gridAfter w:val="1"/>
          <w:wAfter w:w="236" w:type="dxa"/>
          <w:trHeight w:val="690" w:hRule="atLeast"/>
        </w:trPr>
        <w:tc>
          <w:tcPr>
            <w:tcW w:w="1113" w:type="dxa"/>
            <w:vMerge w:val="continue"/>
            <w:tcBorders>
              <w:left w:val="single" w:color="000000" w:sz="4" w:space="0"/>
              <w:bottom w:val="single" w:color="000000" w:sz="4" w:space="0"/>
              <w:right w:val="single" w:color="000000" w:sz="4" w:space="0"/>
            </w:tcBorders>
            <w:shd w:val="clear" w:color="auto" w:fill="auto"/>
            <w:vAlign w:val="center"/>
          </w:tcPr>
          <w:p w14:paraId="7873316D">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bottom w:val="single" w:color="000000" w:sz="4" w:space="0"/>
              <w:right w:val="single" w:color="000000" w:sz="4" w:space="0"/>
            </w:tcBorders>
            <w:shd w:val="clear" w:color="auto" w:fill="auto"/>
            <w:vAlign w:val="center"/>
          </w:tcPr>
          <w:p w14:paraId="460FD958">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p>
        </w:tc>
        <w:tc>
          <w:tcPr>
            <w:tcW w:w="121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FA525FA">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A5CA7">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社会满意度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5EBD5">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34509">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96%</w:t>
            </w:r>
          </w:p>
        </w:tc>
      </w:tr>
    </w:tbl>
    <w:p w14:paraId="7ECF7208">
      <w:pPr>
        <w:pStyle w:val="3"/>
        <w:bidi w:val="0"/>
        <w:rPr>
          <w:rFonts w:hint="eastAsia" w:ascii="仿宋" w:hAnsi="仿宋" w:eastAsia="仿宋" w:cs="仿宋"/>
          <w:color w:val="auto"/>
          <w:highlight w:val="none"/>
        </w:rPr>
      </w:pPr>
      <w:r>
        <w:rPr>
          <w:rFonts w:hint="eastAsia" w:ascii="仿宋" w:hAnsi="仿宋" w:eastAsia="仿宋" w:cs="仿宋"/>
          <w:color w:val="auto"/>
          <w:highlight w:val="none"/>
        </w:rPr>
        <w:t>第五部分 附表</w:t>
      </w:r>
      <w:bookmarkEnd w:id="79"/>
      <w:bookmarkEnd w:id="82"/>
      <w:bookmarkEnd w:id="83"/>
      <w:bookmarkStart w:id="84" w:name="_Toc15396619"/>
    </w:p>
    <w:p w14:paraId="3F6795FB">
      <w:pPr>
        <w:pStyle w:val="4"/>
        <w:bidi w:val="0"/>
        <w:rPr>
          <w:rFonts w:hint="eastAsia" w:ascii="仿宋" w:hAnsi="仿宋" w:eastAsia="仿宋" w:cs="仿宋"/>
          <w:color w:val="auto"/>
          <w:highlight w:val="none"/>
        </w:rPr>
      </w:pPr>
      <w:bookmarkStart w:id="85" w:name="_Toc492"/>
      <w:r>
        <w:rPr>
          <w:rFonts w:hint="eastAsia" w:ascii="仿宋" w:hAnsi="仿宋" w:eastAsia="仿宋" w:cs="仿宋"/>
          <w:color w:val="auto"/>
          <w:highlight w:val="none"/>
        </w:rPr>
        <w:t>一、收入支出决算总表</w:t>
      </w:r>
      <w:bookmarkEnd w:id="84"/>
      <w:bookmarkEnd w:id="85"/>
    </w:p>
    <w:p w14:paraId="03E8F7ED">
      <w:pPr>
        <w:pStyle w:val="4"/>
        <w:bidi w:val="0"/>
        <w:rPr>
          <w:rFonts w:hint="eastAsia" w:ascii="仿宋" w:hAnsi="仿宋" w:eastAsia="仿宋" w:cs="仿宋"/>
          <w:color w:val="auto"/>
          <w:highlight w:val="none"/>
        </w:rPr>
      </w:pPr>
      <w:bookmarkStart w:id="86" w:name="_Toc15396620"/>
      <w:bookmarkStart w:id="87" w:name="_Toc20829"/>
      <w:r>
        <w:rPr>
          <w:rFonts w:hint="eastAsia" w:ascii="仿宋" w:hAnsi="仿宋" w:eastAsia="仿宋" w:cs="仿宋"/>
          <w:color w:val="auto"/>
          <w:highlight w:val="none"/>
        </w:rPr>
        <w:t>二、收入决算表</w:t>
      </w:r>
      <w:bookmarkEnd w:id="86"/>
      <w:bookmarkEnd w:id="87"/>
    </w:p>
    <w:p w14:paraId="0EF4B0E1">
      <w:pPr>
        <w:pStyle w:val="4"/>
        <w:bidi w:val="0"/>
        <w:rPr>
          <w:rFonts w:hint="eastAsia" w:ascii="仿宋" w:hAnsi="仿宋" w:eastAsia="仿宋" w:cs="仿宋"/>
          <w:color w:val="auto"/>
          <w:highlight w:val="none"/>
        </w:rPr>
      </w:pPr>
      <w:bookmarkStart w:id="88" w:name="_Toc15396621"/>
      <w:bookmarkStart w:id="89" w:name="_Toc872"/>
      <w:r>
        <w:rPr>
          <w:rFonts w:hint="eastAsia" w:ascii="仿宋" w:hAnsi="仿宋" w:eastAsia="仿宋" w:cs="仿宋"/>
          <w:color w:val="auto"/>
          <w:highlight w:val="none"/>
        </w:rPr>
        <w:t>三、支出决算表</w:t>
      </w:r>
      <w:bookmarkEnd w:id="88"/>
      <w:bookmarkEnd w:id="89"/>
    </w:p>
    <w:p w14:paraId="55C35215">
      <w:pPr>
        <w:pStyle w:val="4"/>
        <w:bidi w:val="0"/>
        <w:rPr>
          <w:rFonts w:hint="eastAsia" w:ascii="仿宋" w:hAnsi="仿宋" w:eastAsia="仿宋" w:cs="仿宋"/>
          <w:color w:val="auto"/>
          <w:highlight w:val="none"/>
        </w:rPr>
      </w:pPr>
      <w:bookmarkStart w:id="90" w:name="_Toc15396622"/>
      <w:bookmarkStart w:id="91" w:name="_Toc32481"/>
      <w:r>
        <w:rPr>
          <w:rFonts w:hint="eastAsia" w:ascii="仿宋" w:hAnsi="仿宋" w:eastAsia="仿宋" w:cs="仿宋"/>
          <w:color w:val="auto"/>
          <w:highlight w:val="none"/>
        </w:rPr>
        <w:t>四、财政拨款收入支出决算总表</w:t>
      </w:r>
      <w:bookmarkEnd w:id="90"/>
      <w:bookmarkEnd w:id="91"/>
    </w:p>
    <w:p w14:paraId="33D75314">
      <w:pPr>
        <w:pStyle w:val="4"/>
        <w:bidi w:val="0"/>
        <w:rPr>
          <w:rFonts w:hint="eastAsia" w:ascii="仿宋" w:hAnsi="仿宋" w:eastAsia="仿宋" w:cs="仿宋"/>
          <w:color w:val="auto"/>
          <w:highlight w:val="none"/>
        </w:rPr>
      </w:pPr>
      <w:bookmarkStart w:id="92" w:name="_Toc15396623"/>
      <w:bookmarkStart w:id="93" w:name="_Toc16282"/>
      <w:r>
        <w:rPr>
          <w:rFonts w:hint="eastAsia" w:ascii="仿宋" w:hAnsi="仿宋" w:eastAsia="仿宋" w:cs="仿宋"/>
          <w:color w:val="auto"/>
          <w:highlight w:val="none"/>
        </w:rPr>
        <w:t>五、财政拨款支出决算明细表</w:t>
      </w:r>
      <w:bookmarkEnd w:id="92"/>
      <w:bookmarkEnd w:id="93"/>
      <w:bookmarkStart w:id="94" w:name="_Toc15396624"/>
    </w:p>
    <w:p w14:paraId="368D804C">
      <w:pPr>
        <w:pStyle w:val="4"/>
        <w:bidi w:val="0"/>
        <w:rPr>
          <w:rFonts w:hint="eastAsia" w:ascii="仿宋" w:hAnsi="仿宋" w:eastAsia="仿宋" w:cs="仿宋"/>
          <w:color w:val="auto"/>
          <w:highlight w:val="none"/>
        </w:rPr>
      </w:pPr>
      <w:bookmarkStart w:id="95" w:name="_Toc27698"/>
      <w:r>
        <w:rPr>
          <w:rFonts w:hint="eastAsia" w:ascii="仿宋" w:hAnsi="仿宋" w:eastAsia="仿宋" w:cs="仿宋"/>
          <w:color w:val="auto"/>
          <w:highlight w:val="none"/>
        </w:rPr>
        <w:t>六、一般公共预算财政拨款支出决算表</w:t>
      </w:r>
      <w:bookmarkEnd w:id="94"/>
      <w:bookmarkEnd w:id="95"/>
    </w:p>
    <w:p w14:paraId="1DE5C542">
      <w:pPr>
        <w:pStyle w:val="4"/>
        <w:bidi w:val="0"/>
        <w:rPr>
          <w:rFonts w:hint="eastAsia" w:ascii="仿宋" w:hAnsi="仿宋" w:eastAsia="仿宋" w:cs="仿宋"/>
          <w:color w:val="auto"/>
          <w:highlight w:val="none"/>
        </w:rPr>
      </w:pPr>
      <w:bookmarkStart w:id="96" w:name="_Toc15396625"/>
      <w:bookmarkStart w:id="97" w:name="_Toc16786"/>
      <w:r>
        <w:rPr>
          <w:rFonts w:hint="eastAsia" w:ascii="仿宋" w:hAnsi="仿宋" w:eastAsia="仿宋" w:cs="仿宋"/>
          <w:color w:val="auto"/>
          <w:highlight w:val="none"/>
        </w:rPr>
        <w:t>七、一般公共预算财政拨款支出决算明细表</w:t>
      </w:r>
      <w:bookmarkEnd w:id="96"/>
      <w:bookmarkEnd w:id="97"/>
    </w:p>
    <w:p w14:paraId="7B1A9193">
      <w:pPr>
        <w:pStyle w:val="4"/>
        <w:bidi w:val="0"/>
        <w:rPr>
          <w:rFonts w:hint="eastAsia" w:ascii="仿宋" w:hAnsi="仿宋" w:eastAsia="仿宋" w:cs="仿宋"/>
          <w:color w:val="auto"/>
          <w:highlight w:val="none"/>
        </w:rPr>
      </w:pPr>
      <w:bookmarkStart w:id="98" w:name="_Toc31149"/>
      <w:bookmarkStart w:id="99" w:name="_Toc15396626"/>
      <w:r>
        <w:rPr>
          <w:rFonts w:hint="eastAsia" w:ascii="仿宋" w:hAnsi="仿宋" w:eastAsia="仿宋" w:cs="仿宋"/>
          <w:color w:val="auto"/>
          <w:highlight w:val="none"/>
        </w:rPr>
        <w:t>八、一般公共预算财政拨款基本支出决算表</w:t>
      </w:r>
      <w:bookmarkEnd w:id="98"/>
      <w:bookmarkEnd w:id="99"/>
    </w:p>
    <w:p w14:paraId="5AAD93A1">
      <w:pPr>
        <w:pStyle w:val="4"/>
        <w:bidi w:val="0"/>
        <w:rPr>
          <w:rFonts w:hint="eastAsia" w:ascii="仿宋" w:hAnsi="仿宋" w:eastAsia="仿宋" w:cs="仿宋"/>
          <w:color w:val="auto"/>
          <w:highlight w:val="none"/>
        </w:rPr>
      </w:pPr>
      <w:bookmarkStart w:id="100" w:name="_Toc15396627"/>
      <w:bookmarkStart w:id="101" w:name="_Toc2969"/>
      <w:r>
        <w:rPr>
          <w:rFonts w:hint="eastAsia" w:ascii="仿宋" w:hAnsi="仿宋" w:eastAsia="仿宋" w:cs="仿宋"/>
          <w:color w:val="auto"/>
          <w:highlight w:val="none"/>
        </w:rPr>
        <w:t>九、一般公共预算财政拨款项目支出决算表</w:t>
      </w:r>
      <w:bookmarkEnd w:id="100"/>
      <w:bookmarkEnd w:id="101"/>
    </w:p>
    <w:p w14:paraId="40C3FC8E">
      <w:pPr>
        <w:pStyle w:val="4"/>
        <w:bidi w:val="0"/>
        <w:rPr>
          <w:rFonts w:hint="eastAsia" w:ascii="仿宋" w:hAnsi="仿宋" w:eastAsia="仿宋" w:cs="仿宋"/>
          <w:color w:val="auto"/>
          <w:highlight w:val="none"/>
        </w:rPr>
      </w:pPr>
      <w:bookmarkStart w:id="102" w:name="_Toc15396628"/>
      <w:bookmarkStart w:id="103" w:name="_Toc15951"/>
      <w:r>
        <w:rPr>
          <w:rFonts w:hint="eastAsia" w:ascii="仿宋" w:hAnsi="仿宋" w:eastAsia="仿宋" w:cs="仿宋"/>
          <w:color w:val="auto"/>
          <w:highlight w:val="none"/>
        </w:rPr>
        <w:t>十、一般公共预算财政拨款“三公”经费支出决算表</w:t>
      </w:r>
      <w:bookmarkEnd w:id="102"/>
      <w:bookmarkEnd w:id="103"/>
    </w:p>
    <w:p w14:paraId="37B9C2A2">
      <w:pPr>
        <w:pStyle w:val="4"/>
        <w:bidi w:val="0"/>
        <w:rPr>
          <w:rFonts w:hint="eastAsia" w:ascii="仿宋" w:hAnsi="仿宋" w:eastAsia="仿宋" w:cs="仿宋"/>
          <w:color w:val="auto"/>
          <w:highlight w:val="none"/>
        </w:rPr>
      </w:pPr>
      <w:bookmarkStart w:id="104" w:name="_Toc15396629"/>
      <w:bookmarkStart w:id="105" w:name="_Toc26411"/>
      <w:r>
        <w:rPr>
          <w:rFonts w:hint="eastAsia" w:ascii="仿宋" w:hAnsi="仿宋" w:eastAsia="仿宋" w:cs="仿宋"/>
          <w:color w:val="auto"/>
          <w:highlight w:val="none"/>
        </w:rPr>
        <w:t>十一、政府性基金预算财政拨款收入支出决算表</w:t>
      </w:r>
      <w:bookmarkEnd w:id="104"/>
      <w:bookmarkEnd w:id="105"/>
    </w:p>
    <w:p w14:paraId="3FF6CECD">
      <w:pPr>
        <w:pStyle w:val="4"/>
        <w:bidi w:val="0"/>
        <w:rPr>
          <w:rFonts w:hint="eastAsia" w:ascii="仿宋" w:hAnsi="仿宋" w:eastAsia="仿宋" w:cs="仿宋"/>
          <w:color w:val="auto"/>
          <w:highlight w:val="none"/>
        </w:rPr>
      </w:pPr>
      <w:bookmarkStart w:id="106" w:name="_Toc31313"/>
      <w:bookmarkStart w:id="107" w:name="_Toc15396630"/>
      <w:r>
        <w:rPr>
          <w:rFonts w:hint="eastAsia" w:ascii="仿宋" w:hAnsi="仿宋" w:eastAsia="仿宋" w:cs="仿宋"/>
          <w:color w:val="auto"/>
          <w:highlight w:val="none"/>
        </w:rPr>
        <w:t>十二、政府性基金预算财政拨款“三公”经费支出决算表</w:t>
      </w:r>
      <w:bookmarkEnd w:id="106"/>
      <w:bookmarkEnd w:id="107"/>
    </w:p>
    <w:p w14:paraId="222A42E0">
      <w:pPr>
        <w:pStyle w:val="4"/>
        <w:bidi w:val="0"/>
        <w:rPr>
          <w:rFonts w:hint="eastAsia" w:ascii="仿宋" w:hAnsi="仿宋" w:eastAsia="仿宋" w:cs="仿宋"/>
          <w:color w:val="auto"/>
          <w:highlight w:val="none"/>
        </w:rPr>
      </w:pPr>
      <w:bookmarkStart w:id="108" w:name="_Toc26015"/>
      <w:bookmarkStart w:id="109" w:name="_Toc15396631"/>
      <w:r>
        <w:rPr>
          <w:rFonts w:hint="eastAsia" w:ascii="仿宋" w:hAnsi="仿宋" w:eastAsia="仿宋" w:cs="仿宋"/>
          <w:color w:val="auto"/>
          <w:highlight w:val="none"/>
        </w:rPr>
        <w:t>十三、国有资本经营预算财政拨款收入支出决算表</w:t>
      </w:r>
      <w:bookmarkEnd w:id="108"/>
      <w:bookmarkEnd w:id="109"/>
    </w:p>
    <w:p w14:paraId="0EEA655F">
      <w:pPr>
        <w:pStyle w:val="4"/>
        <w:bidi w:val="0"/>
        <w:rPr>
          <w:rFonts w:hint="eastAsia" w:ascii="仿宋" w:hAnsi="仿宋" w:eastAsia="仿宋" w:cs="仿宋"/>
          <w:color w:val="auto"/>
          <w:highlight w:val="none"/>
        </w:rPr>
      </w:pPr>
      <w:bookmarkStart w:id="110" w:name="_Toc2980"/>
      <w:r>
        <w:rPr>
          <w:rFonts w:hint="eastAsia" w:ascii="仿宋" w:hAnsi="仿宋" w:eastAsia="仿宋" w:cs="仿宋"/>
          <w:color w:val="auto"/>
          <w:highlight w:val="none"/>
        </w:rPr>
        <w:t>十四、国有资本经营预算财政拨款支出决算表</w:t>
      </w:r>
      <w:bookmarkEnd w:id="110"/>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FA30D56-4C99-4139-8A85-C8E8172587A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13BE5B60-121E-4CB9-87C9-B7B9978BBA21}"/>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embedRegular r:id="rId3" w:fontKey="{3FA33BCA-9542-4EC4-931D-C5BFC25BD2AD}"/>
  </w:font>
  <w:font w:name="仿宋_GB2312">
    <w:altName w:val="仿宋"/>
    <w:panose1 w:val="00000000000000000000"/>
    <w:charset w:val="86"/>
    <w:family w:val="modern"/>
    <w:pitch w:val="default"/>
    <w:sig w:usb0="00000000" w:usb1="00000000" w:usb2="00000000" w:usb3="00000000" w:csb0="00040000" w:csb1="00000000"/>
    <w:embedRegular r:id="rId4" w:fontKey="{C1B8C32D-92F8-4C9D-8D51-FAF2A6B82FFA}"/>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00000001" w:usb1="08000000" w:usb2="00000000" w:usb3="00000000" w:csb0="00040000" w:csb1="00000000"/>
    <w:embedRegular r:id="rId5" w:fontKey="{9BA6F4A2-9F25-4935-83A4-C0B8C6BFDF62}"/>
  </w:font>
  <w:font w:name="方正小标宋_GBK">
    <w:panose1 w:val="02000000000000000000"/>
    <w:charset w:val="86"/>
    <w:family w:val="auto"/>
    <w:pitch w:val="default"/>
    <w:sig w:usb0="A00002BF" w:usb1="38CF7CFA" w:usb2="00082016" w:usb3="00000000" w:csb0="00040001" w:csb1="00000000"/>
    <w:embedRegular r:id="rId6" w:fontKey="{BBD68835-B9C9-4D3F-B4A3-FB3DB14E8945}"/>
  </w:font>
  <w:font w:name="华文楷体">
    <w:panose1 w:val="02010600040101010101"/>
    <w:charset w:val="86"/>
    <w:family w:val="auto"/>
    <w:pitch w:val="default"/>
    <w:sig w:usb0="00000287" w:usb1="080F0000" w:usb2="00000000" w:usb3="00000000" w:csb0="0004009F" w:csb1="DFD70000"/>
    <w:embedRegular r:id="rId7" w:fontKey="{3E120986-34A5-4792-A493-77BBD530310E}"/>
  </w:font>
  <w:font w:name="华文仿宋">
    <w:panose1 w:val="02010600040101010101"/>
    <w:charset w:val="86"/>
    <w:family w:val="auto"/>
    <w:pitch w:val="default"/>
    <w:sig w:usb0="00000287" w:usb1="080F0000" w:usb2="00000000" w:usb3="00000000" w:csb0="0004009F" w:csb1="DFD70000"/>
    <w:embedRegular r:id="rId8" w:fontKey="{7549B496-87B1-4562-A9D7-E3E31E6548C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14:paraId="0DEE0AEA">
        <w:pPr>
          <w:pStyle w:val="11"/>
          <w:jc w:val="center"/>
        </w:pPr>
        <w:r>
          <w:fldChar w:fldCharType="begin"/>
        </w:r>
        <w:r>
          <w:instrText xml:space="preserve">PAGE   \* MERGEFORMAT</w:instrText>
        </w:r>
        <w:r>
          <w:fldChar w:fldCharType="separate"/>
        </w:r>
        <w:r>
          <w:rPr>
            <w:lang w:val="zh-CN"/>
          </w:rPr>
          <w:t>12</w:t>
        </w:r>
        <w:r>
          <w:fldChar w:fldCharType="end"/>
        </w:r>
      </w:p>
    </w:sdtContent>
  </w:sdt>
  <w:p w14:paraId="4C78E7A2">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AD3B91">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6492B4FE"/>
    <w:multiLevelType w:val="singleLevel"/>
    <w:tmpl w:val="6492B4FE"/>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JjYzYzZmU5OWQ3NzgwYmRjMzI1YjU5NDZkMjc5OTA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3E14"/>
    <w:rsid w:val="00142216"/>
    <w:rsid w:val="00144D6A"/>
    <w:rsid w:val="0014729F"/>
    <w:rsid w:val="00157BAB"/>
    <w:rsid w:val="001654D1"/>
    <w:rsid w:val="00174518"/>
    <w:rsid w:val="0018106D"/>
    <w:rsid w:val="00184031"/>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1B33"/>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469FB"/>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22EF"/>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65C9E"/>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0437"/>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92807EB"/>
    <w:rsid w:val="0A2032A3"/>
    <w:rsid w:val="0B8A37D8"/>
    <w:rsid w:val="0DA65670"/>
    <w:rsid w:val="0EC71F0D"/>
    <w:rsid w:val="0FE4089C"/>
    <w:rsid w:val="10C055FF"/>
    <w:rsid w:val="112C7A85"/>
    <w:rsid w:val="118107EC"/>
    <w:rsid w:val="11DD6519"/>
    <w:rsid w:val="12602BFA"/>
    <w:rsid w:val="12910332"/>
    <w:rsid w:val="14205FC9"/>
    <w:rsid w:val="157E27B0"/>
    <w:rsid w:val="16BB723D"/>
    <w:rsid w:val="175404DE"/>
    <w:rsid w:val="177D300F"/>
    <w:rsid w:val="18015F3F"/>
    <w:rsid w:val="1B317FC6"/>
    <w:rsid w:val="1BE8440E"/>
    <w:rsid w:val="1D155CEE"/>
    <w:rsid w:val="1F046865"/>
    <w:rsid w:val="1FE036C0"/>
    <w:rsid w:val="20F57F95"/>
    <w:rsid w:val="22835CF3"/>
    <w:rsid w:val="23066A21"/>
    <w:rsid w:val="240371BF"/>
    <w:rsid w:val="24D54B4E"/>
    <w:rsid w:val="25C741E6"/>
    <w:rsid w:val="27842671"/>
    <w:rsid w:val="27AC1572"/>
    <w:rsid w:val="29FD04D3"/>
    <w:rsid w:val="2ABE7A3E"/>
    <w:rsid w:val="2BAE4DE0"/>
    <w:rsid w:val="2C0D4D5A"/>
    <w:rsid w:val="2EFA178C"/>
    <w:rsid w:val="30B46D73"/>
    <w:rsid w:val="319F7F4E"/>
    <w:rsid w:val="32E05DEF"/>
    <w:rsid w:val="353C0D20"/>
    <w:rsid w:val="37FA130A"/>
    <w:rsid w:val="39AE70AB"/>
    <w:rsid w:val="3C0C0783"/>
    <w:rsid w:val="3F795B0E"/>
    <w:rsid w:val="3F9F3A96"/>
    <w:rsid w:val="45972024"/>
    <w:rsid w:val="493C27E9"/>
    <w:rsid w:val="496F39ED"/>
    <w:rsid w:val="49FF41D3"/>
    <w:rsid w:val="4A185DC8"/>
    <w:rsid w:val="4B13736C"/>
    <w:rsid w:val="4BB74515"/>
    <w:rsid w:val="4BE068DB"/>
    <w:rsid w:val="4BF6002B"/>
    <w:rsid w:val="4ECE2238"/>
    <w:rsid w:val="4FD61684"/>
    <w:rsid w:val="503645ED"/>
    <w:rsid w:val="508F3649"/>
    <w:rsid w:val="51DB4B86"/>
    <w:rsid w:val="52FB5859"/>
    <w:rsid w:val="5301155A"/>
    <w:rsid w:val="55333C3E"/>
    <w:rsid w:val="58737E60"/>
    <w:rsid w:val="5EEF25B2"/>
    <w:rsid w:val="62BD6EA8"/>
    <w:rsid w:val="64A80084"/>
    <w:rsid w:val="64CA39A1"/>
    <w:rsid w:val="65B126BB"/>
    <w:rsid w:val="6C4A05C8"/>
    <w:rsid w:val="6C6E6699"/>
    <w:rsid w:val="6EDA0CDC"/>
    <w:rsid w:val="72734D90"/>
    <w:rsid w:val="727D7081"/>
    <w:rsid w:val="72E456B5"/>
    <w:rsid w:val="74E366CA"/>
    <w:rsid w:val="79E7B28D"/>
    <w:rsid w:val="7AC82E51"/>
    <w:rsid w:val="7BFA24EA"/>
    <w:rsid w:val="7CAB154F"/>
    <w:rsid w:val="7F8518D8"/>
    <w:rsid w:val="7F9F20EE"/>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jc w:val="center"/>
      <w:outlineLvl w:val="0"/>
    </w:pPr>
    <w:rPr>
      <w:rFonts w:ascii="Times New Roman" w:hAnsi="Times New Roman" w:eastAsia="宋体"/>
      <w:b/>
      <w:bCs/>
      <w:kern w:val="44"/>
      <w:sz w:val="44"/>
      <w:szCs w:val="44"/>
    </w:rPr>
  </w:style>
  <w:style w:type="paragraph" w:styleId="4">
    <w:name w:val="heading 2"/>
    <w:basedOn w:val="1"/>
    <w:next w:val="1"/>
    <w:link w:val="40"/>
    <w:unhideWhenUsed/>
    <w:qFormat/>
    <w:uiPriority w:val="9"/>
    <w:pPr>
      <w:keepNext/>
      <w:keepLines/>
      <w:spacing w:before="260" w:after="260" w:line="416" w:lineRule="auto"/>
      <w:ind w:firstLine="1440" w:firstLineChars="200"/>
      <w:outlineLvl w:val="1"/>
    </w:pPr>
    <w:rPr>
      <w:rFonts w:cs="仿宋" w:asciiTheme="majorAscii" w:hAnsiTheme="majorAscii" w:eastAsiaTheme="majorEastAsia"/>
      <w:b/>
      <w:bCs/>
      <w:sz w:val="32"/>
      <w:szCs w:val="32"/>
    </w:rPr>
  </w:style>
  <w:style w:type="paragraph" w:styleId="5">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2">
    <w:name w:val="Body Text"/>
    <w:basedOn w:val="1"/>
    <w:link w:val="37"/>
    <w:qFormat/>
    <w:uiPriority w:val="99"/>
    <w:pPr>
      <w:spacing w:beforeLines="30"/>
    </w:pPr>
    <w:rPr>
      <w:rFonts w:ascii="仿宋_GB2312" w:eastAsia="仿宋_GB2312"/>
      <w:kern w:val="0"/>
      <w:sz w:val="30"/>
    </w:rPr>
  </w:style>
  <w:style w:type="paragraph" w:styleId="6">
    <w:name w:val="annotation text"/>
    <w:basedOn w:val="1"/>
    <w:semiHidden/>
    <w:unhideWhenUsed/>
    <w:qFormat/>
    <w:uiPriority w:val="99"/>
    <w:pPr>
      <w:jc w:val="left"/>
    </w:pPr>
  </w:style>
  <w:style w:type="paragraph" w:styleId="7">
    <w:name w:val="Salutation"/>
    <w:basedOn w:val="1"/>
    <w:next w:val="1"/>
    <w:qFormat/>
    <w:uiPriority w:val="99"/>
  </w:style>
  <w:style w:type="paragraph" w:styleId="8">
    <w:name w:val="Body Text Indent"/>
    <w:basedOn w:val="1"/>
    <w:link w:val="38"/>
    <w:qFormat/>
    <w:uiPriority w:val="99"/>
    <w:pPr>
      <w:ind w:left="420" w:leftChars="200"/>
    </w:p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2"/>
    <w:semiHidden/>
    <w:unhideWhenUsed/>
    <w:qFormat/>
    <w:uiPriority w:val="99"/>
    <w:rPr>
      <w:sz w:val="18"/>
      <w:szCs w:val="18"/>
    </w:rPr>
  </w:style>
  <w:style w:type="paragraph" w:styleId="11">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paragraph" w:styleId="15">
    <w:name w:val="Normal (Web)"/>
    <w:basedOn w:val="1"/>
    <w:semiHidden/>
    <w:unhideWhenUsed/>
    <w:qFormat/>
    <w:uiPriority w:val="99"/>
    <w:rPr>
      <w:sz w:val="24"/>
    </w:rPr>
  </w:style>
  <w:style w:type="paragraph" w:styleId="16">
    <w:name w:val="Body Text First Indent 2"/>
    <w:basedOn w:val="8"/>
    <w:link w:val="39"/>
    <w:qFormat/>
    <w:uiPriority w:val="99"/>
    <w:pPr>
      <w:ind w:firstLine="420" w:firstLineChars="200"/>
    </w:pPr>
  </w:style>
  <w:style w:type="character" w:styleId="19">
    <w:name w:val="Strong"/>
    <w:basedOn w:val="18"/>
    <w:qFormat/>
    <w:uiPriority w:val="99"/>
    <w:rPr>
      <w:rFonts w:hint="default" w:ascii="Times New Roman" w:hAnsi="Times New Roman" w:cs="Times New Roman"/>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character" w:customStyle="1" w:styleId="21">
    <w:name w:val="Header Char"/>
    <w:basedOn w:val="18"/>
    <w:semiHidden/>
    <w:qFormat/>
    <w:uiPriority w:val="99"/>
    <w:rPr>
      <w:rFonts w:ascii="Times New Roman" w:hAnsi="Times New Roman"/>
      <w:sz w:val="18"/>
      <w:szCs w:val="18"/>
    </w:rPr>
  </w:style>
  <w:style w:type="character" w:customStyle="1" w:styleId="22">
    <w:name w:val="页眉 Char"/>
    <w:link w:val="12"/>
    <w:semiHidden/>
    <w:qFormat/>
    <w:locked/>
    <w:uiPriority w:val="99"/>
    <w:rPr>
      <w:sz w:val="18"/>
    </w:rPr>
  </w:style>
  <w:style w:type="character" w:customStyle="1" w:styleId="23">
    <w:name w:val="Footer Char"/>
    <w:basedOn w:val="18"/>
    <w:semiHidden/>
    <w:qFormat/>
    <w:uiPriority w:val="99"/>
    <w:rPr>
      <w:rFonts w:ascii="Times New Roman" w:hAnsi="Times New Roman"/>
      <w:sz w:val="18"/>
      <w:szCs w:val="18"/>
    </w:rPr>
  </w:style>
  <w:style w:type="character" w:customStyle="1" w:styleId="24">
    <w:name w:val="页脚 Char"/>
    <w:link w:val="11"/>
    <w:qFormat/>
    <w:locked/>
    <w:uiPriority w:val="99"/>
    <w:rPr>
      <w:sz w:val="18"/>
    </w:rPr>
  </w:style>
  <w:style w:type="character" w:customStyle="1" w:styleId="25">
    <w:name w:val="Body Text Char"/>
    <w:basedOn w:val="18"/>
    <w:semiHidden/>
    <w:qFormat/>
    <w:uiPriority w:val="99"/>
    <w:rPr>
      <w:rFonts w:ascii="Times New Roman" w:hAnsi="Times New Roman"/>
      <w:szCs w:val="24"/>
    </w:rPr>
  </w:style>
  <w:style w:type="character" w:customStyle="1" w:styleId="26">
    <w:name w:val="正文文本 Char"/>
    <w:link w:val="2"/>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Char"/>
    <w:basedOn w:val="18"/>
    <w:link w:val="3"/>
    <w:qFormat/>
    <w:uiPriority w:val="9"/>
    <w:rPr>
      <w:rFonts w:ascii="Times New Roman" w:hAnsi="Times New Roman" w:eastAsia="宋体"/>
      <w:b/>
      <w:bCs/>
      <w:kern w:val="44"/>
      <w:sz w:val="44"/>
      <w:szCs w:val="44"/>
    </w:rPr>
  </w:style>
  <w:style w:type="character" w:customStyle="1" w:styleId="30">
    <w:name w:val="标题 2 Char"/>
    <w:basedOn w:val="18"/>
    <w:link w:val="4"/>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8"/>
    <w:link w:val="10"/>
    <w:semiHidden/>
    <w:qFormat/>
    <w:uiPriority w:val="99"/>
    <w:rPr>
      <w:rFonts w:ascii="Times New Roman" w:hAnsi="Times New Roman"/>
      <w:kern w:val="2"/>
      <w:sz w:val="18"/>
      <w:szCs w:val="18"/>
    </w:rPr>
  </w:style>
  <w:style w:type="character" w:customStyle="1" w:styleId="33">
    <w:name w:val="标题 3 Char"/>
    <w:basedOn w:val="18"/>
    <w:link w:val="5"/>
    <w:qFormat/>
    <w:uiPriority w:val="9"/>
    <w:rPr>
      <w:rFonts w:ascii="Times New Roman" w:hAnsi="Times New Roman"/>
      <w:b/>
      <w:bCs/>
      <w:kern w:val="2"/>
      <w:sz w:val="32"/>
      <w:szCs w:val="32"/>
    </w:rPr>
  </w:style>
  <w:style w:type="paragraph" w:customStyle="1" w:styleId="34">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5">
    <w:name w:val="正文文本 字符"/>
    <w:basedOn w:val="18"/>
    <w:qFormat/>
    <w:uiPriority w:val="0"/>
    <w:rPr>
      <w:kern w:val="2"/>
      <w:sz w:val="21"/>
      <w:szCs w:val="24"/>
    </w:rPr>
  </w:style>
  <w:style w:type="character" w:customStyle="1" w:styleId="36">
    <w:name w:val="标题 2 Char1"/>
    <w:basedOn w:val="18"/>
    <w:link w:val="4"/>
    <w:qFormat/>
    <w:uiPriority w:val="0"/>
    <w:rPr>
      <w:rFonts w:ascii="等线 Light" w:hAnsi="等线 Light" w:eastAsia="等线 Light" w:cs="Times New Roman"/>
      <w:b/>
      <w:bCs/>
      <w:kern w:val="2"/>
      <w:sz w:val="32"/>
      <w:szCs w:val="32"/>
    </w:rPr>
  </w:style>
  <w:style w:type="character" w:customStyle="1" w:styleId="37">
    <w:name w:val="正文文本 Char1"/>
    <w:basedOn w:val="18"/>
    <w:link w:val="2"/>
    <w:qFormat/>
    <w:uiPriority w:val="0"/>
    <w:rPr>
      <w:rFonts w:hint="eastAsia" w:ascii="仿宋_GB2312" w:eastAsia="仿宋_GB2312" w:cs="仿宋_GB2312"/>
      <w:sz w:val="24"/>
    </w:rPr>
  </w:style>
  <w:style w:type="character" w:customStyle="1" w:styleId="38">
    <w:name w:val="正文文本缩进 字符"/>
    <w:basedOn w:val="18"/>
    <w:link w:val="8"/>
    <w:qFormat/>
    <w:uiPriority w:val="0"/>
    <w:rPr>
      <w:rFonts w:hint="default" w:ascii="Times New Roman" w:hAnsi="Times New Roman" w:cs="Times New Roman"/>
      <w:kern w:val="2"/>
      <w:sz w:val="21"/>
      <w:szCs w:val="24"/>
    </w:rPr>
  </w:style>
  <w:style w:type="character" w:customStyle="1" w:styleId="39">
    <w:name w:val="正文首行缩进 2 字符"/>
    <w:basedOn w:val="38"/>
    <w:link w:val="16"/>
    <w:qFormat/>
    <w:uiPriority w:val="0"/>
    <w:rPr>
      <w:rFonts w:hint="default" w:ascii="Times New Roman" w:hAnsi="Times New Roman" w:cs="Times New Roman"/>
      <w:kern w:val="2"/>
      <w:sz w:val="21"/>
      <w:szCs w:val="24"/>
    </w:rPr>
  </w:style>
  <w:style w:type="character" w:customStyle="1" w:styleId="40">
    <w:name w:val="标题 2 字符"/>
    <w:basedOn w:val="18"/>
    <w:link w:val="4"/>
    <w:qFormat/>
    <w:uiPriority w:val="0"/>
    <w:rPr>
      <w:rFonts w:cs="仿宋" w:asciiTheme="majorAscii" w:hAnsiTheme="majorAscii" w:eastAsiaTheme="majorEastAsia"/>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3.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5.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6.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7.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收、支决算总计变动情况图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671.28</c:v>
                </c:pt>
                <c:pt idx="1">
                  <c:v>571.03</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671.28</c:v>
                </c:pt>
                <c:pt idx="1">
                  <c:v>571.03</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extLst>
      <c:ext uri="{0b15fc19-7d7d-44ad-8c2d-2c3a37ce22c3}">
        <chartProps xmlns="https://web.wps.cn/et/2018/main" chartId="{03c26474-3361-4090-a554-f4b91caca396}"/>
      </c:ext>
    </c:extLst>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1">
                    <a:lumMod val="65000"/>
                    <a:lumOff val="35000"/>
                  </a:schemeClr>
                </a:solidFill>
                <a:latin typeface="+mn-lt"/>
                <a:ea typeface="+mn-ea"/>
                <a:cs typeface="+mn-cs"/>
              </a:defRPr>
            </a:pPr>
            <a:r>
              <a:t>收入决算结构图</a:t>
            </a:r>
          </a:p>
        </c:rich>
      </c:tx>
      <c:layout/>
      <c:overlay val="0"/>
      <c:spPr>
        <a:noFill/>
        <a:ln>
          <a:noFill/>
        </a:ln>
        <a:effectLst/>
      </c:spPr>
    </c:title>
    <c:autoTitleDeleted val="0"/>
    <c:plotArea>
      <c:layout>
        <c:manualLayout>
          <c:layoutTarget val="inner"/>
          <c:xMode val="edge"/>
          <c:yMode val="edge"/>
          <c:x val="0.300694444444444"/>
          <c:y val="0.185185185185185"/>
          <c:w val="0.381944444444444"/>
          <c:h val="0.636574074074074"/>
        </c:manualLayout>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100</a:t>
                    </a:r>
                    <a:r>
                      <a:t>%</a:t>
                    </a:r>
                  </a:p>
                </c:rich>
              </c:tx>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extLst>
                <c:ext xmlns:c15="http://schemas.microsoft.com/office/drawing/2012/chart" uri="{CE6537A1-D6FC-4f65-9D91-7224C49458BB}"/>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0.00%</c:formatCode>
                <c:ptCount val="1"/>
                <c:pt idx="0">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80459b05-93e3-449c-9179-887095a8c469}"/>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cap="all" spc="50" baseline="0">
                <a:solidFill>
                  <a:schemeClr val="tx1">
                    <a:lumMod val="65000"/>
                    <a:lumOff val="35000"/>
                  </a:schemeClr>
                </a:solidFill>
                <a:latin typeface="+mn-lt"/>
                <a:ea typeface="+mn-ea"/>
                <a:cs typeface="+mn-cs"/>
              </a:defRPr>
            </a:pPr>
            <a:r>
              <a:t>支出决算结构图</a:t>
            </a:r>
          </a:p>
        </c:rich>
      </c:tx>
      <c:layout>
        <c:manualLayout>
          <c:xMode val="edge"/>
          <c:yMode val="edge"/>
          <c:x val="0.358"/>
          <c:y val="0.0362156291681996"/>
        </c:manualLayout>
      </c:layout>
      <c:overlay val="0"/>
      <c:spPr>
        <a:noFill/>
        <a:ln>
          <a:noFill/>
        </a:ln>
        <a:effectLst/>
      </c:spPr>
    </c:title>
    <c:autoTitleDeleted val="0"/>
    <c:plotArea>
      <c:layout/>
      <c:pieChart>
        <c:varyColors val="1"/>
        <c:ser>
          <c:idx val="0"/>
          <c:order val="0"/>
          <c:tx>
            <c:strRef>
              <c:f>Sheet1!$B$1</c:f>
              <c:strCache>
                <c:ptCount val="1"/>
                <c:pt idx="0">
                  <c:v>2021年本年支出合计</c:v>
                </c:pt>
              </c:strCache>
            </c:strRef>
          </c:tx>
          <c:spPr/>
          <c:explosion val="0"/>
          <c:dPt>
            <c:idx val="0"/>
            <c:bubble3D val="0"/>
            <c:spPr>
              <a:solidFill>
                <a:schemeClr val="accent1"/>
              </a:solidFill>
              <a:ln>
                <a:noFill/>
              </a:ln>
              <a:effectLst/>
            </c:spPr>
          </c:dPt>
          <c:dPt>
            <c:idx val="1"/>
            <c:bubble3D val="0"/>
            <c:spPr>
              <a:solidFill>
                <a:schemeClr val="accent2"/>
              </a:solidFill>
              <a:ln>
                <a:noFill/>
              </a:ln>
              <a:effectLst/>
            </c:spPr>
          </c:dPt>
          <c:dLbls>
            <c:dLbl>
              <c:idx val="0"/>
              <c:layout>
                <c:manualLayout>
                  <c:x val="-0.0572256163153286"/>
                  <c:y val="-0.229865726851587"/>
                </c:manualLayout>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72.86</a:t>
                    </a:r>
                    <a:r>
                      <a:t>%</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27.14</a:t>
                    </a:r>
                    <a:r>
                      <a:t>%</a:t>
                    </a:r>
                  </a:p>
                </c:rich>
              </c:tx>
              <c:dLblPos val="inEnd"/>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416.03</c:v>
                </c:pt>
                <c:pt idx="1">
                  <c:v>155</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extLst>
      <c:ext uri="{0b15fc19-7d7d-44ad-8c2d-2c3a37ce22c3}">
        <chartProps xmlns="https://web.wps.cn/et/2018/main" chartId="{2b0e39d4-6ce5-4767-af2b-662d9e7ced36}"/>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财政拨款收、支决算总体变动情况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671.28</c:v>
                </c:pt>
                <c:pt idx="1">
                  <c:v>571.03</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671.28</c:v>
                </c:pt>
                <c:pt idx="1">
                  <c:v>571.03</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extLst>
      <c:ext uri="{0b15fc19-7d7d-44ad-8c2d-2c3a37ce22c3}">
        <chartProps xmlns="https://web.wps.cn/et/2018/main" chartId="{e1c3b88d-f432-4289-8391-593bf5f25589}"/>
      </c:ext>
    </c:extLst>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65000"/>
                    <a:lumOff val="35000"/>
                  </a:schemeClr>
                </a:solidFill>
                <a:effectLst/>
                <a:latin typeface="+mn-lt"/>
                <a:ea typeface="+mn-ea"/>
                <a:cs typeface="+mn-cs"/>
              </a:defRPr>
            </a:pPr>
            <a:r>
              <a:rPr sz="1400" b="1"/>
              <a:t>一般公共预算财政拨款支出决算变动情况</a:t>
            </a:r>
            <a:endParaRPr sz="1400" b="1"/>
          </a:p>
        </c:rich>
      </c:tx>
      <c:layout>
        <c:manualLayout>
          <c:xMode val="edge"/>
          <c:yMode val="edge"/>
          <c:x val="0.193"/>
          <c:y val="0.0358470525756771"/>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一般公共预算财政拨款支出</c:v>
                </c:pt>
              </c:strCache>
            </c:strRef>
          </c:tx>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671.28</c:v>
                </c:pt>
                <c:pt idx="1">
                  <c:v>571.03</c:v>
                </c:pt>
              </c:numCache>
            </c:numRef>
          </c:val>
        </c:ser>
        <c:dLbls>
          <c:showLegendKey val="0"/>
          <c:showVal val="1"/>
          <c:showCatName val="0"/>
          <c:showSerName val="0"/>
          <c:showPercent val="0"/>
          <c:showBubbleSize val="0"/>
        </c:dLbls>
        <c:gapWidth val="41"/>
        <c:overlap val="0"/>
        <c:axId val="134079981"/>
        <c:axId val="758071448"/>
      </c:barChart>
      <c:catAx>
        <c:axId val="134079981"/>
        <c:scaling>
          <c:orientation val="minMax"/>
        </c:scaling>
        <c:delete val="0"/>
        <c:axPos val="b"/>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effectLst/>
                <a:latin typeface="+mn-lt"/>
                <a:ea typeface="+mn-ea"/>
                <a:cs typeface="+mn-cs"/>
              </a:defRPr>
            </a:pPr>
          </a:p>
        </c:txPr>
        <c:crossAx val="758071448"/>
        <c:crosses val="autoZero"/>
        <c:auto val="1"/>
        <c:lblAlgn val="ctr"/>
        <c:lblOffset val="100"/>
        <c:noMultiLvlLbl val="0"/>
      </c:catAx>
      <c:valAx>
        <c:axId val="758071448"/>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crossAx val="134079981"/>
        <c:crosses val="autoZero"/>
        <c:crossBetween val="between"/>
      </c:valAx>
      <c:spPr>
        <a:noFill/>
        <a:ln>
          <a:noFill/>
        </a:ln>
        <a:effectLst/>
      </c:spPr>
    </c:plotArea>
    <c:legend>
      <c:legendPos val="t"/>
      <c:legendEntry>
        <c:idx val="0"/>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Entry>
      <c:layout>
        <c:manualLayout>
          <c:xMode val="edge"/>
          <c:yMode val="edge"/>
          <c:x val="0.346625"/>
          <c:y val="0.19915029208709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6b5dedfa-9381-44a9-beb0-1554e57d9aed}"/>
      </c:ext>
    </c:extLst>
  </c:chart>
  <c: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a:effectLst/>
  </c:spPr>
  <c:txPr>
    <a:bodyPr/>
    <a:lstStyle/>
    <a:p>
      <a:pPr>
        <a:defRPr lang="zh-CN" sz="900"/>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65000"/>
                    <a:lumOff val="35000"/>
                  </a:schemeClr>
                </a:solidFill>
                <a:latin typeface="+mn-lt"/>
                <a:ea typeface="+mn-ea"/>
                <a:cs typeface="+mn-cs"/>
              </a:defRPr>
            </a:pPr>
            <a:r>
              <a:t>一般公共预算财政拨款支出决算结构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solidFill>
                <a:schemeClr val="accent1"/>
              </a:solidFill>
              <a:ln>
                <a:noFill/>
              </a:ln>
              <a:effectLst>
                <a:outerShdw blurRad="317500" algn="ctr" rotWithShape="0">
                  <a:prstClr val="black">
                    <a:alpha val="25000"/>
                  </a:prstClr>
                </a:outerShdw>
              </a:effectLst>
            </c:spPr>
          </c:dPt>
          <c:dLbls>
            <c:dLbl>
              <c:idx val="0"/>
              <c:layout>
                <c:manualLayout>
                  <c:x val="-0.00187524234346355"/>
                  <c:y val="-0.363504402515277"/>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教育支出（类）</c:v>
                </c:pt>
              </c:strCache>
            </c:strRef>
          </c:cat>
          <c:val>
            <c:numRef>
              <c:f>Sheet1!$B$2</c:f>
              <c:numCache>
                <c:formatCode>General</c:formatCode>
                <c:ptCount val="1"/>
                <c:pt idx="0">
                  <c:v>100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solidFill>
          <a:schemeClr val="lt1">
            <a:alpha val="78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bbc89f4b-3f77-48c6-8d39-20115bf19210}"/>
      </c:ext>
    </c:extLst>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2"/>
                </a:solidFill>
                <a:latin typeface="+mn-lt"/>
                <a:ea typeface="+mn-ea"/>
                <a:cs typeface="+mn-cs"/>
              </a:defRPr>
            </a:pPr>
            <a:r>
              <a:t>“三公”经费财政拨款支出结构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dPt>
          <c:dLbls>
            <c:dLbl>
              <c:idx val="0"/>
              <c:delete val="1"/>
            </c:dLbl>
            <c:dLbl>
              <c:idx val="1"/>
              <c:delete val="1"/>
            </c:dLbl>
            <c:dLbl>
              <c:idx val="2"/>
              <c:layout>
                <c:manualLayout>
                  <c:x val="0.00187439869773377"/>
                  <c:y val="-0.32657607226201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2"/>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0%</c:formatCode>
                <c:ptCount val="3"/>
                <c:pt idx="0">
                  <c:v>0</c:v>
                </c:pt>
                <c:pt idx="1">
                  <c:v>0</c:v>
                </c:pt>
                <c:pt idx="2">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2"/>
              </a:solidFill>
              <a:latin typeface="+mn-lt"/>
              <a:ea typeface="+mn-ea"/>
              <a:cs typeface="+mn-cs"/>
            </a:defRPr>
          </a:pPr>
        </a:p>
      </c:txPr>
    </c:legend>
    <c:plotVisOnly val="1"/>
    <c:dispBlanksAs val="gap"/>
    <c:showDLblsOverMax val="0"/>
    <c:extLst>
      <c:ext uri="{0b15fc19-7d7d-44ad-8c2d-2c3a37ce22c3}">
        <chartProps xmlns="https://web.wps.cn/et/2018/main" chartId="{1fb41d8e-87c4-4548-a9ba-24bdf29cbf56}"/>
      </c:ext>
    </c:extLst>
  </c:chart>
  <c:spPr>
    <a:solidFill>
      <a:schemeClr val="bg1"/>
    </a:solidFill>
    <a:ln w="9525" cap="flat" cmpd="sng" algn="ctr">
      <a:solidFill>
        <a:schemeClr val="tx2">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style1.xml><?xml version="1.0" encoding="utf-8"?>
<cs:chartStyle xmlns:cs="http://schemas.microsoft.com/office/drawing/2012/chartStyle" xmlns:a="http://schemas.openxmlformats.org/drawingml/2006/main" id="204">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a:effectLst/>
    </cs:defRPr>
  </cs:categoryAxis>
  <cs:chartArea>
    <cs:lnRef idx="0"/>
    <cs:fillRef idx="0"/>
    <cs:effectRef idx="0"/>
    <cs:fontRef idx="minor">
      <a:schemeClr val="dk1"/>
    </cs:fontRef>
    <cs: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cs:spPr>
    <cs:defRPr sz="1000" kern="1200"/>
  </cs:chartArea>
  <cs:dataLabel>
    <cs:lnRef idx="0"/>
    <cs:fillRef idx="0"/>
    <cs:effectRef idx="0"/>
    <cs:fontRef idx="minor">
      <a:schemeClr val="lt1"/>
    </cs:fontRef>
    <cs:defRPr sz="10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0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
  <cs:dataPoint3D>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3D>
  <cs:dataPointLine>
    <cs:lnRef idx="0">
      <cs:styleClr val="auto"/>
    </cs:lnRef>
    <cs:fillRef idx="0"/>
    <cs:effectRef idx="0"/>
    <cs:fontRef idx="minor">
      <a:schemeClr val="dk1"/>
    </cs:fontRef>
    <cs:spPr>
      <a:ln w="28575" cap="rnd">
        <a:gradFill>
          <a:gsLst>
            <a:gs pos="0">
              <a:schemeClr val="phClr"/>
            </a:gs>
            <a:gs pos="100000">
              <a:schemeClr val="phClr">
                <a:lumMod val="84000"/>
              </a:schemeClr>
            </a:gs>
          </a:gsLst>
          <a:lin ang="5400000" scaled="1"/>
        </a:gradFill>
        <a:round/>
      </a:ln>
    </cs:spPr>
  </cs:dataPointLine>
  <cs:dataPointMarker>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35000"/>
          <a:lumOff val="6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50000"/>
            <a:lumOff val="50000"/>
          </a:schemeClr>
        </a:solidFill>
        <a:round/>
      </a:ln>
    </cs:spPr>
  </cs:dropLine>
  <cs:errorBar>
    <cs:lnRef idx="0"/>
    <cs:fillRef idx="0"/>
    <cs:effectRef idx="0"/>
    <cs:fontRef idx="minor">
      <a:schemeClr val="dk1"/>
    </cs:fontRef>
    <cs:spPr>
      <a:ln w="9525">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50000"/>
            <a:lumOff val="50000"/>
          </a:schemeClr>
        </a:solidFill>
        <a:round/>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65000"/>
        <a:lumOff val="35000"/>
      </a:schemeClr>
    </cs:fontRef>
    <cs:defRPr kern="1200">
      <a:effectLst/>
    </cs:defRPr>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lumMod val="95000"/>
        </a:schemeClr>
      </a:solidFill>
      <a:ln w="9525">
        <a:solidFill>
          <a:schemeClr val="dk1">
            <a:lumMod val="15000"/>
            <a:lumOff val="85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4.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7.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四川省财政厅</Company>
  <Pages>19</Pages>
  <Words>5612</Words>
  <Characters>6024</Characters>
  <Lines>47</Lines>
  <Paragraphs>13</Paragraphs>
  <TotalTime>1</TotalTime>
  <ScaleCrop>false</ScaleCrop>
  <LinksUpToDate>false</LinksUpToDate>
  <CharactersWithSpaces>6110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昭化融媒体</cp:lastModifiedBy>
  <cp:lastPrinted>2022-09-27T03:56:00Z</cp:lastPrinted>
  <dcterms:modified xsi:type="dcterms:W3CDTF">2025-01-06T05:08:34Z</dcterms:modified>
  <dc:title>四川省***</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BC7E4BB891EE45F088FC9E5EA9E8C392</vt:lpwstr>
  </property>
  <property fmtid="{D5CDD505-2E9C-101B-9397-08002B2CF9AE}" pid="4" name="KSOTemplateDocerSaveRecord">
    <vt:lpwstr>eyJoZGlkIjoiMGVhYTg4NGNkZWJkODFjNzcyZDRjM2M4Y2UzNjI5ZmUiLCJ1c2VySWQiOiI2MTE2MzEwMDYifQ==</vt:lpwstr>
  </property>
</Properties>
</file>