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0"/>
        <w:rPr>
          <w:rFonts w:ascii="方正小标宋简体" w:hAnsi="宋体" w:eastAsia="方正小标宋简体"/>
          <w:color w:val="auto"/>
          <w:sz w:val="72"/>
          <w:szCs w:val="72"/>
          <w:highlight w:val="none"/>
        </w:rPr>
      </w:pPr>
      <w:bookmarkStart w:id="0" w:name="_Toc15306267"/>
    </w:p>
    <w:p>
      <w:pPr>
        <w:spacing w:line="600" w:lineRule="exact"/>
        <w:jc w:val="center"/>
        <w:outlineLvl w:val="0"/>
        <w:rPr>
          <w:rFonts w:ascii="方正小标宋简体" w:hAnsi="宋体" w:eastAsia="方正小标宋简体"/>
          <w:color w:val="auto"/>
          <w:sz w:val="72"/>
          <w:szCs w:val="72"/>
          <w:highlight w:val="none"/>
        </w:rPr>
      </w:pPr>
    </w:p>
    <w:p>
      <w:pPr>
        <w:spacing w:line="600" w:lineRule="exact"/>
        <w:jc w:val="center"/>
        <w:outlineLvl w:val="0"/>
        <w:rPr>
          <w:rFonts w:ascii="方正小标宋简体" w:hAnsi="宋体" w:eastAsia="方正小标宋简体"/>
          <w:color w:val="auto"/>
          <w:sz w:val="72"/>
          <w:szCs w:val="72"/>
          <w:highlight w:val="none"/>
        </w:rPr>
      </w:pPr>
    </w:p>
    <w:p>
      <w:pPr>
        <w:spacing w:line="600" w:lineRule="exact"/>
        <w:jc w:val="center"/>
        <w:outlineLvl w:val="0"/>
        <w:rPr>
          <w:rFonts w:ascii="方正小标宋简体" w:hAnsi="宋体" w:eastAsia="方正小标宋简体"/>
          <w:color w:val="auto"/>
          <w:sz w:val="72"/>
          <w:szCs w:val="72"/>
          <w:highlight w:val="none"/>
        </w:rPr>
      </w:pPr>
    </w:p>
    <w:p>
      <w:pPr>
        <w:adjustRightInd w:val="0"/>
        <w:snapToGrid w:val="0"/>
        <w:spacing w:line="360" w:lineRule="auto"/>
        <w:jc w:val="center"/>
        <w:outlineLvl w:val="0"/>
        <w:rPr>
          <w:rFonts w:ascii="方正小标宋_GBK" w:hAnsi="方正小标宋_GBK" w:eastAsia="方正小标宋_GBK" w:cs="方正小标宋_GBK"/>
          <w:color w:val="auto"/>
          <w:sz w:val="72"/>
          <w:szCs w:val="72"/>
          <w:highlight w:val="none"/>
        </w:rPr>
      </w:pPr>
      <w:bookmarkStart w:id="1" w:name="_Toc15377193"/>
      <w:bookmarkStart w:id="2" w:name="_Toc16141"/>
      <w:bookmarkStart w:id="3" w:name="_Toc15378441"/>
      <w:bookmarkStart w:id="4" w:name="_Toc23980"/>
      <w:bookmarkStart w:id="5" w:name="_Toc1681"/>
      <w:bookmarkStart w:id="6" w:name="_Toc15396597"/>
      <w:bookmarkStart w:id="7" w:name="_Toc15396475"/>
      <w:bookmarkStart w:id="8" w:name="_Toc15377425"/>
      <w:r>
        <w:rPr>
          <w:rFonts w:hint="eastAsia" w:ascii="方正小标宋_GBK" w:hAnsi="方正小标宋_GBK" w:eastAsia="方正小标宋_GBK" w:cs="方正小标宋_GBK"/>
          <w:color w:val="auto"/>
          <w:sz w:val="72"/>
          <w:szCs w:val="72"/>
          <w:highlight w:val="none"/>
        </w:rPr>
        <w:t>2021年度</w:t>
      </w:r>
      <w:bookmarkEnd w:id="1"/>
      <w:bookmarkEnd w:id="2"/>
      <w:bookmarkEnd w:id="3"/>
      <w:bookmarkEnd w:id="4"/>
      <w:bookmarkEnd w:id="5"/>
      <w:bookmarkEnd w:id="6"/>
      <w:bookmarkEnd w:id="7"/>
      <w:bookmarkEnd w:id="8"/>
    </w:p>
    <w:p>
      <w:pPr>
        <w:adjustRightInd w:val="0"/>
        <w:snapToGrid w:val="0"/>
        <w:spacing w:line="360" w:lineRule="auto"/>
        <w:jc w:val="center"/>
        <w:outlineLvl w:val="0"/>
        <w:rPr>
          <w:rFonts w:hint="eastAsia" w:ascii="方正小标宋_GBK" w:hAnsi="方正小标宋_GBK" w:eastAsia="方正小标宋_GBK" w:cs="方正小标宋_GBK"/>
          <w:color w:val="auto"/>
          <w:sz w:val="72"/>
          <w:szCs w:val="72"/>
          <w:highlight w:val="none"/>
        </w:rPr>
      </w:pPr>
      <w:bookmarkStart w:id="9" w:name="_Toc17433"/>
      <w:bookmarkStart w:id="10" w:name="_Toc1473"/>
      <w:bookmarkStart w:id="11" w:name="_Toc29347"/>
      <w:bookmarkStart w:id="12" w:name="_Toc15377194"/>
      <w:bookmarkStart w:id="13" w:name="_Toc15396598"/>
      <w:bookmarkStart w:id="14" w:name="_Toc15378442"/>
      <w:bookmarkStart w:id="15" w:name="_Toc15396476"/>
      <w:bookmarkStart w:id="16" w:name="_Toc15377426"/>
      <w:r>
        <w:rPr>
          <w:rFonts w:hint="eastAsia" w:ascii="方正小标宋_GBK" w:hAnsi="方正小标宋_GBK" w:eastAsia="方正小标宋_GBK" w:cs="方正小标宋_GBK"/>
          <w:color w:val="auto"/>
          <w:sz w:val="72"/>
          <w:szCs w:val="72"/>
          <w:highlight w:val="none"/>
        </w:rPr>
        <w:t>四川省</w:t>
      </w:r>
      <w:bookmarkEnd w:id="0"/>
      <w:bookmarkStart w:id="17" w:name="_Toc15306268"/>
      <w:r>
        <w:rPr>
          <w:rFonts w:hint="eastAsia" w:ascii="方正小标宋_GBK" w:hAnsi="方正小标宋_GBK" w:eastAsia="方正小标宋_GBK" w:cs="方正小标宋_GBK"/>
          <w:color w:val="auto"/>
          <w:sz w:val="72"/>
          <w:szCs w:val="72"/>
          <w:highlight w:val="none"/>
        </w:rPr>
        <w:t>广元市昭化区</w:t>
      </w:r>
      <w:bookmarkEnd w:id="9"/>
      <w:bookmarkEnd w:id="10"/>
      <w:bookmarkEnd w:id="11"/>
    </w:p>
    <w:p>
      <w:pPr>
        <w:adjustRightInd w:val="0"/>
        <w:snapToGrid w:val="0"/>
        <w:spacing w:line="360" w:lineRule="auto"/>
        <w:jc w:val="center"/>
        <w:outlineLvl w:val="0"/>
        <w:rPr>
          <w:rFonts w:ascii="方正小标宋_GBK" w:hAnsi="方正小标宋_GBK" w:eastAsia="方正小标宋_GBK" w:cs="方正小标宋_GBK"/>
          <w:color w:val="auto"/>
          <w:sz w:val="72"/>
          <w:szCs w:val="72"/>
          <w:highlight w:val="none"/>
        </w:rPr>
      </w:pPr>
      <w:bookmarkStart w:id="18" w:name="_Toc2341"/>
      <w:bookmarkStart w:id="19" w:name="_Toc21060"/>
      <w:bookmarkStart w:id="20" w:name="_Toc9679"/>
      <w:r>
        <w:rPr>
          <w:rFonts w:hint="eastAsia" w:ascii="方正小标宋_GBK" w:hAnsi="方正小标宋_GBK" w:eastAsia="方正小标宋_GBK" w:cs="方正小标宋_GBK"/>
          <w:color w:val="auto"/>
          <w:sz w:val="72"/>
          <w:szCs w:val="72"/>
          <w:highlight w:val="none"/>
          <w:lang w:eastAsia="zh-CN"/>
        </w:rPr>
        <w:t>卫子镇梅树小学</w:t>
      </w:r>
      <w:r>
        <w:rPr>
          <w:rFonts w:hint="eastAsia" w:ascii="方正小标宋_GBK" w:hAnsi="方正小标宋_GBK" w:eastAsia="方正小标宋_GBK" w:cs="方正小标宋_GBK"/>
          <w:color w:val="auto"/>
          <w:sz w:val="72"/>
          <w:szCs w:val="72"/>
          <w:highlight w:val="none"/>
        </w:rPr>
        <w:t>单位决算</w:t>
      </w:r>
      <w:bookmarkEnd w:id="12"/>
      <w:bookmarkEnd w:id="13"/>
      <w:bookmarkEnd w:id="14"/>
      <w:bookmarkEnd w:id="15"/>
      <w:bookmarkEnd w:id="16"/>
      <w:bookmarkEnd w:id="17"/>
      <w:bookmarkEnd w:id="18"/>
      <w:bookmarkEnd w:id="19"/>
      <w:bookmarkEnd w:id="20"/>
    </w:p>
    <w:p>
      <w:pPr>
        <w:widowControl/>
        <w:jc w:val="center"/>
        <w:rPr>
          <w:rFonts w:hint="eastAsia" w:ascii="黑体" w:hAnsi="黑体" w:eastAsia="黑体"/>
          <w:color w:val="auto"/>
          <w:sz w:val="48"/>
          <w:szCs w:val="48"/>
          <w:highlight w:val="none"/>
        </w:rPr>
      </w:pPr>
      <w:r>
        <w:rPr>
          <w:rFonts w:ascii="方正小标宋简体" w:hAnsi="宋体" w:eastAsia="方正小标宋简体"/>
          <w:color w:val="auto"/>
          <w:sz w:val="36"/>
          <w:szCs w:val="36"/>
          <w:highlight w:val="none"/>
        </w:rPr>
        <w:br w:type="page"/>
      </w:r>
      <w:r>
        <w:rPr>
          <w:rFonts w:hint="eastAsia" w:ascii="黑体" w:hAnsi="黑体" w:eastAsia="黑体"/>
          <w:color w:val="auto"/>
          <w:sz w:val="48"/>
          <w:szCs w:val="48"/>
          <w:highlight w:val="none"/>
        </w:rPr>
        <w:t>目录</w:t>
      </w:r>
    </w:p>
    <w:p>
      <w:pPr>
        <w:pStyle w:val="14"/>
        <w:tabs>
          <w:tab w:val="right" w:leader="dot" w:pos="8306"/>
          <w:tab w:val="clear" w:pos="8296"/>
        </w:tabs>
        <w:rPr>
          <w:color w:val="auto"/>
          <w:highlight w:val="none"/>
        </w:rPr>
      </w:pPr>
      <w:r>
        <w:rPr>
          <w:color w:val="auto"/>
          <w:highlight w:val="none"/>
        </w:rPr>
        <w:fldChar w:fldCharType="begin"/>
      </w:r>
      <w:r>
        <w:rPr>
          <w:color w:val="auto"/>
          <w:highlight w:val="none"/>
        </w:rPr>
        <w:instrText xml:space="preserve">TOC \o "1-2" \h \u </w:instrText>
      </w:r>
      <w:r>
        <w:rPr>
          <w:color w:val="auto"/>
          <w:highlight w:val="none"/>
        </w:rPr>
        <w:fldChar w:fldCharType="separate"/>
      </w:r>
    </w:p>
    <w:p>
      <w:pPr>
        <w:pStyle w:val="14"/>
        <w:tabs>
          <w:tab w:val="right" w:leader="dot" w:pos="8306"/>
          <w:tab w:val="clear" w:pos="8296"/>
        </w:tabs>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_Toc17514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第一部分 单位概况</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_Toc17514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15"/>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_Toc31309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一、 职能简介</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_Toc31309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5"/>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_Toc13653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二、2021年重点工作完成情况</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_Toc13653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tabs>
          <w:tab w:val="right" w:leader="dot" w:pos="8306"/>
          <w:tab w:val="clear" w:pos="8296"/>
        </w:tabs>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_Toc10518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第二部分 2021年度单位决算情况说明</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_Toc10518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15"/>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_Toc28278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一、 收入支出决算总体情况说明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_Toc28278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8</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5"/>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_Toc9393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二、 收入决算情况说明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_Toc9393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8</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5"/>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_Toc12816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lang w:eastAsia="zh-CN"/>
        </w:rPr>
        <w:t>三、</w:t>
      </w:r>
      <w:r>
        <w:rPr>
          <w:rFonts w:hint="eastAsia" w:ascii="仿宋" w:hAnsi="仿宋" w:eastAsia="仿宋" w:cs="仿宋"/>
          <w:color w:val="auto"/>
          <w:sz w:val="24"/>
          <w:szCs w:val="24"/>
          <w:highlight w:val="none"/>
        </w:rPr>
        <w:t>支出决算情况说明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_Toc12816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9</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5"/>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_Toc20083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四、财政拨款收入支出决算总体情况说明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_Toc20083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9</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5"/>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_Toc20242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五、一般公共预算财政拨款支出决算情况说明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_Toc20242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10</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5"/>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_Toc2813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六、一般公共预算财政拨款基本支出决算情况说明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_Toc2813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11</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5"/>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_Toc9813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七、“三公”经费财政拨款支出决算情况说明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_Toc9813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11</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5"/>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_Toc3503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八、政府性基金预算支出决算情况说明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_Toc3503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13</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5"/>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_Toc30571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九、 国有资本经营预算支出决算情况说明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_Toc30571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14</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5"/>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_Toc14092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十、 预算绩效管理情况</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_Toc14092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14</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5"/>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_Toc11548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十一、 其他重要事项的情况说明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_Toc11548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14</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tabs>
          <w:tab w:val="right" w:leader="dot" w:pos="8306"/>
          <w:tab w:val="clear" w:pos="8296"/>
        </w:tabs>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_Toc27075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第三部分 名词解释</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_Toc27075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14"/>
        <w:tabs>
          <w:tab w:val="right" w:leader="dot" w:pos="8306"/>
          <w:tab w:val="clear" w:pos="8296"/>
        </w:tabs>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_Toc24127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第四部分 附件</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_Toc24127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18</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14"/>
        <w:tabs>
          <w:tab w:val="right" w:leader="dot" w:pos="8306"/>
          <w:tab w:val="clear" w:pos="8296"/>
        </w:tabs>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_Toc24969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第五部分 附表</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_Toc24969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15"/>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_Toc26442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一、收入支出决算总表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_Toc26442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19</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5"/>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_Toc24488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二、收入决算表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_Toc24488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19</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5"/>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_Toc6939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三、支出决算表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_Toc6939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19</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5"/>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_Toc30417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四、财政拨款收入支出决算总表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_Toc30417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19</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5"/>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_Toc1651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五、财政拨款支出决算明细表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_Toc1651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19</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5"/>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_Toc18542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六、一般公共预算财政拨款支出决算表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_Toc18542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19</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5"/>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_Toc25672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七、一般公共预算财政拨款支出决算明细表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_Toc25672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19</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5"/>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_Toc3598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八、一般公共预算财政拨款基本支出决算表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_Toc3598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19</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5"/>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_Toc28845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九、一般公共预算财政拨款项目支出决算表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_Toc28845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19</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5"/>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_Toc24879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十、一般公共预算财政拨款“三公”经费支出决算表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_Toc24879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19</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5"/>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_Toc24059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十一、政府性基金预算财政拨款收入支出决算表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_Toc24059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19</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5"/>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_Toc30287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十二、政府性基金预算财政拨款“三公”经费支出决算表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_Toc30287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19</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5"/>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_Toc21531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十三、国有资本经营预算财政拨款收入支出决算表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_Toc21531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19</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5"/>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_Toc3471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十四、国有资本经营预算财政拨款支出决算表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_Toc3471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19</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9"/>
        <w:rPr>
          <w:color w:val="auto"/>
          <w:highlight w:val="none"/>
        </w:rPr>
      </w:pPr>
      <w:r>
        <w:rPr>
          <w:color w:val="auto"/>
          <w:highlight w:val="none"/>
        </w:rPr>
        <w:fldChar w:fldCharType="end"/>
      </w:r>
    </w:p>
    <w:p>
      <w:pPr>
        <w:pStyle w:val="4"/>
        <w:bidi w:val="0"/>
        <w:rPr>
          <w:color w:val="auto"/>
          <w:highlight w:val="none"/>
        </w:rPr>
      </w:pPr>
      <w:bookmarkStart w:id="21" w:name="_Toc15377196"/>
      <w:bookmarkStart w:id="22" w:name="_Toc17514"/>
      <w:bookmarkStart w:id="23" w:name="_Toc15396599"/>
      <w:bookmarkStart w:id="24" w:name="_Toc17785"/>
      <w:r>
        <w:rPr>
          <w:rFonts w:hint="eastAsia"/>
          <w:color w:val="auto"/>
          <w:highlight w:val="none"/>
        </w:rPr>
        <w:t>第一部分 单位概况</w:t>
      </w:r>
      <w:bookmarkEnd w:id="21"/>
      <w:bookmarkEnd w:id="22"/>
      <w:bookmarkEnd w:id="23"/>
      <w:bookmarkEnd w:id="24"/>
    </w:p>
    <w:p>
      <w:pPr>
        <w:widowControl/>
        <w:jc w:val="left"/>
        <w:rPr>
          <w:rFonts w:ascii="黑体" w:eastAsia="黑体"/>
          <w:color w:val="auto"/>
          <w:sz w:val="32"/>
          <w:szCs w:val="32"/>
          <w:highlight w:val="none"/>
        </w:rPr>
      </w:pPr>
    </w:p>
    <w:p>
      <w:pPr>
        <w:pStyle w:val="5"/>
        <w:numPr>
          <w:ilvl w:val="0"/>
          <w:numId w:val="1"/>
        </w:numPr>
        <w:bidi w:val="0"/>
        <w:rPr>
          <w:rFonts w:hint="eastAsia"/>
          <w:color w:val="auto"/>
          <w:highlight w:val="none"/>
        </w:rPr>
      </w:pPr>
      <w:bookmarkStart w:id="25" w:name="_Toc31309"/>
      <w:bookmarkStart w:id="26" w:name="_Toc7404"/>
      <w:bookmarkStart w:id="27" w:name="_Toc15396600"/>
      <w:bookmarkStart w:id="28" w:name="_Toc15377197"/>
      <w:r>
        <w:rPr>
          <w:rFonts w:hint="eastAsia"/>
          <w:color w:val="auto"/>
          <w:highlight w:val="none"/>
        </w:rPr>
        <w:t>职能简介</w:t>
      </w:r>
      <w:bookmarkEnd w:id="25"/>
      <w:bookmarkEnd w:id="26"/>
    </w:p>
    <w:p>
      <w:pPr>
        <w:pStyle w:val="16"/>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1.贯彻党的教育方针，坚持社会主义办学方向，实行教育与生产劳动相结合，对学生进行德育、智育、体育、美育和劳动等方面的教育。</w:t>
      </w:r>
    </w:p>
    <w:p>
      <w:pPr>
        <w:pStyle w:val="16"/>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2.负责配合政府依法动员、组织适龄儿童、少年入学，严格控制学生辍学，依法保证适龄儿童、少年接受九年义务教育。</w:t>
      </w:r>
    </w:p>
    <w:p>
      <w:pPr>
        <w:pStyle w:val="16"/>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3.负责依法制定学校章程，并按照章程自主管理。</w:t>
      </w:r>
    </w:p>
    <w:p>
      <w:pPr>
        <w:pStyle w:val="16"/>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4.负责制定学校教育发展规划，并抓好组织和实施工作。</w:t>
      </w:r>
    </w:p>
    <w:p>
      <w:pPr>
        <w:pStyle w:val="16"/>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5.负责按照教育主管部门发布的指导性教学计划、 教学大纲，组织实施教育教学活动。</w:t>
      </w:r>
    </w:p>
    <w:p>
      <w:pPr>
        <w:pStyle w:val="16"/>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6.</w:t>
      </w:r>
      <w:r>
        <w:rPr>
          <w:rFonts w:hint="eastAsia" w:ascii="仿宋" w:hAnsi="仿宋" w:eastAsia="仿宋" w:cs="仿宋"/>
          <w:color w:val="auto"/>
          <w:kern w:val="0"/>
          <w:szCs w:val="20"/>
          <w:highlight w:val="none"/>
        </w:rPr>
        <w:t xml:space="preserve"> </w:t>
      </w:r>
      <w:r>
        <w:rPr>
          <w:rFonts w:hint="eastAsia" w:ascii="仿宋" w:hAnsi="仿宋" w:eastAsia="仿宋" w:cs="仿宋"/>
          <w:color w:val="auto"/>
          <w:sz w:val="32"/>
          <w:szCs w:val="32"/>
          <w:highlight w:val="none"/>
        </w:rPr>
        <w:t>负责学籍管理并对学生实施奖励或处分。</w:t>
      </w:r>
    </w:p>
    <w:p>
      <w:pPr>
        <w:pStyle w:val="16"/>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7.</w:t>
      </w:r>
      <w:r>
        <w:rPr>
          <w:rFonts w:hint="eastAsia" w:ascii="仿宋" w:hAnsi="仿宋" w:eastAsia="仿宋" w:cs="仿宋"/>
          <w:color w:val="auto"/>
          <w:kern w:val="0"/>
          <w:szCs w:val="20"/>
          <w:highlight w:val="none"/>
        </w:rPr>
        <w:t xml:space="preserve"> </w:t>
      </w:r>
      <w:r>
        <w:rPr>
          <w:rFonts w:hint="eastAsia" w:ascii="仿宋" w:hAnsi="仿宋" w:eastAsia="仿宋" w:cs="仿宋"/>
          <w:color w:val="auto"/>
          <w:sz w:val="32"/>
          <w:szCs w:val="32"/>
          <w:highlight w:val="none"/>
        </w:rPr>
        <w:t>负责依法制定本校教师及其他职工聘任办法并对教师及其他员工实施包括奖励、处分在内的具体管理活动。</w:t>
      </w:r>
    </w:p>
    <w:p>
      <w:pPr>
        <w:pStyle w:val="16"/>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8. 负责科学管理、合理使用学校的设施和经费，并积极筹措资金，改善办学条件。</w:t>
      </w:r>
    </w:p>
    <w:p>
      <w:pPr>
        <w:pStyle w:val="16"/>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9. 负责维护学校、师生的合法权益，有权拒绝任何组织和个人对教育教学活动</w:t>
      </w:r>
      <w:r>
        <w:rPr>
          <w:rFonts w:hint="eastAsia" w:ascii="仿宋" w:hAnsi="仿宋" w:eastAsia="仿宋" w:cs="仿宋"/>
          <w:color w:val="auto"/>
          <w:sz w:val="32"/>
          <w:szCs w:val="32"/>
          <w:highlight w:val="none"/>
          <w:lang w:eastAsia="zh-CN"/>
        </w:rPr>
        <w:t>的</w:t>
      </w:r>
      <w:r>
        <w:rPr>
          <w:rFonts w:hint="eastAsia" w:ascii="仿宋" w:hAnsi="仿宋" w:eastAsia="仿宋" w:cs="仿宋"/>
          <w:color w:val="auto"/>
          <w:sz w:val="32"/>
          <w:szCs w:val="32"/>
          <w:highlight w:val="none"/>
        </w:rPr>
        <w:t>非法干扰。</w:t>
      </w:r>
    </w:p>
    <w:p>
      <w:pPr>
        <w:pStyle w:val="16"/>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10.</w:t>
      </w:r>
      <w:r>
        <w:rPr>
          <w:rFonts w:hint="eastAsia" w:ascii="仿宋" w:hAnsi="仿宋" w:eastAsia="仿宋" w:cs="仿宋"/>
          <w:color w:val="auto"/>
          <w:kern w:val="0"/>
          <w:szCs w:val="20"/>
          <w:highlight w:val="none"/>
        </w:rPr>
        <w:t xml:space="preserve"> </w:t>
      </w:r>
      <w:r>
        <w:rPr>
          <w:rFonts w:hint="eastAsia" w:ascii="仿宋" w:hAnsi="仿宋" w:eastAsia="仿宋" w:cs="仿宋"/>
          <w:color w:val="auto"/>
          <w:sz w:val="32"/>
          <w:szCs w:val="32"/>
          <w:highlight w:val="none"/>
        </w:rPr>
        <w:t>依法接受各级教育行政部门的检查指导和人民群众的监督。</w:t>
      </w:r>
    </w:p>
    <w:p>
      <w:pPr>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11.承办上级交办的其他事项。</w:t>
      </w:r>
    </w:p>
    <w:p>
      <w:pPr>
        <w:pStyle w:val="5"/>
        <w:bidi w:val="0"/>
        <w:rPr>
          <w:rFonts w:hint="eastAsia"/>
          <w:color w:val="auto"/>
          <w:highlight w:val="none"/>
        </w:rPr>
      </w:pPr>
      <w:bookmarkStart w:id="29" w:name="_Toc13653"/>
      <w:bookmarkStart w:id="30" w:name="_Toc4463"/>
      <w:r>
        <w:rPr>
          <w:rFonts w:hint="eastAsia"/>
          <w:color w:val="auto"/>
          <w:highlight w:val="none"/>
        </w:rPr>
        <w:t>二、2021年重点工作</w:t>
      </w:r>
      <w:bookmarkEnd w:id="27"/>
      <w:bookmarkEnd w:id="28"/>
      <w:r>
        <w:rPr>
          <w:rFonts w:hint="eastAsia"/>
          <w:color w:val="auto"/>
          <w:highlight w:val="none"/>
        </w:rPr>
        <w:t>完成情况</w:t>
      </w:r>
      <w:bookmarkEnd w:id="29"/>
      <w:bookmarkEnd w:id="30"/>
    </w:p>
    <w:p>
      <w:pPr>
        <w:keepNext w:val="0"/>
        <w:keepLines w:val="0"/>
        <w:pageBreakBefore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b w:val="0"/>
          <w:bCs w:val="0"/>
          <w:color w:val="auto"/>
          <w:sz w:val="32"/>
          <w:szCs w:val="32"/>
          <w:highlight w:val="none"/>
          <w:lang w:eastAsia="zh-CN"/>
        </w:rPr>
      </w:pPr>
      <w:bookmarkStart w:id="31" w:name="_Toc10518"/>
      <w:bookmarkStart w:id="32" w:name="_Toc10437"/>
      <w:bookmarkStart w:id="33" w:name="_Toc15396602"/>
      <w:bookmarkStart w:id="34" w:name="_Toc15377204"/>
      <w:r>
        <w:rPr>
          <w:rFonts w:hint="eastAsia" w:ascii="仿宋" w:hAnsi="仿宋" w:eastAsia="仿宋" w:cs="仿宋"/>
          <w:b w:val="0"/>
          <w:bCs w:val="0"/>
          <w:color w:val="auto"/>
          <w:sz w:val="32"/>
          <w:szCs w:val="32"/>
          <w:highlight w:val="none"/>
          <w:lang w:eastAsia="zh-CN"/>
        </w:rPr>
        <w:t>（一）</w:t>
      </w:r>
      <w:r>
        <w:rPr>
          <w:rFonts w:hint="eastAsia" w:ascii="仿宋" w:hAnsi="仿宋" w:eastAsia="仿宋" w:cs="仿宋"/>
          <w:b w:val="0"/>
          <w:bCs w:val="0"/>
          <w:color w:val="auto"/>
          <w:sz w:val="32"/>
          <w:szCs w:val="32"/>
          <w:highlight w:val="none"/>
        </w:rPr>
        <w:t>党建工作</w:t>
      </w:r>
      <w:r>
        <w:rPr>
          <w:rFonts w:hint="eastAsia" w:ascii="仿宋" w:hAnsi="仿宋" w:eastAsia="仿宋" w:cs="仿宋"/>
          <w:b w:val="0"/>
          <w:bCs w:val="0"/>
          <w:color w:val="auto"/>
          <w:sz w:val="32"/>
          <w:szCs w:val="32"/>
          <w:highlight w:val="none"/>
          <w:lang w:eastAsia="zh-CN"/>
        </w:rPr>
        <w:t>有实效</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1、</w:t>
      </w:r>
      <w:r>
        <w:rPr>
          <w:rFonts w:hint="eastAsia" w:ascii="仿宋" w:hAnsi="仿宋" w:eastAsia="仿宋" w:cs="仿宋"/>
          <w:b/>
          <w:bCs/>
          <w:color w:val="auto"/>
          <w:sz w:val="32"/>
          <w:szCs w:val="32"/>
          <w:highlight w:val="none"/>
        </w:rPr>
        <w:t>以</w:t>
      </w:r>
      <w:r>
        <w:rPr>
          <w:rFonts w:hint="eastAsia" w:ascii="仿宋" w:hAnsi="仿宋" w:eastAsia="仿宋" w:cs="仿宋"/>
          <w:b/>
          <w:bCs/>
          <w:color w:val="auto"/>
          <w:sz w:val="32"/>
          <w:szCs w:val="32"/>
          <w:highlight w:val="none"/>
          <w:lang w:val="en-US" w:eastAsia="zh-CN"/>
        </w:rPr>
        <w:t>党史学习教育</w:t>
      </w:r>
      <w:r>
        <w:rPr>
          <w:rFonts w:hint="eastAsia" w:ascii="仿宋" w:hAnsi="仿宋" w:eastAsia="仿宋" w:cs="仿宋"/>
          <w:b/>
          <w:bCs/>
          <w:color w:val="auto"/>
          <w:sz w:val="32"/>
          <w:szCs w:val="32"/>
          <w:highlight w:val="none"/>
        </w:rPr>
        <w:t>为重点，切实抓好理论学习</w:t>
      </w:r>
      <w:r>
        <w:rPr>
          <w:rFonts w:hint="eastAsia" w:ascii="仿宋" w:hAnsi="仿宋" w:eastAsia="仿宋" w:cs="仿宋"/>
          <w:b/>
          <w:bCs/>
          <w:color w:val="auto"/>
          <w:sz w:val="32"/>
          <w:szCs w:val="32"/>
          <w:highlight w:val="none"/>
          <w:lang w:eastAsia="zh-CN"/>
        </w:rPr>
        <w:t>。</w:t>
      </w:r>
      <w:r>
        <w:rPr>
          <w:rFonts w:hint="eastAsia" w:ascii="仿宋" w:hAnsi="仿宋" w:eastAsia="仿宋" w:cs="仿宋"/>
          <w:color w:val="auto"/>
          <w:sz w:val="32"/>
          <w:szCs w:val="32"/>
          <w:highlight w:val="none"/>
        </w:rPr>
        <w:t>本年度集中专题学习达10余次，</w:t>
      </w:r>
      <w:r>
        <w:rPr>
          <w:rFonts w:hint="eastAsia" w:ascii="仿宋" w:hAnsi="仿宋" w:eastAsia="仿宋" w:cs="仿宋"/>
          <w:color w:val="auto"/>
          <w:sz w:val="32"/>
          <w:szCs w:val="32"/>
          <w:highlight w:val="none"/>
          <w:lang w:val="en-US" w:eastAsia="zh-CN"/>
        </w:rPr>
        <w:t>开展</w:t>
      </w:r>
      <w:r>
        <w:rPr>
          <w:rFonts w:hint="eastAsia" w:ascii="仿宋" w:hAnsi="仿宋" w:eastAsia="仿宋" w:cs="仿宋"/>
          <w:color w:val="auto"/>
          <w:sz w:val="32"/>
          <w:szCs w:val="32"/>
          <w:highlight w:val="none"/>
        </w:rPr>
        <w:t>专题讨论</w:t>
      </w:r>
      <w:r>
        <w:rPr>
          <w:rFonts w:hint="eastAsia" w:ascii="仿宋" w:hAnsi="仿宋" w:eastAsia="仿宋" w:cs="仿宋"/>
          <w:color w:val="auto"/>
          <w:sz w:val="32"/>
          <w:szCs w:val="32"/>
          <w:highlight w:val="none"/>
          <w:lang w:val="en-US" w:eastAsia="zh-CN"/>
        </w:rPr>
        <w:t>2</w:t>
      </w:r>
      <w:r>
        <w:rPr>
          <w:rFonts w:hint="eastAsia" w:ascii="仿宋" w:hAnsi="仿宋" w:eastAsia="仿宋" w:cs="仿宋"/>
          <w:color w:val="auto"/>
          <w:sz w:val="32"/>
          <w:szCs w:val="32"/>
          <w:highlight w:val="none"/>
        </w:rPr>
        <w:t>次，党员撰写自学笔记</w:t>
      </w:r>
      <w:r>
        <w:rPr>
          <w:rFonts w:hint="eastAsia" w:ascii="仿宋" w:hAnsi="仿宋" w:eastAsia="仿宋" w:cs="仿宋"/>
          <w:color w:val="auto"/>
          <w:sz w:val="32"/>
          <w:szCs w:val="32"/>
          <w:highlight w:val="none"/>
          <w:lang w:val="en-US" w:eastAsia="zh-CN"/>
        </w:rPr>
        <w:t>2</w:t>
      </w:r>
      <w:r>
        <w:rPr>
          <w:rFonts w:hint="eastAsia" w:ascii="仿宋" w:hAnsi="仿宋" w:eastAsia="仿宋" w:cs="仿宋"/>
          <w:color w:val="auto"/>
          <w:sz w:val="32"/>
          <w:szCs w:val="32"/>
          <w:highlight w:val="none"/>
        </w:rPr>
        <w:t>000字以上，心得文章数十篇</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真正将</w:t>
      </w:r>
      <w:r>
        <w:rPr>
          <w:rFonts w:hint="eastAsia" w:ascii="仿宋" w:hAnsi="仿宋" w:eastAsia="仿宋" w:cs="仿宋"/>
          <w:color w:val="auto"/>
          <w:sz w:val="32"/>
          <w:szCs w:val="32"/>
          <w:highlight w:val="none"/>
          <w:lang w:val="en-US" w:eastAsia="zh-CN"/>
        </w:rPr>
        <w:t>党史学习教育</w:t>
      </w:r>
      <w:r>
        <w:rPr>
          <w:rFonts w:hint="eastAsia" w:ascii="仿宋" w:hAnsi="仿宋" w:eastAsia="仿宋" w:cs="仿宋"/>
          <w:color w:val="auto"/>
          <w:sz w:val="32"/>
          <w:szCs w:val="32"/>
          <w:highlight w:val="none"/>
        </w:rPr>
        <w:t>落到实处。</w:t>
      </w:r>
    </w:p>
    <w:p>
      <w:pPr>
        <w:keepNext w:val="0"/>
        <w:keepLines w:val="0"/>
        <w:pageBreakBefore w:val="0"/>
        <w:kinsoku/>
        <w:wordWrap/>
        <w:overflowPunct/>
        <w:topLinePunct w:val="0"/>
        <w:autoSpaceDE/>
        <w:autoSpaceDN/>
        <w:bidi w:val="0"/>
        <w:adjustRightInd/>
        <w:snapToGrid/>
        <w:spacing w:line="240" w:lineRule="auto"/>
        <w:ind w:firstLine="643" w:firstLineChars="200"/>
        <w:textAlignment w:val="auto"/>
        <w:rPr>
          <w:rFonts w:hint="eastAsia" w:ascii="仿宋" w:hAnsi="仿宋" w:eastAsia="仿宋" w:cs="仿宋"/>
          <w:color w:val="auto"/>
          <w:sz w:val="32"/>
          <w:szCs w:val="32"/>
          <w:highlight w:val="none"/>
        </w:rPr>
      </w:pPr>
      <w:r>
        <w:rPr>
          <w:rFonts w:hint="eastAsia" w:ascii="仿宋" w:hAnsi="仿宋" w:eastAsia="仿宋" w:cs="仿宋"/>
          <w:b/>
          <w:bCs/>
          <w:color w:val="auto"/>
          <w:sz w:val="32"/>
          <w:szCs w:val="32"/>
          <w:highlight w:val="none"/>
          <w:lang w:val="en-US" w:eastAsia="zh-CN"/>
        </w:rPr>
        <w:t>2、</w:t>
      </w:r>
      <w:r>
        <w:rPr>
          <w:rFonts w:hint="eastAsia" w:ascii="仿宋" w:hAnsi="仿宋" w:eastAsia="仿宋" w:cs="仿宋"/>
          <w:b/>
          <w:bCs/>
          <w:color w:val="auto"/>
          <w:sz w:val="32"/>
          <w:szCs w:val="32"/>
          <w:highlight w:val="none"/>
        </w:rPr>
        <w:t>以师德建设为重点，切实抓好精神文明建设工作</w:t>
      </w:r>
      <w:r>
        <w:rPr>
          <w:rFonts w:hint="eastAsia" w:ascii="仿宋" w:hAnsi="仿宋" w:eastAsia="仿宋" w:cs="仿宋"/>
          <w:b/>
          <w:bCs/>
          <w:color w:val="auto"/>
          <w:sz w:val="32"/>
          <w:szCs w:val="32"/>
          <w:highlight w:val="none"/>
          <w:lang w:eastAsia="zh-CN"/>
        </w:rPr>
        <w:t>。</w:t>
      </w:r>
      <w:r>
        <w:rPr>
          <w:rFonts w:hint="eastAsia" w:ascii="仿宋" w:hAnsi="仿宋" w:eastAsia="仿宋" w:cs="仿宋"/>
          <w:color w:val="auto"/>
          <w:sz w:val="32"/>
          <w:szCs w:val="32"/>
          <w:highlight w:val="none"/>
        </w:rPr>
        <w:t>通过“用爱擦亮师德”系列化活动，开展了学习英模事迹，树立身边典型</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举行</w:t>
      </w:r>
      <w:r>
        <w:rPr>
          <w:rFonts w:hint="eastAsia" w:ascii="仿宋" w:hAnsi="仿宋" w:eastAsia="仿宋" w:cs="仿宋"/>
          <w:color w:val="auto"/>
          <w:sz w:val="32"/>
          <w:szCs w:val="32"/>
          <w:highlight w:val="none"/>
          <w:lang w:val="en-US" w:eastAsia="zh-CN"/>
        </w:rPr>
        <w:t>暑假师德师风集中学习、</w:t>
      </w:r>
      <w:r>
        <w:rPr>
          <w:rFonts w:hint="eastAsia" w:ascii="仿宋" w:hAnsi="仿宋" w:eastAsia="仿宋" w:cs="仿宋"/>
          <w:color w:val="auto"/>
          <w:sz w:val="32"/>
          <w:szCs w:val="32"/>
          <w:highlight w:val="none"/>
        </w:rPr>
        <w:t>师德宣誓、师德</w:t>
      </w:r>
      <w:r>
        <w:rPr>
          <w:rFonts w:hint="eastAsia" w:ascii="仿宋" w:hAnsi="仿宋" w:eastAsia="仿宋" w:cs="仿宋"/>
          <w:color w:val="auto"/>
          <w:sz w:val="32"/>
          <w:szCs w:val="32"/>
          <w:highlight w:val="none"/>
          <w:lang w:val="en-US" w:eastAsia="zh-CN"/>
        </w:rPr>
        <w:t>演讲</w:t>
      </w:r>
      <w:r>
        <w:rPr>
          <w:rFonts w:hint="eastAsia" w:ascii="仿宋" w:hAnsi="仿宋" w:eastAsia="仿宋" w:cs="仿宋"/>
          <w:color w:val="auto"/>
          <w:sz w:val="32"/>
          <w:szCs w:val="32"/>
          <w:highlight w:val="none"/>
        </w:rPr>
        <w:t xml:space="preserve">、教师家访等活动载体，进一步提升了教师的师德修养。 </w:t>
      </w:r>
    </w:p>
    <w:p>
      <w:pPr>
        <w:keepNext w:val="0"/>
        <w:keepLines w:val="0"/>
        <w:pageBreakBefore w:val="0"/>
        <w:kinsoku/>
        <w:wordWrap/>
        <w:overflowPunct/>
        <w:topLinePunct w:val="0"/>
        <w:autoSpaceDE/>
        <w:autoSpaceDN/>
        <w:bidi w:val="0"/>
        <w:adjustRightInd/>
        <w:snapToGrid/>
        <w:spacing w:line="240" w:lineRule="auto"/>
        <w:ind w:firstLine="643" w:firstLineChars="200"/>
        <w:textAlignment w:val="auto"/>
        <w:rPr>
          <w:rFonts w:hint="eastAsia" w:ascii="仿宋" w:hAnsi="仿宋" w:eastAsia="仿宋" w:cs="仿宋"/>
          <w:color w:val="auto"/>
          <w:sz w:val="32"/>
          <w:szCs w:val="32"/>
          <w:highlight w:val="none"/>
        </w:rPr>
      </w:pPr>
      <w:r>
        <w:rPr>
          <w:rFonts w:hint="eastAsia" w:ascii="仿宋" w:hAnsi="仿宋" w:eastAsia="仿宋" w:cs="仿宋"/>
          <w:b/>
          <w:bCs/>
          <w:color w:val="auto"/>
          <w:sz w:val="32"/>
          <w:szCs w:val="32"/>
          <w:highlight w:val="none"/>
          <w:lang w:val="en-US" w:eastAsia="zh-CN"/>
        </w:rPr>
        <w:t>3、</w:t>
      </w:r>
      <w:r>
        <w:rPr>
          <w:rFonts w:hint="eastAsia" w:ascii="仿宋" w:hAnsi="仿宋" w:eastAsia="仿宋" w:cs="仿宋"/>
          <w:b/>
          <w:bCs/>
          <w:color w:val="auto"/>
          <w:sz w:val="32"/>
          <w:szCs w:val="32"/>
          <w:highlight w:val="none"/>
        </w:rPr>
        <w:t>以“党员进万家”活动为载体，切实提高党员教师的党性修养</w:t>
      </w:r>
      <w:r>
        <w:rPr>
          <w:rFonts w:hint="eastAsia" w:ascii="仿宋" w:hAnsi="仿宋" w:eastAsia="仿宋" w:cs="仿宋"/>
          <w:b/>
          <w:bCs/>
          <w:color w:val="auto"/>
          <w:sz w:val="32"/>
          <w:szCs w:val="32"/>
          <w:highlight w:val="none"/>
          <w:lang w:eastAsia="zh-CN"/>
        </w:rPr>
        <w:t>。</w:t>
      </w:r>
      <w:r>
        <w:rPr>
          <w:rFonts w:hint="eastAsia" w:ascii="仿宋" w:hAnsi="仿宋" w:eastAsia="仿宋" w:cs="仿宋"/>
          <w:color w:val="auto"/>
          <w:sz w:val="32"/>
          <w:szCs w:val="32"/>
          <w:highlight w:val="none"/>
        </w:rPr>
        <w:t>一年来，我校党员教师先后</w:t>
      </w:r>
      <w:r>
        <w:rPr>
          <w:rFonts w:hint="eastAsia" w:ascii="仿宋" w:hAnsi="仿宋" w:eastAsia="仿宋" w:cs="仿宋"/>
          <w:color w:val="auto"/>
          <w:sz w:val="32"/>
          <w:szCs w:val="32"/>
          <w:highlight w:val="none"/>
          <w:lang w:val="en-US" w:eastAsia="zh-CN"/>
        </w:rPr>
        <w:t>40</w:t>
      </w:r>
      <w:r>
        <w:rPr>
          <w:rFonts w:hint="eastAsia" w:ascii="仿宋" w:hAnsi="仿宋" w:eastAsia="仿宋" w:cs="仿宋"/>
          <w:color w:val="auto"/>
          <w:sz w:val="32"/>
          <w:szCs w:val="32"/>
          <w:highlight w:val="none"/>
        </w:rPr>
        <w:t>余</w:t>
      </w:r>
      <w:r>
        <w:rPr>
          <w:rFonts w:hint="eastAsia" w:ascii="仿宋" w:hAnsi="仿宋" w:eastAsia="仿宋" w:cs="仿宋"/>
          <w:color w:val="auto"/>
          <w:sz w:val="32"/>
          <w:szCs w:val="32"/>
          <w:highlight w:val="none"/>
          <w:lang w:val="en-US" w:eastAsia="zh-CN"/>
        </w:rPr>
        <w:t>人</w:t>
      </w:r>
      <w:r>
        <w:rPr>
          <w:rFonts w:hint="eastAsia" w:ascii="仿宋" w:hAnsi="仿宋" w:eastAsia="仿宋" w:cs="仿宋"/>
          <w:color w:val="auto"/>
          <w:sz w:val="32"/>
          <w:szCs w:val="32"/>
          <w:highlight w:val="none"/>
        </w:rPr>
        <w:t>次走访贫困家庭，以家访谈心、送教上门、支农助农等形式进行扶贫帮扶。</w:t>
      </w:r>
    </w:p>
    <w:p>
      <w:pPr>
        <w:keepNext w:val="0"/>
        <w:keepLines w:val="0"/>
        <w:pageBreakBefore w:val="0"/>
        <w:kinsoku/>
        <w:wordWrap/>
        <w:overflowPunct/>
        <w:topLinePunct w:val="0"/>
        <w:autoSpaceDE/>
        <w:autoSpaceDN/>
        <w:bidi w:val="0"/>
        <w:adjustRightInd/>
        <w:snapToGrid/>
        <w:spacing w:line="240" w:lineRule="auto"/>
        <w:ind w:firstLine="643" w:firstLineChars="200"/>
        <w:textAlignment w:val="auto"/>
        <w:rPr>
          <w:rFonts w:hint="eastAsia" w:ascii="仿宋" w:hAnsi="仿宋" w:eastAsia="仿宋" w:cs="仿宋"/>
          <w:color w:val="auto"/>
          <w:sz w:val="32"/>
          <w:szCs w:val="32"/>
          <w:highlight w:val="none"/>
        </w:rPr>
      </w:pPr>
      <w:r>
        <w:rPr>
          <w:rFonts w:hint="eastAsia" w:ascii="仿宋" w:hAnsi="仿宋" w:eastAsia="仿宋" w:cs="仿宋"/>
          <w:b/>
          <w:bCs/>
          <w:color w:val="auto"/>
          <w:sz w:val="32"/>
          <w:szCs w:val="32"/>
          <w:highlight w:val="none"/>
          <w:lang w:val="en-US" w:eastAsia="zh-CN"/>
        </w:rPr>
        <w:t>4、</w:t>
      </w:r>
      <w:r>
        <w:rPr>
          <w:rFonts w:hint="eastAsia" w:ascii="仿宋" w:hAnsi="仿宋" w:eastAsia="仿宋" w:cs="仿宋"/>
          <w:b/>
          <w:bCs/>
          <w:color w:val="auto"/>
          <w:sz w:val="32"/>
          <w:szCs w:val="32"/>
          <w:highlight w:val="none"/>
        </w:rPr>
        <w:t>加强制度建设，健全党员学习教育的长效机制。</w:t>
      </w:r>
      <w:r>
        <w:rPr>
          <w:rFonts w:hint="eastAsia" w:ascii="仿宋" w:hAnsi="仿宋" w:eastAsia="仿宋" w:cs="仿宋"/>
          <w:color w:val="auto"/>
          <w:sz w:val="32"/>
          <w:szCs w:val="32"/>
          <w:highlight w:val="none"/>
        </w:rPr>
        <w:t>一是坚持“三会一课”制度，定期组织学习</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本年度每月都召开了一次支委会，每月都开了一次党员会，每期都上了一次党课</w:t>
      </w:r>
      <w:r>
        <w:rPr>
          <w:rFonts w:hint="eastAsia" w:ascii="仿宋" w:hAnsi="仿宋" w:eastAsia="仿宋" w:cs="仿宋"/>
          <w:color w:val="auto"/>
          <w:sz w:val="32"/>
          <w:szCs w:val="32"/>
          <w:highlight w:val="none"/>
        </w:rPr>
        <w:t>。二是坚持民主生活会制度，党员就思想、工作、学习等情况向支部大会作一次汇报。三是坚持民主评议党员制度，每年对党员的表现情况进行一次民主评议。四是坚持定期讲座制度，围绕党建工作和教育教学的难点、热点、疑点等问题，举行专题讲座。</w:t>
      </w:r>
      <w:r>
        <w:rPr>
          <w:rFonts w:hint="eastAsia" w:ascii="仿宋" w:hAnsi="仿宋" w:eastAsia="仿宋" w:cs="仿宋"/>
          <w:color w:val="auto"/>
          <w:sz w:val="32"/>
          <w:szCs w:val="32"/>
          <w:highlight w:val="none"/>
          <w:lang w:val="en-US" w:eastAsia="zh-CN"/>
        </w:rPr>
        <w:t>本年度贯书记和我各上了一次专题党课。</w:t>
      </w:r>
      <w:r>
        <w:rPr>
          <w:rFonts w:hint="eastAsia" w:ascii="仿宋" w:hAnsi="仿宋" w:eastAsia="仿宋" w:cs="仿宋"/>
          <w:color w:val="auto"/>
          <w:sz w:val="32"/>
          <w:szCs w:val="32"/>
          <w:highlight w:val="none"/>
        </w:rPr>
        <w:t>五是坚持</w:t>
      </w:r>
      <w:r>
        <w:rPr>
          <w:rFonts w:hint="eastAsia" w:ascii="仿宋" w:hAnsi="仿宋" w:eastAsia="仿宋" w:cs="仿宋"/>
          <w:color w:val="auto"/>
          <w:sz w:val="32"/>
          <w:szCs w:val="32"/>
          <w:highlight w:val="none"/>
          <w:lang w:val="en-US" w:eastAsia="zh-CN"/>
        </w:rPr>
        <w:t>党员</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三个一</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制度</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每期党员必须上示范课一节，并结对帮扶一名贫困学生和一名非党员教师。</w:t>
      </w:r>
    </w:p>
    <w:p>
      <w:pPr>
        <w:keepNext w:val="0"/>
        <w:keepLines w:val="0"/>
        <w:pageBreakBefore w:val="0"/>
        <w:kinsoku/>
        <w:wordWrap/>
        <w:overflowPunct/>
        <w:topLinePunct w:val="0"/>
        <w:autoSpaceDE/>
        <w:autoSpaceDN/>
        <w:bidi w:val="0"/>
        <w:adjustRightInd/>
        <w:snapToGrid/>
        <w:spacing w:line="240" w:lineRule="auto"/>
        <w:ind w:firstLine="643" w:firstLineChars="200"/>
        <w:textAlignment w:val="auto"/>
        <w:rPr>
          <w:rFonts w:hint="eastAsia" w:ascii="仿宋" w:hAnsi="仿宋" w:eastAsia="仿宋" w:cs="仿宋"/>
          <w:color w:val="auto"/>
          <w:sz w:val="32"/>
          <w:szCs w:val="32"/>
          <w:highlight w:val="none"/>
        </w:rPr>
      </w:pPr>
      <w:r>
        <w:rPr>
          <w:rFonts w:hint="eastAsia" w:ascii="仿宋" w:hAnsi="仿宋" w:eastAsia="仿宋" w:cs="仿宋"/>
          <w:b/>
          <w:bCs/>
          <w:color w:val="auto"/>
          <w:sz w:val="32"/>
          <w:szCs w:val="32"/>
          <w:highlight w:val="none"/>
          <w:lang w:val="en-US" w:eastAsia="zh-CN"/>
        </w:rPr>
        <w:t>5、</w:t>
      </w:r>
      <w:r>
        <w:rPr>
          <w:rFonts w:hint="eastAsia" w:ascii="仿宋" w:hAnsi="仿宋" w:eastAsia="仿宋" w:cs="仿宋"/>
          <w:b/>
          <w:bCs/>
          <w:color w:val="auto"/>
          <w:sz w:val="32"/>
          <w:szCs w:val="32"/>
          <w:highlight w:val="none"/>
        </w:rPr>
        <w:t>以活动为载体，切实发挥党员的先锋模范作用</w:t>
      </w:r>
      <w:r>
        <w:rPr>
          <w:rFonts w:hint="eastAsia" w:ascii="仿宋" w:hAnsi="仿宋" w:eastAsia="仿宋" w:cs="仿宋"/>
          <w:b/>
          <w:bCs/>
          <w:color w:val="auto"/>
          <w:sz w:val="32"/>
          <w:szCs w:val="32"/>
          <w:highlight w:val="none"/>
          <w:lang w:eastAsia="zh-CN"/>
        </w:rPr>
        <w:t>。</w:t>
      </w:r>
      <w:r>
        <w:rPr>
          <w:rFonts w:hint="eastAsia" w:ascii="仿宋" w:hAnsi="仿宋" w:eastAsia="仿宋" w:cs="仿宋"/>
          <w:color w:val="auto"/>
          <w:sz w:val="32"/>
          <w:szCs w:val="32"/>
          <w:highlight w:val="none"/>
        </w:rPr>
        <w:t>一是我们以“七一”、“国庆”和“两学一做”为契机，组织党员开展主题实践活动。如：</w:t>
      </w:r>
      <w:r>
        <w:rPr>
          <w:rFonts w:hint="eastAsia" w:ascii="仿宋" w:hAnsi="仿宋" w:eastAsia="仿宋" w:cs="仿宋"/>
          <w:color w:val="auto"/>
          <w:sz w:val="32"/>
          <w:szCs w:val="32"/>
          <w:highlight w:val="none"/>
          <w:lang w:val="en-US" w:eastAsia="zh-CN"/>
        </w:rPr>
        <w:t>党史学习、参观红色基地</w:t>
      </w:r>
      <w:r>
        <w:rPr>
          <w:rFonts w:hint="eastAsia" w:ascii="仿宋" w:hAnsi="仿宋" w:eastAsia="仿宋" w:cs="仿宋"/>
          <w:color w:val="auto"/>
          <w:sz w:val="32"/>
          <w:szCs w:val="32"/>
          <w:highlight w:val="none"/>
        </w:rPr>
        <w:t>重温誓词、观看英模影视、</w:t>
      </w:r>
      <w:r>
        <w:rPr>
          <w:rFonts w:hint="eastAsia" w:ascii="仿宋" w:hAnsi="仿宋" w:eastAsia="仿宋" w:cs="仿宋"/>
          <w:color w:val="auto"/>
          <w:sz w:val="32"/>
          <w:szCs w:val="32"/>
          <w:highlight w:val="none"/>
          <w:lang w:val="en-US" w:eastAsia="zh-CN"/>
        </w:rPr>
        <w:t>党史学习讨论</w:t>
      </w:r>
      <w:r>
        <w:rPr>
          <w:rFonts w:hint="eastAsia" w:ascii="仿宋" w:hAnsi="仿宋" w:eastAsia="仿宋" w:cs="仿宋"/>
          <w:color w:val="auto"/>
          <w:sz w:val="32"/>
          <w:szCs w:val="32"/>
          <w:highlight w:val="none"/>
        </w:rPr>
        <w:t>、党</w:t>
      </w:r>
      <w:r>
        <w:rPr>
          <w:rFonts w:hint="eastAsia" w:ascii="仿宋" w:hAnsi="仿宋" w:eastAsia="仿宋" w:cs="仿宋"/>
          <w:color w:val="auto"/>
          <w:sz w:val="32"/>
          <w:szCs w:val="32"/>
          <w:highlight w:val="none"/>
          <w:lang w:val="en-US" w:eastAsia="zh-CN"/>
        </w:rPr>
        <w:t>史</w:t>
      </w:r>
      <w:r>
        <w:rPr>
          <w:rFonts w:hint="eastAsia" w:ascii="仿宋" w:hAnsi="仿宋" w:eastAsia="仿宋" w:cs="仿宋"/>
          <w:color w:val="auto"/>
          <w:sz w:val="32"/>
          <w:szCs w:val="32"/>
          <w:highlight w:val="none"/>
        </w:rPr>
        <w:t>竞赛、庆“七一.迎</w:t>
      </w:r>
      <w:r>
        <w:rPr>
          <w:rFonts w:hint="eastAsia" w:ascii="仿宋" w:hAnsi="仿宋" w:eastAsia="仿宋" w:cs="仿宋"/>
          <w:color w:val="auto"/>
          <w:sz w:val="32"/>
          <w:szCs w:val="32"/>
          <w:highlight w:val="none"/>
          <w:lang w:val="en-US" w:eastAsia="zh-CN"/>
        </w:rPr>
        <w:t>国庆</w:t>
      </w:r>
      <w:r>
        <w:rPr>
          <w:rFonts w:hint="eastAsia" w:ascii="仿宋" w:hAnsi="仿宋" w:eastAsia="仿宋" w:cs="仿宋"/>
          <w:color w:val="auto"/>
          <w:sz w:val="32"/>
          <w:szCs w:val="32"/>
          <w:highlight w:val="none"/>
        </w:rPr>
        <w:t>”等活动。二是针对节日点，对离退休党员教师进行慰问，</w:t>
      </w:r>
      <w:r>
        <w:rPr>
          <w:rFonts w:hint="eastAsia" w:ascii="仿宋" w:hAnsi="仿宋" w:eastAsia="仿宋" w:cs="仿宋"/>
          <w:color w:val="auto"/>
          <w:sz w:val="32"/>
          <w:szCs w:val="32"/>
          <w:highlight w:val="none"/>
          <w:lang w:val="en-US" w:eastAsia="zh-CN"/>
        </w:rPr>
        <w:t>七一专门慰问了部分</w:t>
      </w:r>
      <w:r>
        <w:rPr>
          <w:rFonts w:hint="eastAsia" w:ascii="仿宋" w:hAnsi="仿宋" w:eastAsia="仿宋" w:cs="仿宋"/>
          <w:color w:val="auto"/>
          <w:sz w:val="32"/>
          <w:szCs w:val="32"/>
          <w:highlight w:val="none"/>
        </w:rPr>
        <w:t>退休教师。三是开展“党员固定日”活动</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本</w:t>
      </w:r>
      <w:r>
        <w:rPr>
          <w:rFonts w:hint="eastAsia" w:ascii="仿宋" w:hAnsi="仿宋" w:eastAsia="仿宋" w:cs="仿宋"/>
          <w:color w:val="auto"/>
          <w:sz w:val="32"/>
          <w:szCs w:val="32"/>
          <w:highlight w:val="none"/>
          <w:lang w:val="en-US" w:eastAsia="zh-CN"/>
        </w:rPr>
        <w:t>年度</w:t>
      </w:r>
      <w:r>
        <w:rPr>
          <w:rFonts w:hint="eastAsia" w:ascii="仿宋" w:hAnsi="仿宋" w:eastAsia="仿宋" w:cs="仿宋"/>
          <w:color w:val="auto"/>
          <w:sz w:val="32"/>
          <w:szCs w:val="32"/>
          <w:highlight w:val="none"/>
        </w:rPr>
        <w:t>开展党员固定日活动</w:t>
      </w:r>
      <w:r>
        <w:rPr>
          <w:rFonts w:hint="eastAsia" w:ascii="仿宋" w:hAnsi="仿宋" w:eastAsia="仿宋" w:cs="仿宋"/>
          <w:color w:val="auto"/>
          <w:sz w:val="32"/>
          <w:szCs w:val="32"/>
          <w:highlight w:val="none"/>
          <w:lang w:val="en-US" w:eastAsia="zh-CN"/>
        </w:rPr>
        <w:t>10</w:t>
      </w:r>
      <w:r>
        <w:rPr>
          <w:rFonts w:hint="eastAsia" w:ascii="仿宋" w:hAnsi="仿宋" w:eastAsia="仿宋" w:cs="仿宋"/>
          <w:color w:val="auto"/>
          <w:sz w:val="32"/>
          <w:szCs w:val="32"/>
          <w:highlight w:val="none"/>
        </w:rPr>
        <w:t>次，发挥党员的先锋模范带头作用。</w:t>
      </w:r>
    </w:p>
    <w:p>
      <w:pPr>
        <w:keepNext w:val="0"/>
        <w:keepLines w:val="0"/>
        <w:pageBreakBefore w:val="0"/>
        <w:numPr>
          <w:ilvl w:val="0"/>
          <w:numId w:val="0"/>
        </w:numPr>
        <w:kinsoku/>
        <w:wordWrap/>
        <w:overflowPunct/>
        <w:topLinePunct w:val="0"/>
        <w:autoSpaceDE w:val="0"/>
        <w:autoSpaceDN/>
        <w:bidi w:val="0"/>
        <w:adjustRightInd/>
        <w:spacing w:before="0" w:beforeAutospacing="0" w:after="0" w:line="360" w:lineRule="auto"/>
        <w:ind w:leftChars="0" w:firstLine="640" w:firstLineChars="200"/>
        <w:rPr>
          <w:rFonts w:hint="eastAsia" w:ascii="仿宋" w:hAnsi="仿宋" w:eastAsia="仿宋" w:cs="仿宋"/>
          <w:color w:val="auto"/>
          <w:sz w:val="32"/>
          <w:szCs w:val="32"/>
          <w:highlight w:val="none"/>
        </w:rPr>
      </w:pPr>
      <w:r>
        <w:rPr>
          <w:rFonts w:hint="eastAsia" w:ascii="仿宋" w:hAnsi="仿宋" w:eastAsia="仿宋" w:cs="仿宋"/>
          <w:b w:val="0"/>
          <w:bCs w:val="0"/>
          <w:color w:val="auto"/>
          <w:sz w:val="32"/>
          <w:szCs w:val="32"/>
          <w:highlight w:val="none"/>
          <w:lang w:val="en-US" w:eastAsia="zh-CN"/>
        </w:rPr>
        <w:t>（二）育人环境有改善</w:t>
      </w:r>
    </w:p>
    <w:p>
      <w:pPr>
        <w:keepNext w:val="0"/>
        <w:keepLines w:val="0"/>
        <w:pageBreakBefore w:val="0"/>
        <w:numPr>
          <w:ilvl w:val="0"/>
          <w:numId w:val="0"/>
        </w:numPr>
        <w:kinsoku/>
        <w:wordWrap/>
        <w:overflowPunct/>
        <w:topLinePunct w:val="0"/>
        <w:autoSpaceDE w:val="0"/>
        <w:autoSpaceDN/>
        <w:bidi w:val="0"/>
        <w:adjustRightInd/>
        <w:spacing w:before="0" w:beforeAutospacing="0" w:after="0" w:line="360" w:lineRule="auto"/>
        <w:ind w:leftChars="0" w:firstLine="643" w:firstLineChars="200"/>
        <w:rPr>
          <w:rFonts w:hint="eastAsia" w:ascii="仿宋" w:hAnsi="仿宋" w:eastAsia="仿宋" w:cs="仿宋"/>
          <w:color w:val="auto"/>
          <w:sz w:val="32"/>
          <w:szCs w:val="32"/>
          <w:highlight w:val="none"/>
        </w:rPr>
      </w:pPr>
      <w:r>
        <w:rPr>
          <w:rFonts w:hint="eastAsia" w:ascii="仿宋" w:hAnsi="仿宋" w:eastAsia="仿宋" w:cs="仿宋"/>
          <w:b/>
          <w:bCs/>
          <w:color w:val="auto"/>
          <w:sz w:val="32"/>
          <w:szCs w:val="32"/>
          <w:highlight w:val="none"/>
          <w:lang w:val="en-US" w:eastAsia="zh-CN"/>
        </w:rPr>
        <w:t>1、学校基建有改善。</w:t>
      </w:r>
      <w:r>
        <w:rPr>
          <w:rFonts w:hint="eastAsia" w:ascii="仿宋" w:hAnsi="仿宋" w:eastAsia="仿宋" w:cs="仿宋"/>
          <w:color w:val="auto"/>
          <w:sz w:val="32"/>
          <w:szCs w:val="32"/>
          <w:highlight w:val="none"/>
        </w:rPr>
        <w:t>2021年秋季，我校实施</w:t>
      </w:r>
      <w:r>
        <w:rPr>
          <w:rFonts w:hint="eastAsia" w:ascii="仿宋" w:hAnsi="仿宋" w:eastAsia="仿宋" w:cs="仿宋"/>
          <w:color w:val="auto"/>
          <w:sz w:val="32"/>
          <w:szCs w:val="32"/>
          <w:highlight w:val="none"/>
          <w:lang w:eastAsia="zh-CN"/>
        </w:rPr>
        <w:t>了</w:t>
      </w:r>
      <w:r>
        <w:rPr>
          <w:rFonts w:hint="eastAsia" w:ascii="仿宋" w:hAnsi="仿宋" w:eastAsia="仿宋" w:cs="仿宋"/>
          <w:color w:val="auto"/>
          <w:sz w:val="32"/>
          <w:szCs w:val="32"/>
          <w:highlight w:val="none"/>
        </w:rPr>
        <w:t xml:space="preserve">薄弱环节改善与能力提升项目工程，2021年9月立项，2021年10月25日开始实施，其实施的内容为：宿舍楼、食堂屋面治漏；改造校园雨水管网及校大门石墙面美化。2021年11月28日完成了竣工验收；现已完成了项目审计工作。 </w:t>
      </w:r>
    </w:p>
    <w:p>
      <w:pPr>
        <w:keepNext w:val="0"/>
        <w:keepLines w:val="0"/>
        <w:pageBreakBefore w:val="0"/>
        <w:kinsoku/>
        <w:wordWrap/>
        <w:overflowPunct/>
        <w:topLinePunct w:val="0"/>
        <w:autoSpaceDE w:val="0"/>
        <w:autoSpaceDN/>
        <w:bidi w:val="0"/>
        <w:adjustRightInd/>
        <w:spacing w:before="0" w:beforeAutospacing="0" w:after="0" w:line="360" w:lineRule="auto"/>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2、</w:t>
      </w:r>
      <w:r>
        <w:rPr>
          <w:rFonts w:hint="eastAsia" w:ascii="仿宋" w:hAnsi="仿宋" w:eastAsia="仿宋" w:cs="仿宋"/>
          <w:b/>
          <w:bCs/>
          <w:color w:val="auto"/>
          <w:sz w:val="32"/>
          <w:szCs w:val="32"/>
          <w:highlight w:val="none"/>
          <w:lang w:val="en-US" w:eastAsia="zh-CN"/>
        </w:rPr>
        <w:t>教师权益有体现。</w:t>
      </w:r>
      <w:r>
        <w:rPr>
          <w:rFonts w:hint="eastAsia" w:ascii="仿宋" w:hAnsi="仿宋" w:eastAsia="仿宋" w:cs="仿宋"/>
          <w:color w:val="auto"/>
          <w:sz w:val="32"/>
          <w:szCs w:val="32"/>
          <w:highlight w:val="none"/>
        </w:rPr>
        <w:t>加强了工会组织建设，健全了学校工会组织机构，完善了各项制度；认真组织每期一次的教代会，进一步完善了教代会制度；一年来，共组织召开了4次教代会，讨论和完善了教师绩效分配制度、教师评职晋级等相关制度，使教职工的民主权益得到充分保证，提高了教职工参与学校管理的积极性和主人翁责任感。</w:t>
      </w:r>
    </w:p>
    <w:p>
      <w:pPr>
        <w:keepNext w:val="0"/>
        <w:keepLines w:val="0"/>
        <w:pageBreakBefore w:val="0"/>
        <w:kinsoku/>
        <w:wordWrap/>
        <w:overflowPunct/>
        <w:topLinePunct w:val="0"/>
        <w:autoSpaceDE w:val="0"/>
        <w:autoSpaceDN/>
        <w:bidi w:val="0"/>
        <w:adjustRightInd/>
        <w:spacing w:before="0" w:beforeAutospacing="0" w:after="0" w:line="360" w:lineRule="auto"/>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3、</w:t>
      </w:r>
      <w:r>
        <w:rPr>
          <w:rFonts w:hint="eastAsia" w:ascii="仿宋" w:hAnsi="仿宋" w:eastAsia="仿宋" w:cs="仿宋"/>
          <w:b/>
          <w:bCs/>
          <w:color w:val="auto"/>
          <w:sz w:val="32"/>
          <w:szCs w:val="32"/>
          <w:highlight w:val="none"/>
          <w:lang w:val="en-US" w:eastAsia="zh-CN"/>
        </w:rPr>
        <w:t>逢年过节有“温暖”。</w:t>
      </w:r>
      <w:r>
        <w:rPr>
          <w:rFonts w:hint="eastAsia" w:ascii="仿宋" w:hAnsi="仿宋" w:eastAsia="仿宋" w:cs="仿宋"/>
          <w:color w:val="auto"/>
          <w:sz w:val="32"/>
          <w:szCs w:val="32"/>
          <w:highlight w:val="none"/>
        </w:rPr>
        <w:t xml:space="preserve">坚持开展送温暖活动，每逢重阳节、春节等重大节日，都要组织行政领导，走访慰问退休教师、生病教师把真诚的祝福送到他们的心坎里。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color w:val="auto"/>
          <w:sz w:val="32"/>
          <w:szCs w:val="32"/>
          <w:highlight w:val="none"/>
          <w:lang w:val="en-US" w:eastAsia="zh-CN"/>
        </w:rPr>
      </w:pPr>
      <w:r>
        <w:rPr>
          <w:rFonts w:hint="eastAsia" w:ascii="仿宋" w:hAnsi="仿宋" w:eastAsia="仿宋" w:cs="仿宋"/>
          <w:b w:val="0"/>
          <w:bCs w:val="0"/>
          <w:color w:val="auto"/>
          <w:sz w:val="32"/>
          <w:szCs w:val="32"/>
          <w:highlight w:val="none"/>
          <w:lang w:val="en-US" w:eastAsia="zh-CN"/>
        </w:rPr>
        <w:t>（三）教育科研有突破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1、抓实抓细常规教研活动，每月两轮教研活动，及时听评课，做好评课记录。通过教研活动，在一定程度上促进了老师们的课堂教学能力。</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2、安排行政班子成员每月一次在教师例会上开展关于敬业、责任感的专题讲座，促进了教师职业道德建设，提升了全体教师德行修炼。</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3、培养青年教师教学业务能力即青蓝工程结对帮扶工作，召开青年教师座谈会。老教师指导青年教师课堂教学能力，管理学生的能力。青年教师教会老教师教学信息化手段。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4、每月组织一次学科教师观摩名师优课，引导教师学习高效课堂。</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5、将梅文化与学校德育活动大融合，以活动促宣传，进一步提升学生梅品质。</w:t>
      </w:r>
    </w:p>
    <w:p>
      <w:pPr>
        <w:pStyle w:val="2"/>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（四）教导工作有创意</w:t>
      </w:r>
    </w:p>
    <w:p>
      <w:pPr>
        <w:pStyle w:val="2"/>
        <w:rPr>
          <w:rFonts w:hint="eastAsia" w:ascii="仿宋" w:hAnsi="仿宋" w:eastAsia="仿宋" w:cs="仿宋"/>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1、狠抓招生工作。</w:t>
      </w:r>
      <w:r>
        <w:rPr>
          <w:rFonts w:hint="eastAsia" w:ascii="仿宋" w:hAnsi="仿宋" w:eastAsia="仿宋" w:cs="仿宋"/>
          <w:color w:val="auto"/>
          <w:sz w:val="32"/>
          <w:szCs w:val="32"/>
          <w:highlight w:val="none"/>
          <w:lang w:val="en-US" w:eastAsia="zh-CN"/>
        </w:rPr>
        <w:t>为了促进学校教学工作顺利开展，推动教学成绩有进步，学校修订了绩效考核办法中教学业绩奖，加大对教学成绩的考核力度。为此教导处先后举行了4次成绩分析会、成绩推进会。教导主任张梅同志每次都对各班各科成绩进行深入细致的分析，为各班学生三率进行打桩定位，有助于科任教师准确把握考试排名指标导向，用力用在刀刃上。同时，学校对成绩排名进步6个名次以上的教师实施奖励，对成绩排名下滑的教师也实施了相应的惩罚措施。另外修订了招生工作考核方案，加大招生奖励力度，本学期学校已开展0-17岁少年儿童摸排工作2次，及时上报了相关数据。</w:t>
      </w:r>
    </w:p>
    <w:p>
      <w:pPr>
        <w:pStyle w:val="2"/>
        <w:rPr>
          <w:rFonts w:hint="eastAsia" w:ascii="仿宋" w:hAnsi="仿宋" w:eastAsia="仿宋" w:cs="仿宋"/>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2、课外活动有花样。</w:t>
      </w:r>
      <w:r>
        <w:rPr>
          <w:rFonts w:hint="eastAsia" w:ascii="仿宋" w:hAnsi="仿宋" w:eastAsia="仿宋" w:cs="仿宋"/>
          <w:color w:val="auto"/>
          <w:sz w:val="32"/>
          <w:szCs w:val="32"/>
          <w:highlight w:val="none"/>
          <w:lang w:val="en-US" w:eastAsia="zh-CN"/>
        </w:rPr>
        <w:t>搞好课后延时服务，培养学生全面发展。2021秋开展了课后服务室外活动展示——趣味运动会；2022春又开展了课后服务室内活动展示——六一节目表演和静态作品展。</w:t>
      </w:r>
    </w:p>
    <w:p>
      <w:pPr>
        <w:keepNext w:val="0"/>
        <w:keepLines w:val="0"/>
        <w:pageBreakBefore w:val="0"/>
        <w:kinsoku/>
        <w:wordWrap/>
        <w:overflowPunct/>
        <w:topLinePunct w:val="0"/>
        <w:autoSpaceDN/>
        <w:bidi w:val="0"/>
        <w:adjustRightInd/>
        <w:ind w:firstLine="640" w:firstLineChars="200"/>
        <w:jc w:val="both"/>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（五）德育工作有内涵</w:t>
      </w:r>
    </w:p>
    <w:p>
      <w:pPr>
        <w:keepNext w:val="0"/>
        <w:keepLines w:val="0"/>
        <w:pageBreakBefore w:val="0"/>
        <w:kinsoku/>
        <w:wordWrap/>
        <w:overflowPunct/>
        <w:topLinePunct w:val="0"/>
        <w:autoSpaceDN/>
        <w:bidi w:val="0"/>
        <w:adjustRightInd/>
        <w:ind w:left="1" w:firstLine="643"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1、以德收心进常态。</w:t>
      </w:r>
      <w:r>
        <w:rPr>
          <w:rFonts w:hint="eastAsia" w:ascii="仿宋" w:hAnsi="仿宋" w:eastAsia="仿宋" w:cs="仿宋"/>
          <w:color w:val="auto"/>
          <w:sz w:val="32"/>
          <w:szCs w:val="32"/>
          <w:highlight w:val="none"/>
          <w:lang w:eastAsia="zh-CN"/>
        </w:rPr>
        <w:t>每期</w:t>
      </w:r>
      <w:r>
        <w:rPr>
          <w:rFonts w:hint="eastAsia" w:ascii="仿宋" w:hAnsi="仿宋" w:eastAsia="仿宋" w:cs="仿宋"/>
          <w:color w:val="auto"/>
          <w:sz w:val="32"/>
          <w:szCs w:val="32"/>
          <w:highlight w:val="none"/>
        </w:rPr>
        <w:t>认真扎实开展“开学第一课”做好学生开学收心工作</w:t>
      </w:r>
      <w:r>
        <w:rPr>
          <w:rFonts w:hint="eastAsia" w:ascii="仿宋" w:hAnsi="仿宋" w:eastAsia="仿宋" w:cs="仿宋"/>
          <w:color w:val="auto"/>
          <w:sz w:val="32"/>
          <w:szCs w:val="32"/>
          <w:highlight w:val="none"/>
          <w:lang w:eastAsia="zh-CN"/>
        </w:rPr>
        <w:t>，让学生快速进入学校学习模式。尤其是开展了</w:t>
      </w:r>
      <w:r>
        <w:rPr>
          <w:rFonts w:hint="eastAsia" w:ascii="仿宋" w:hAnsi="仿宋" w:eastAsia="仿宋" w:cs="仿宋"/>
          <w:color w:val="auto"/>
          <w:sz w:val="32"/>
          <w:szCs w:val="32"/>
          <w:highlight w:val="none"/>
        </w:rPr>
        <w:t>“开学安全第一课</w:t>
      </w:r>
      <w:r>
        <w:rPr>
          <w:rFonts w:hint="eastAsia" w:ascii="仿宋" w:hAnsi="仿宋" w:eastAsia="仿宋" w:cs="仿宋"/>
          <w:color w:val="auto"/>
          <w:sz w:val="32"/>
          <w:szCs w:val="32"/>
          <w:highlight w:val="none"/>
          <w:lang w:eastAsia="zh-CN"/>
        </w:rPr>
        <w:t>”，树立学生的安全意识。</w:t>
      </w:r>
    </w:p>
    <w:p>
      <w:pPr>
        <w:keepNext w:val="0"/>
        <w:keepLines w:val="0"/>
        <w:pageBreakBefore w:val="0"/>
        <w:kinsoku/>
        <w:wordWrap/>
        <w:overflowPunct/>
        <w:topLinePunct w:val="0"/>
        <w:autoSpaceDN/>
        <w:bidi w:val="0"/>
        <w:adjustRightInd/>
        <w:ind w:firstLine="643" w:firstLineChars="200"/>
        <w:rPr>
          <w:rFonts w:hint="eastAsia" w:ascii="仿宋" w:hAnsi="仿宋" w:eastAsia="仿宋" w:cs="仿宋"/>
          <w:color w:val="auto"/>
          <w:sz w:val="32"/>
          <w:szCs w:val="32"/>
          <w:highlight w:val="none"/>
          <w:lang w:eastAsia="zh-CN"/>
        </w:rPr>
      </w:pPr>
      <w:r>
        <w:rPr>
          <w:rFonts w:hint="eastAsia" w:ascii="仿宋" w:hAnsi="仿宋" w:eastAsia="仿宋" w:cs="仿宋"/>
          <w:b/>
          <w:bCs/>
          <w:color w:val="auto"/>
          <w:sz w:val="32"/>
          <w:szCs w:val="32"/>
          <w:highlight w:val="none"/>
          <w:lang w:val="en-US" w:eastAsia="zh-CN"/>
        </w:rPr>
        <w:t>2、大会小会突主题。</w:t>
      </w:r>
      <w:r>
        <w:rPr>
          <w:rFonts w:hint="eastAsia" w:ascii="仿宋" w:hAnsi="仿宋" w:eastAsia="仿宋" w:cs="仿宋"/>
          <w:b w:val="0"/>
          <w:bCs w:val="0"/>
          <w:color w:val="auto"/>
          <w:sz w:val="32"/>
          <w:szCs w:val="32"/>
          <w:highlight w:val="none"/>
          <w:lang w:val="en-US" w:eastAsia="zh-CN"/>
        </w:rPr>
        <w:t>一年来，德育处严格听从局里德育工作安排，认真、及时开展</w:t>
      </w:r>
      <w:r>
        <w:rPr>
          <w:rFonts w:hint="eastAsia" w:ascii="仿宋" w:hAnsi="仿宋" w:eastAsia="仿宋" w:cs="仿宋"/>
          <w:color w:val="auto"/>
          <w:sz w:val="32"/>
          <w:szCs w:val="32"/>
          <w:highlight w:val="none"/>
        </w:rPr>
        <w:t>防邪反邪主题队会</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禁毒主题队会</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清明节主题队会</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森林防火主题队会</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环境保护主题队会</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心理健康主题队会</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法治教育主题队会</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防溺水主题队会</w:t>
      </w:r>
      <w:r>
        <w:rPr>
          <w:rFonts w:hint="eastAsia" w:ascii="仿宋" w:hAnsi="仿宋" w:eastAsia="仿宋" w:cs="仿宋"/>
          <w:color w:val="auto"/>
          <w:sz w:val="32"/>
          <w:szCs w:val="32"/>
          <w:highlight w:val="none"/>
          <w:lang w:eastAsia="zh-CN"/>
        </w:rPr>
        <w:t>、交通安全队会、预防电信诈骗队会，预防欺凌主题队会。</w:t>
      </w:r>
    </w:p>
    <w:p>
      <w:pPr>
        <w:pStyle w:val="4"/>
        <w:bidi w:val="0"/>
        <w:rPr>
          <w:rFonts w:hint="eastAsia"/>
          <w:color w:val="auto"/>
          <w:highlight w:val="none"/>
        </w:rPr>
      </w:pPr>
      <w:r>
        <w:rPr>
          <w:rFonts w:hint="eastAsia"/>
          <w:color w:val="auto"/>
          <w:highlight w:val="none"/>
        </w:rPr>
        <w:t>第二部分 2021年度单位决算情况说明</w:t>
      </w:r>
      <w:bookmarkEnd w:id="31"/>
      <w:bookmarkEnd w:id="32"/>
      <w:bookmarkEnd w:id="33"/>
      <w:bookmarkEnd w:id="34"/>
    </w:p>
    <w:p>
      <w:pPr>
        <w:pStyle w:val="5"/>
        <w:numPr>
          <w:ilvl w:val="0"/>
          <w:numId w:val="2"/>
        </w:numPr>
        <w:bidi w:val="0"/>
        <w:ind w:left="0" w:leftChars="0" w:firstLine="643" w:firstLineChars="200"/>
        <w:rPr>
          <w:rFonts w:hint="eastAsia"/>
          <w:color w:val="auto"/>
          <w:highlight w:val="none"/>
        </w:rPr>
      </w:pPr>
      <w:bookmarkStart w:id="35" w:name="_Toc28278"/>
      <w:bookmarkStart w:id="36" w:name="_Toc15396603"/>
      <w:bookmarkStart w:id="37" w:name="_Toc15377205"/>
      <w:bookmarkStart w:id="38" w:name="_Toc5075"/>
      <w:r>
        <w:rPr>
          <w:rFonts w:hint="eastAsia"/>
          <w:color w:val="auto"/>
          <w:highlight w:val="none"/>
        </w:rPr>
        <w:t>收入支出决算总体情况说明</w:t>
      </w:r>
      <w:bookmarkEnd w:id="35"/>
      <w:bookmarkEnd w:id="36"/>
      <w:bookmarkEnd w:id="37"/>
      <w:bookmarkEnd w:id="38"/>
    </w:p>
    <w:p>
      <w:pPr>
        <w:spacing w:line="600" w:lineRule="exact"/>
        <w:ind w:firstLine="640" w:firstLineChars="200"/>
        <w:outlineLvl w:val="1"/>
        <w:rPr>
          <w:rFonts w:hint="eastAsia" w:ascii="仿宋" w:hAnsi="仿宋" w:eastAsia="仿宋" w:cs="仿宋"/>
          <w:color w:val="auto"/>
          <w:highlight w:val="none"/>
          <w:lang w:eastAsia="zh-CN"/>
        </w:rPr>
      </w:pPr>
      <w:bookmarkStart w:id="39" w:name="_Toc20192"/>
      <w:bookmarkStart w:id="40" w:name="_Toc20585"/>
      <w:bookmarkStart w:id="41" w:name="_Toc9801"/>
      <w:r>
        <w:rPr>
          <w:rFonts w:hint="eastAsia" w:ascii="仿宋" w:hAnsi="仿宋" w:eastAsia="仿宋" w:cs="仿宋"/>
          <w:color w:val="auto"/>
          <w:sz w:val="32"/>
          <w:szCs w:val="32"/>
          <w:highlight w:val="none"/>
        </w:rPr>
        <w:t>2021年度收、支总计</w:t>
      </w:r>
      <w:r>
        <w:rPr>
          <w:rFonts w:hint="eastAsia" w:ascii="仿宋" w:hAnsi="仿宋" w:eastAsia="仿宋" w:cs="仿宋"/>
          <w:color w:val="auto"/>
          <w:sz w:val="32"/>
          <w:szCs w:val="32"/>
          <w:highlight w:val="none"/>
          <w:lang w:val="en-US" w:eastAsia="zh-CN"/>
        </w:rPr>
        <w:t>597.98</w:t>
      </w:r>
      <w:r>
        <w:rPr>
          <w:rFonts w:hint="eastAsia" w:ascii="仿宋" w:hAnsi="仿宋" w:eastAsia="仿宋" w:cs="仿宋"/>
          <w:color w:val="auto"/>
          <w:sz w:val="32"/>
          <w:szCs w:val="32"/>
          <w:highlight w:val="none"/>
        </w:rPr>
        <w:t>万元。与2020年相比，收、支总计各</w:t>
      </w:r>
      <w:r>
        <w:rPr>
          <w:rFonts w:hint="eastAsia" w:ascii="仿宋" w:hAnsi="仿宋" w:eastAsia="仿宋" w:cs="仿宋"/>
          <w:color w:val="auto"/>
          <w:sz w:val="32"/>
          <w:szCs w:val="32"/>
          <w:highlight w:val="none"/>
          <w:lang w:eastAsia="zh-CN"/>
        </w:rPr>
        <w:t>减少</w:t>
      </w:r>
      <w:r>
        <w:rPr>
          <w:rFonts w:hint="eastAsia" w:ascii="仿宋" w:hAnsi="仿宋" w:eastAsia="仿宋" w:cs="仿宋"/>
          <w:color w:val="auto"/>
          <w:sz w:val="32"/>
          <w:szCs w:val="32"/>
          <w:highlight w:val="none"/>
          <w:lang w:val="en-US" w:eastAsia="zh-CN"/>
        </w:rPr>
        <w:t>12.76</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lang w:eastAsia="zh-CN"/>
        </w:rPr>
        <w:t>减少</w:t>
      </w:r>
      <w:r>
        <w:rPr>
          <w:rFonts w:hint="eastAsia" w:ascii="仿宋" w:hAnsi="仿宋" w:eastAsia="仿宋" w:cs="仿宋"/>
          <w:color w:val="auto"/>
          <w:sz w:val="32"/>
          <w:szCs w:val="32"/>
          <w:highlight w:val="none"/>
          <w:lang w:val="en-US" w:eastAsia="zh-CN"/>
        </w:rPr>
        <w:t>2.09</w:t>
      </w:r>
      <w:r>
        <w:rPr>
          <w:rFonts w:hint="eastAsia" w:ascii="仿宋" w:hAnsi="仿宋" w:eastAsia="仿宋" w:cs="仿宋"/>
          <w:color w:val="auto"/>
          <w:sz w:val="32"/>
          <w:szCs w:val="32"/>
          <w:highlight w:val="none"/>
        </w:rPr>
        <w:t>%。主要变动原因是</w:t>
      </w:r>
      <w:r>
        <w:rPr>
          <w:rFonts w:hint="eastAsia" w:ascii="仿宋" w:hAnsi="仿宋" w:eastAsia="仿宋" w:cs="仿宋"/>
          <w:color w:val="auto"/>
          <w:sz w:val="32"/>
          <w:szCs w:val="32"/>
          <w:highlight w:val="none"/>
          <w:lang w:eastAsia="zh-CN"/>
        </w:rPr>
        <w:t>项目支出减少</w:t>
      </w:r>
      <w:r>
        <w:rPr>
          <w:rFonts w:hint="eastAsia" w:ascii="仿宋" w:hAnsi="仿宋" w:eastAsia="仿宋" w:cs="仿宋"/>
          <w:color w:val="auto"/>
          <w:sz w:val="32"/>
          <w:szCs w:val="32"/>
          <w:highlight w:val="none"/>
        </w:rPr>
        <w:t>。</w:t>
      </w:r>
      <w:bookmarkEnd w:id="39"/>
      <w:bookmarkEnd w:id="40"/>
      <w:bookmarkEnd w:id="41"/>
    </w:p>
    <w:p>
      <w:pPr>
        <w:pStyle w:val="5"/>
        <w:numPr>
          <w:ilvl w:val="0"/>
          <w:numId w:val="2"/>
        </w:numPr>
        <w:bidi w:val="0"/>
        <w:ind w:left="0" w:leftChars="0" w:firstLine="643" w:firstLineChars="200"/>
        <w:rPr>
          <w:rFonts w:hint="eastAsia"/>
          <w:color w:val="auto"/>
          <w:highlight w:val="none"/>
        </w:rPr>
      </w:pPr>
      <w:bookmarkStart w:id="42" w:name="_Toc9393"/>
      <w:bookmarkStart w:id="43" w:name="_Toc15377206"/>
      <w:bookmarkStart w:id="44" w:name="_Toc15396604"/>
      <w:bookmarkStart w:id="45" w:name="_Toc11923"/>
      <w:r>
        <w:rPr>
          <w:rFonts w:hint="eastAsia"/>
          <w:color w:val="auto"/>
          <w:highlight w:val="none"/>
          <w:lang w:eastAsia="zh-CN"/>
        </w:rPr>
        <w:drawing>
          <wp:anchor distT="0" distB="0" distL="114300" distR="114300" simplePos="0" relativeHeight="251665408" behindDoc="0" locked="0" layoutInCell="1" allowOverlap="1">
            <wp:simplePos x="0" y="0"/>
            <wp:positionH relativeFrom="column">
              <wp:posOffset>207010</wp:posOffset>
            </wp:positionH>
            <wp:positionV relativeFrom="paragraph">
              <wp:posOffset>37465</wp:posOffset>
            </wp:positionV>
            <wp:extent cx="5080000" cy="2125345"/>
            <wp:effectExtent l="4445" t="4445" r="20955" b="22860"/>
            <wp:wrapTopAndBottom/>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anchor>
        </w:drawing>
      </w:r>
      <w:r>
        <w:rPr>
          <w:rFonts w:hint="eastAsia"/>
          <w:color w:val="auto"/>
          <w:highlight w:val="none"/>
        </w:rPr>
        <w:t>收入决算情况说明</w:t>
      </w:r>
      <w:bookmarkEnd w:id="42"/>
      <w:bookmarkEnd w:id="43"/>
      <w:bookmarkEnd w:id="44"/>
      <w:bookmarkEnd w:id="45"/>
    </w:p>
    <w:p>
      <w:pPr>
        <w:spacing w:line="600" w:lineRule="exact"/>
        <w:ind w:firstLine="640" w:firstLineChars="200"/>
        <w:outlineLvl w:val="1"/>
        <w:rPr>
          <w:rFonts w:hint="eastAsia" w:ascii="仿宋" w:hAnsi="仿宋" w:eastAsia="仿宋"/>
          <w:color w:val="auto"/>
          <w:sz w:val="32"/>
          <w:szCs w:val="32"/>
          <w:highlight w:val="none"/>
        </w:rPr>
      </w:pPr>
      <w:bookmarkStart w:id="46" w:name="_Toc25597"/>
      <w:r>
        <w:rPr>
          <w:rFonts w:ascii="仿宋" w:hAnsi="仿宋" w:eastAsia="仿宋"/>
          <w:color w:val="auto"/>
          <w:sz w:val="32"/>
          <w:szCs w:val="32"/>
          <w:highlight w:val="none"/>
        </w:rPr>
        <w:t>20</w:t>
      </w:r>
      <w:r>
        <w:rPr>
          <w:rFonts w:hint="eastAsia" w:ascii="仿宋" w:hAnsi="仿宋" w:eastAsia="仿宋"/>
          <w:color w:val="auto"/>
          <w:sz w:val="32"/>
          <w:szCs w:val="32"/>
          <w:highlight w:val="none"/>
        </w:rPr>
        <w:t>21年本年收入合计</w:t>
      </w:r>
      <w:r>
        <w:rPr>
          <w:rFonts w:hint="eastAsia" w:ascii="仿宋" w:hAnsi="仿宋" w:eastAsia="仿宋"/>
          <w:color w:val="auto"/>
          <w:sz w:val="32"/>
          <w:szCs w:val="32"/>
          <w:highlight w:val="none"/>
          <w:lang w:val="en-US" w:eastAsia="zh-CN"/>
        </w:rPr>
        <w:t>597.98</w:t>
      </w:r>
      <w:r>
        <w:rPr>
          <w:rFonts w:hint="eastAsia" w:ascii="仿宋" w:hAnsi="仿宋" w:eastAsia="仿宋"/>
          <w:color w:val="auto"/>
          <w:sz w:val="32"/>
          <w:szCs w:val="32"/>
          <w:highlight w:val="none"/>
        </w:rPr>
        <w:t>万元，其中：一般公共预算财政拨款收入</w:t>
      </w:r>
      <w:r>
        <w:rPr>
          <w:rFonts w:hint="eastAsia" w:ascii="仿宋" w:hAnsi="仿宋" w:eastAsia="仿宋"/>
          <w:color w:val="auto"/>
          <w:sz w:val="32"/>
          <w:szCs w:val="32"/>
          <w:highlight w:val="none"/>
          <w:lang w:val="en-US" w:eastAsia="zh-CN"/>
        </w:rPr>
        <w:t>597.98</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46"/>
    </w:p>
    <w:p>
      <w:pPr>
        <w:pStyle w:val="2"/>
        <w:rPr>
          <w:rFonts w:hint="eastAsia" w:eastAsia="宋体"/>
          <w:color w:val="auto"/>
          <w:highlight w:val="none"/>
          <w:lang w:eastAsia="zh-CN"/>
        </w:rPr>
      </w:pPr>
      <w:r>
        <w:rPr>
          <w:rFonts w:hint="eastAsia" w:eastAsia="宋体"/>
          <w:color w:val="auto"/>
          <w:highlight w:val="none"/>
          <w:lang w:eastAsia="zh-CN"/>
        </w:rPr>
        <w:drawing>
          <wp:anchor distT="0" distB="0" distL="114300" distR="114300" simplePos="0" relativeHeight="251660288" behindDoc="0" locked="0" layoutInCell="1" allowOverlap="1">
            <wp:simplePos x="0" y="0"/>
            <wp:positionH relativeFrom="column">
              <wp:posOffset>-19050</wp:posOffset>
            </wp:positionH>
            <wp:positionV relativeFrom="paragraph">
              <wp:posOffset>17780</wp:posOffset>
            </wp:positionV>
            <wp:extent cx="5584825" cy="2199640"/>
            <wp:effectExtent l="4445" t="4445" r="11430" b="5715"/>
            <wp:wrapTopAndBottom/>
            <wp:docPr id="13" name="图表 13" descr="7b0a202020202263686172745265734964223a20223230343734353235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p>
    <w:p>
      <w:pPr>
        <w:pStyle w:val="5"/>
        <w:bidi w:val="0"/>
        <w:rPr>
          <w:color w:val="auto"/>
          <w:highlight w:val="none"/>
        </w:rPr>
      </w:pPr>
      <w:bookmarkStart w:id="47" w:name="_Toc12816"/>
      <w:bookmarkStart w:id="48" w:name="_Toc15377207"/>
      <w:bookmarkStart w:id="49" w:name="_Toc15396605"/>
      <w:r>
        <w:rPr>
          <w:rFonts w:hint="eastAsia"/>
          <w:color w:val="auto"/>
          <w:highlight w:val="none"/>
          <w:lang w:eastAsia="zh-CN"/>
        </w:rPr>
        <w:t>三、</w:t>
      </w:r>
      <w:r>
        <w:rPr>
          <w:rFonts w:hint="eastAsia"/>
          <w:color w:val="auto"/>
          <w:highlight w:val="none"/>
        </w:rPr>
        <w:t>支出决算情况说明</w:t>
      </w:r>
      <w:bookmarkEnd w:id="47"/>
      <w:bookmarkEnd w:id="48"/>
      <w:bookmarkEnd w:id="49"/>
    </w:p>
    <w:p>
      <w:pPr>
        <w:spacing w:line="600" w:lineRule="exact"/>
        <w:ind w:firstLine="640" w:firstLineChars="200"/>
        <w:outlineLvl w:val="1"/>
        <w:rPr>
          <w:rFonts w:ascii="仿宋" w:hAnsi="仿宋" w:eastAsia="仿宋"/>
          <w:color w:val="auto"/>
          <w:sz w:val="32"/>
          <w:szCs w:val="32"/>
          <w:highlight w:val="none"/>
        </w:rPr>
      </w:pPr>
      <w:bookmarkStart w:id="50" w:name="_Toc31076"/>
      <w:r>
        <w:rPr>
          <w:rFonts w:hint="eastAsia" w:ascii="仿宋" w:hAnsi="仿宋" w:eastAsia="仿宋"/>
          <w:color w:val="auto"/>
          <w:sz w:val="32"/>
          <w:szCs w:val="32"/>
          <w:highlight w:val="none"/>
          <w:shd w:val="pct10" w:color="auto" w:fill="FFFFFF"/>
        </w:rPr>
        <w:drawing>
          <wp:anchor distT="0" distB="0" distL="114300" distR="114300" simplePos="0" relativeHeight="251659264" behindDoc="0" locked="0" layoutInCell="1" allowOverlap="1">
            <wp:simplePos x="0" y="0"/>
            <wp:positionH relativeFrom="column">
              <wp:posOffset>43815</wp:posOffset>
            </wp:positionH>
            <wp:positionV relativeFrom="paragraph">
              <wp:posOffset>889635</wp:posOffset>
            </wp:positionV>
            <wp:extent cx="5080000" cy="2929255"/>
            <wp:effectExtent l="4445" t="4445" r="20955" b="19050"/>
            <wp:wrapTopAndBottom/>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Pr>
          <w:rFonts w:ascii="仿宋" w:hAnsi="仿宋" w:eastAsia="仿宋"/>
          <w:color w:val="auto"/>
          <w:sz w:val="32"/>
          <w:szCs w:val="32"/>
          <w:highlight w:val="none"/>
        </w:rPr>
        <w:t>20</w:t>
      </w:r>
      <w:r>
        <w:rPr>
          <w:rFonts w:hint="eastAsia" w:ascii="仿宋" w:hAnsi="仿宋" w:eastAsia="仿宋"/>
          <w:color w:val="auto"/>
          <w:sz w:val="32"/>
          <w:szCs w:val="32"/>
          <w:highlight w:val="none"/>
        </w:rPr>
        <w:t>21年本年支出合计</w:t>
      </w:r>
      <w:r>
        <w:rPr>
          <w:rFonts w:hint="eastAsia" w:ascii="仿宋" w:hAnsi="仿宋" w:eastAsia="仿宋"/>
          <w:color w:val="auto"/>
          <w:sz w:val="32"/>
          <w:szCs w:val="32"/>
          <w:highlight w:val="none"/>
          <w:lang w:eastAsia="zh-CN"/>
        </w:rPr>
        <w:t>597.98</w:t>
      </w:r>
      <w:r>
        <w:rPr>
          <w:rFonts w:hint="eastAsia" w:ascii="仿宋" w:hAnsi="仿宋" w:eastAsia="仿宋"/>
          <w:color w:val="auto"/>
          <w:sz w:val="32"/>
          <w:szCs w:val="32"/>
          <w:highlight w:val="none"/>
        </w:rPr>
        <w:t>万元，其中：基本支出</w:t>
      </w:r>
      <w:r>
        <w:rPr>
          <w:rFonts w:hint="eastAsia" w:ascii="仿宋" w:hAnsi="仿宋" w:eastAsia="仿宋"/>
          <w:color w:val="auto"/>
          <w:sz w:val="32"/>
          <w:szCs w:val="32"/>
          <w:highlight w:val="none"/>
          <w:lang w:val="en-US" w:eastAsia="zh-CN"/>
        </w:rPr>
        <w:t>412.98</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69.06</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w:t>
      </w:r>
      <w:r>
        <w:rPr>
          <w:rFonts w:hint="eastAsia" w:ascii="仿宋" w:hAnsi="仿宋" w:eastAsia="仿宋"/>
          <w:color w:val="auto"/>
          <w:sz w:val="32"/>
          <w:szCs w:val="32"/>
          <w:highlight w:val="none"/>
          <w:lang w:val="en-US" w:eastAsia="zh-CN"/>
        </w:rPr>
        <w:t>185万</w:t>
      </w:r>
      <w:r>
        <w:rPr>
          <w:rFonts w:hint="eastAsia" w:ascii="仿宋" w:hAnsi="仿宋" w:eastAsia="仿宋"/>
          <w:color w:val="auto"/>
          <w:sz w:val="32"/>
          <w:szCs w:val="32"/>
          <w:highlight w:val="none"/>
        </w:rPr>
        <w:t>元，占</w:t>
      </w:r>
      <w:r>
        <w:rPr>
          <w:rFonts w:hint="eastAsia" w:ascii="仿宋" w:hAnsi="仿宋" w:eastAsia="仿宋"/>
          <w:color w:val="auto"/>
          <w:sz w:val="32"/>
          <w:szCs w:val="32"/>
          <w:highlight w:val="none"/>
          <w:lang w:val="en-US" w:eastAsia="zh-CN"/>
        </w:rPr>
        <w:t>30.94</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50"/>
    </w:p>
    <w:p>
      <w:pPr>
        <w:pStyle w:val="5"/>
        <w:bidi w:val="0"/>
        <w:rPr>
          <w:color w:val="auto"/>
          <w:highlight w:val="none"/>
        </w:rPr>
      </w:pPr>
      <w:bookmarkStart w:id="51" w:name="_Toc20083"/>
      <w:bookmarkStart w:id="52" w:name="_Toc15377208"/>
      <w:bookmarkStart w:id="53" w:name="_Toc15396606"/>
      <w:r>
        <w:rPr>
          <w:rFonts w:hint="eastAsia"/>
          <w:color w:val="auto"/>
          <w:highlight w:val="none"/>
        </w:rPr>
        <w:t>四、财政拨款收入支出决算总体情况说明</w:t>
      </w:r>
      <w:bookmarkEnd w:id="51"/>
      <w:bookmarkEnd w:id="52"/>
      <w:bookmarkEnd w:id="53"/>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21年财政拨款收、支总计</w:t>
      </w:r>
      <w:r>
        <w:rPr>
          <w:rFonts w:hint="eastAsia" w:ascii="仿宋" w:hAnsi="仿宋" w:eastAsia="仿宋"/>
          <w:color w:val="auto"/>
          <w:sz w:val="32"/>
          <w:szCs w:val="32"/>
          <w:highlight w:val="none"/>
          <w:lang w:val="en-US" w:eastAsia="zh-CN"/>
        </w:rPr>
        <w:t>597.98</w:t>
      </w:r>
      <w:r>
        <w:rPr>
          <w:rFonts w:hint="eastAsia" w:ascii="仿宋" w:hAnsi="仿宋" w:eastAsia="仿宋"/>
          <w:color w:val="auto"/>
          <w:sz w:val="32"/>
          <w:szCs w:val="32"/>
          <w:highlight w:val="none"/>
        </w:rPr>
        <w:t>万元。与</w:t>
      </w:r>
      <w:r>
        <w:rPr>
          <w:rFonts w:ascii="仿宋" w:hAnsi="仿宋" w:eastAsia="仿宋"/>
          <w:color w:val="auto"/>
          <w:sz w:val="32"/>
          <w:szCs w:val="32"/>
          <w:highlight w:val="none"/>
        </w:rPr>
        <w:t>20</w:t>
      </w:r>
      <w:r>
        <w:rPr>
          <w:rFonts w:hint="eastAsia" w:ascii="仿宋" w:hAnsi="仿宋" w:eastAsia="仿宋"/>
          <w:color w:val="auto"/>
          <w:sz w:val="32"/>
          <w:szCs w:val="32"/>
          <w:highlight w:val="none"/>
        </w:rPr>
        <w:t>20年相比，财政拨款收、支总计各</w:t>
      </w:r>
      <w:r>
        <w:rPr>
          <w:rFonts w:hint="eastAsia" w:ascii="仿宋" w:hAnsi="仿宋" w:eastAsia="仿宋"/>
          <w:color w:val="auto"/>
          <w:sz w:val="32"/>
          <w:szCs w:val="32"/>
          <w:highlight w:val="none"/>
          <w:lang w:eastAsia="zh-CN"/>
        </w:rPr>
        <w:t>减少</w:t>
      </w:r>
      <w:r>
        <w:rPr>
          <w:rFonts w:hint="eastAsia" w:ascii="仿宋" w:hAnsi="仿宋" w:eastAsia="仿宋"/>
          <w:color w:val="auto"/>
          <w:sz w:val="32"/>
          <w:szCs w:val="32"/>
          <w:highlight w:val="none"/>
          <w:lang w:val="en-US" w:eastAsia="zh-CN"/>
        </w:rPr>
        <w:t>12.76</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减少</w:t>
      </w:r>
      <w:r>
        <w:rPr>
          <w:rFonts w:hint="eastAsia" w:ascii="仿宋" w:hAnsi="仿宋" w:eastAsia="仿宋"/>
          <w:color w:val="auto"/>
          <w:sz w:val="32"/>
          <w:szCs w:val="32"/>
          <w:highlight w:val="none"/>
          <w:lang w:val="en-US" w:eastAsia="zh-CN"/>
        </w:rPr>
        <w:t>2.09</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项目支出减少</w:t>
      </w:r>
      <w:r>
        <w:rPr>
          <w:rFonts w:hint="eastAsia" w:ascii="仿宋" w:hAnsi="仿宋" w:eastAsia="仿宋"/>
          <w:color w:val="auto"/>
          <w:sz w:val="32"/>
          <w:szCs w:val="32"/>
          <w:highlight w:val="none"/>
        </w:rPr>
        <w:t>。</w:t>
      </w:r>
    </w:p>
    <w:p>
      <w:pPr>
        <w:pStyle w:val="2"/>
        <w:rPr>
          <w:color w:val="auto"/>
          <w:highlight w:val="none"/>
        </w:rPr>
      </w:pPr>
      <w:r>
        <w:rPr>
          <w:rFonts w:hint="eastAsia" w:eastAsia="宋体"/>
          <w:color w:val="auto"/>
          <w:highlight w:val="none"/>
          <w:lang w:eastAsia="zh-CN"/>
        </w:rPr>
        <w:drawing>
          <wp:anchor distT="0" distB="0" distL="114300" distR="114300" simplePos="0" relativeHeight="251661312" behindDoc="0" locked="0" layoutInCell="1" allowOverlap="1">
            <wp:simplePos x="0" y="0"/>
            <wp:positionH relativeFrom="column">
              <wp:posOffset>4445</wp:posOffset>
            </wp:positionH>
            <wp:positionV relativeFrom="paragraph">
              <wp:posOffset>208280</wp:posOffset>
            </wp:positionV>
            <wp:extent cx="5080000" cy="2734945"/>
            <wp:effectExtent l="4445" t="4445" r="20955" b="22860"/>
            <wp:wrapTopAndBottom/>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pPr>
        <w:pStyle w:val="5"/>
        <w:bidi w:val="0"/>
        <w:rPr>
          <w:color w:val="auto"/>
          <w:highlight w:val="none"/>
        </w:rPr>
      </w:pPr>
      <w:bookmarkStart w:id="54" w:name="_Toc20242"/>
      <w:bookmarkStart w:id="55" w:name="_Toc15377209"/>
      <w:bookmarkStart w:id="56" w:name="_Toc15396607"/>
      <w:r>
        <w:rPr>
          <w:rFonts w:hint="eastAsia"/>
          <w:color w:val="auto"/>
          <w:highlight w:val="none"/>
        </w:rPr>
        <w:t>五、一般公共预算财政拨款支出决算情况说明</w:t>
      </w:r>
      <w:bookmarkEnd w:id="54"/>
      <w:bookmarkEnd w:id="55"/>
      <w:bookmarkEnd w:id="56"/>
    </w:p>
    <w:p>
      <w:pPr>
        <w:spacing w:line="600" w:lineRule="exact"/>
        <w:ind w:firstLine="643" w:firstLineChars="200"/>
        <w:outlineLvl w:val="2"/>
        <w:rPr>
          <w:rFonts w:ascii="仿宋" w:hAnsi="仿宋" w:eastAsia="仿宋"/>
          <w:b/>
          <w:color w:val="auto"/>
          <w:sz w:val="32"/>
          <w:szCs w:val="32"/>
          <w:highlight w:val="none"/>
        </w:rPr>
      </w:pPr>
      <w:bookmarkStart w:id="57" w:name="_Toc15377210"/>
      <w:r>
        <w:rPr>
          <w:rFonts w:hint="eastAsia" w:ascii="仿宋" w:hAnsi="仿宋" w:eastAsia="仿宋"/>
          <w:b/>
          <w:color w:val="auto"/>
          <w:sz w:val="32"/>
          <w:szCs w:val="32"/>
          <w:highlight w:val="none"/>
        </w:rPr>
        <w:t>（一）一般公共预算财政拨款支出决算总体情况</w:t>
      </w:r>
      <w:bookmarkEnd w:id="57"/>
    </w:p>
    <w:p>
      <w:pPr>
        <w:spacing w:line="600" w:lineRule="exact"/>
        <w:ind w:firstLine="640"/>
        <w:rPr>
          <w:rFonts w:hint="eastAsia" w:ascii="仿宋" w:hAnsi="仿宋" w:eastAsia="仿宋"/>
          <w:b/>
          <w:color w:val="auto"/>
          <w:sz w:val="32"/>
          <w:szCs w:val="32"/>
          <w:highlight w:val="none"/>
          <w:lang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21年一般公共预算财政拨款支出</w:t>
      </w:r>
      <w:r>
        <w:rPr>
          <w:rFonts w:hint="eastAsia" w:ascii="仿宋" w:hAnsi="仿宋" w:eastAsia="仿宋"/>
          <w:color w:val="auto"/>
          <w:sz w:val="32"/>
          <w:szCs w:val="32"/>
          <w:highlight w:val="none"/>
          <w:lang w:val="en-US" w:eastAsia="zh-CN"/>
        </w:rPr>
        <w:t>597.98</w:t>
      </w:r>
      <w:r>
        <w:rPr>
          <w:rFonts w:hint="eastAsia" w:ascii="仿宋" w:hAnsi="仿宋" w:eastAsia="仿宋"/>
          <w:color w:val="auto"/>
          <w:sz w:val="32"/>
          <w:szCs w:val="32"/>
          <w:highlight w:val="none"/>
        </w:rPr>
        <w:t>万元，占本年支出合计的</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ascii="仿宋" w:hAnsi="仿宋" w:eastAsia="仿宋"/>
          <w:color w:val="auto"/>
          <w:sz w:val="32"/>
          <w:szCs w:val="32"/>
          <w:highlight w:val="none"/>
        </w:rPr>
        <w:t>20</w:t>
      </w:r>
      <w:r>
        <w:rPr>
          <w:rFonts w:hint="eastAsia" w:ascii="仿宋" w:hAnsi="仿宋" w:eastAsia="仿宋"/>
          <w:color w:val="auto"/>
          <w:sz w:val="32"/>
          <w:szCs w:val="32"/>
          <w:highlight w:val="none"/>
        </w:rPr>
        <w:t>20年</w:t>
      </w:r>
      <w:r>
        <w:rPr>
          <w:rFonts w:hint="eastAsia" w:ascii="仿宋" w:hAnsi="仿宋" w:eastAsia="仿宋"/>
          <w:color w:val="auto"/>
          <w:sz w:val="32"/>
          <w:szCs w:val="32"/>
          <w:highlight w:val="none"/>
          <w:lang w:val="en-US" w:eastAsia="zh-CN"/>
        </w:rPr>
        <w:t>610.74</w:t>
      </w:r>
      <w:r>
        <w:rPr>
          <w:rFonts w:hint="eastAsia" w:ascii="仿宋" w:hAnsi="仿宋" w:eastAsia="仿宋"/>
          <w:color w:val="auto"/>
          <w:sz w:val="32"/>
          <w:szCs w:val="32"/>
          <w:highlight w:val="none"/>
          <w:lang w:eastAsia="zh-CN"/>
        </w:rPr>
        <w:t>万元</w:t>
      </w:r>
      <w:r>
        <w:rPr>
          <w:rFonts w:hint="eastAsia" w:ascii="仿宋" w:hAnsi="仿宋" w:eastAsia="仿宋"/>
          <w:color w:val="auto"/>
          <w:sz w:val="32"/>
          <w:szCs w:val="32"/>
          <w:highlight w:val="none"/>
        </w:rPr>
        <w:t>相比，一般公共预算财政拨款支出</w:t>
      </w:r>
      <w:r>
        <w:rPr>
          <w:rFonts w:hint="eastAsia" w:ascii="仿宋" w:hAnsi="仿宋" w:eastAsia="仿宋"/>
          <w:color w:val="auto"/>
          <w:sz w:val="32"/>
          <w:szCs w:val="32"/>
          <w:highlight w:val="none"/>
          <w:lang w:eastAsia="zh-CN"/>
        </w:rPr>
        <w:t>减少</w:t>
      </w:r>
      <w:r>
        <w:rPr>
          <w:rFonts w:hint="eastAsia" w:ascii="仿宋" w:hAnsi="仿宋" w:eastAsia="仿宋"/>
          <w:color w:val="auto"/>
          <w:sz w:val="32"/>
          <w:szCs w:val="32"/>
          <w:highlight w:val="none"/>
          <w:lang w:val="en-US" w:eastAsia="zh-CN"/>
        </w:rPr>
        <w:t>12.76</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减少</w:t>
      </w:r>
      <w:r>
        <w:rPr>
          <w:rFonts w:hint="eastAsia" w:ascii="仿宋" w:hAnsi="仿宋" w:eastAsia="仿宋"/>
          <w:color w:val="auto"/>
          <w:sz w:val="32"/>
          <w:szCs w:val="32"/>
          <w:highlight w:val="none"/>
          <w:lang w:val="en-US" w:eastAsia="zh-CN"/>
        </w:rPr>
        <w:t>2.09</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项目支出减少</w:t>
      </w:r>
      <w:r>
        <w:rPr>
          <w:rFonts w:hint="eastAsia" w:ascii="仿宋" w:hAnsi="仿宋" w:eastAsia="仿宋"/>
          <w:color w:val="auto"/>
          <w:sz w:val="32"/>
          <w:szCs w:val="32"/>
          <w:highlight w:val="none"/>
        </w:rPr>
        <w:t>。</w:t>
      </w:r>
    </w:p>
    <w:p>
      <w:pPr>
        <w:spacing w:line="600" w:lineRule="exact"/>
        <w:ind w:firstLine="643" w:firstLineChars="200"/>
        <w:outlineLvl w:val="2"/>
        <w:rPr>
          <w:rFonts w:ascii="仿宋" w:hAnsi="仿宋" w:eastAsia="仿宋"/>
          <w:b/>
          <w:color w:val="auto"/>
          <w:sz w:val="32"/>
          <w:szCs w:val="32"/>
          <w:highlight w:val="none"/>
        </w:rPr>
      </w:pPr>
      <w:bookmarkStart w:id="58" w:name="_Toc15377211"/>
      <w:r>
        <w:rPr>
          <w:rFonts w:hint="eastAsia" w:ascii="仿宋" w:hAnsi="仿宋" w:eastAsia="仿宋"/>
          <w:b/>
          <w:color w:val="auto"/>
          <w:sz w:val="32"/>
          <w:szCs w:val="32"/>
          <w:highlight w:val="none"/>
          <w:lang w:eastAsia="zh-CN"/>
        </w:rPr>
        <w:drawing>
          <wp:anchor distT="0" distB="0" distL="114300" distR="114300" simplePos="0" relativeHeight="251662336" behindDoc="0" locked="0" layoutInCell="1" allowOverlap="1">
            <wp:simplePos x="0" y="0"/>
            <wp:positionH relativeFrom="column">
              <wp:posOffset>4445</wp:posOffset>
            </wp:positionH>
            <wp:positionV relativeFrom="paragraph">
              <wp:posOffset>118110</wp:posOffset>
            </wp:positionV>
            <wp:extent cx="5080000" cy="2391410"/>
            <wp:effectExtent l="4445" t="4445" r="20955" b="23495"/>
            <wp:wrapTopAndBottom/>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hint="eastAsia" w:ascii="仿宋" w:hAnsi="仿宋" w:eastAsia="仿宋"/>
          <w:b/>
          <w:color w:val="auto"/>
          <w:sz w:val="32"/>
          <w:szCs w:val="32"/>
          <w:highlight w:val="none"/>
        </w:rPr>
        <w:t>（二）一般公共预算财政拨款支出决算结构情况</w:t>
      </w:r>
      <w:bookmarkEnd w:id="58"/>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21年一般公共预算财政拨款支出</w:t>
      </w:r>
      <w:r>
        <w:rPr>
          <w:rFonts w:hint="eastAsia" w:ascii="仿宋" w:hAnsi="仿宋" w:eastAsia="仿宋"/>
          <w:color w:val="auto"/>
          <w:sz w:val="32"/>
          <w:szCs w:val="32"/>
          <w:highlight w:val="none"/>
          <w:lang w:val="en-US" w:eastAsia="zh-CN"/>
        </w:rPr>
        <w:t>597.98</w:t>
      </w:r>
      <w:r>
        <w:rPr>
          <w:rFonts w:hint="eastAsia" w:ascii="仿宋" w:hAnsi="仿宋" w:eastAsia="仿宋"/>
          <w:color w:val="auto"/>
          <w:sz w:val="32"/>
          <w:szCs w:val="32"/>
          <w:highlight w:val="none"/>
        </w:rPr>
        <w:t>万元，主要用于以下方面</w:t>
      </w:r>
      <w:r>
        <w:rPr>
          <w:rFonts w:ascii="仿宋" w:hAnsi="仿宋" w:eastAsia="仿宋"/>
          <w:color w:val="auto"/>
          <w:sz w:val="32"/>
          <w:szCs w:val="32"/>
          <w:highlight w:val="none"/>
        </w:rPr>
        <w:t>:</w:t>
      </w:r>
      <w:r>
        <w:rPr>
          <w:rFonts w:hint="eastAsia" w:ascii="仿宋" w:hAnsi="仿宋" w:eastAsia="仿宋"/>
          <w:b/>
          <w:color w:val="auto"/>
          <w:sz w:val="32"/>
          <w:szCs w:val="32"/>
          <w:highlight w:val="none"/>
        </w:rPr>
        <w:t>教育支出（类）</w:t>
      </w:r>
      <w:r>
        <w:rPr>
          <w:rFonts w:hint="eastAsia" w:ascii="仿宋" w:hAnsi="仿宋" w:eastAsia="仿宋"/>
          <w:color w:val="auto"/>
          <w:sz w:val="32"/>
          <w:szCs w:val="32"/>
          <w:highlight w:val="none"/>
          <w:lang w:val="en-US" w:eastAsia="zh-CN"/>
        </w:rPr>
        <w:t>597.98</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lang w:eastAsia="zh-CN"/>
        </w:rPr>
        <w:t>；</w:t>
      </w:r>
    </w:p>
    <w:p>
      <w:pPr>
        <w:spacing w:line="600" w:lineRule="exact"/>
        <w:ind w:firstLine="643" w:firstLineChars="200"/>
        <w:jc w:val="left"/>
        <w:rPr>
          <w:rFonts w:ascii="仿宋" w:hAnsi="仿宋" w:eastAsia="仿宋"/>
          <w:b/>
          <w:color w:val="auto"/>
          <w:sz w:val="32"/>
          <w:szCs w:val="32"/>
          <w:highlight w:val="none"/>
        </w:rPr>
      </w:pPr>
      <w:bookmarkStart w:id="59" w:name="_Toc15377212"/>
      <w:r>
        <w:rPr>
          <w:rFonts w:hint="eastAsia" w:ascii="仿宋" w:hAnsi="仿宋" w:eastAsia="仿宋"/>
          <w:b/>
          <w:color w:val="auto"/>
          <w:sz w:val="32"/>
          <w:szCs w:val="32"/>
          <w:highlight w:val="none"/>
        </w:rPr>
        <w:drawing>
          <wp:anchor distT="0" distB="0" distL="114300" distR="114300" simplePos="0" relativeHeight="251663360" behindDoc="0" locked="0" layoutInCell="1" allowOverlap="1">
            <wp:simplePos x="0" y="0"/>
            <wp:positionH relativeFrom="column">
              <wp:posOffset>42545</wp:posOffset>
            </wp:positionH>
            <wp:positionV relativeFrom="paragraph">
              <wp:posOffset>164465</wp:posOffset>
            </wp:positionV>
            <wp:extent cx="4899025" cy="2134870"/>
            <wp:effectExtent l="4445" t="4445" r="11430" b="13335"/>
            <wp:wrapTopAndBottom/>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hint="eastAsia" w:ascii="仿宋" w:hAnsi="仿宋" w:eastAsia="仿宋"/>
          <w:b/>
          <w:color w:val="auto"/>
          <w:sz w:val="32"/>
          <w:szCs w:val="32"/>
          <w:highlight w:val="none"/>
        </w:rPr>
        <w:t>（三）一般公共预算财政拨款支出决算具体情况</w:t>
      </w:r>
      <w:bookmarkEnd w:id="59"/>
    </w:p>
    <w:p>
      <w:pPr>
        <w:spacing w:line="600" w:lineRule="exact"/>
        <w:ind w:firstLine="643" w:firstLineChars="200"/>
        <w:outlineLvl w:val="2"/>
        <w:rPr>
          <w:rFonts w:ascii="仿宋" w:hAnsi="仿宋" w:eastAsia="仿宋"/>
          <w:color w:val="auto"/>
          <w:sz w:val="32"/>
          <w:szCs w:val="32"/>
          <w:highlight w:val="none"/>
        </w:rPr>
      </w:pPr>
      <w:bookmarkStart w:id="60" w:name="_Toc15377213"/>
      <w:bookmarkStart w:id="61" w:name="_Toc15377444"/>
      <w:bookmarkStart w:id="62" w:name="_Toc15378460"/>
      <w:r>
        <w:rPr>
          <w:rFonts w:hint="eastAsia" w:ascii="仿宋" w:hAnsi="仿宋" w:eastAsia="仿宋"/>
          <w:b/>
          <w:color w:val="auto"/>
          <w:sz w:val="32"/>
          <w:szCs w:val="32"/>
          <w:highlight w:val="none"/>
        </w:rPr>
        <w:t>2021年一般公共预算支出决算数为</w:t>
      </w:r>
      <w:r>
        <w:rPr>
          <w:rFonts w:hint="eastAsia" w:ascii="仿宋" w:hAnsi="仿宋" w:eastAsia="仿宋"/>
          <w:color w:val="auto"/>
          <w:sz w:val="32"/>
          <w:szCs w:val="32"/>
          <w:highlight w:val="none"/>
          <w:lang w:val="en-US" w:eastAsia="zh-CN"/>
        </w:rPr>
        <w:t>597.98</w:t>
      </w:r>
      <w:r>
        <w:rPr>
          <w:rFonts w:hint="eastAsia" w:ascii="仿宋" w:hAnsi="仿宋" w:eastAsia="仿宋"/>
          <w:b/>
          <w:color w:val="auto"/>
          <w:sz w:val="32"/>
          <w:szCs w:val="32"/>
          <w:highlight w:val="none"/>
          <w:lang w:val="en-US" w:eastAsia="zh-CN"/>
        </w:rPr>
        <w:t>万元</w:t>
      </w:r>
      <w:r>
        <w:rPr>
          <w:rFonts w:hint="eastAsia" w:ascii="仿宋" w:hAnsi="仿宋" w:eastAsia="仿宋"/>
          <w:color w:val="auto"/>
          <w:sz w:val="32"/>
          <w:szCs w:val="32"/>
          <w:highlight w:val="none"/>
        </w:rPr>
        <w:t>，</w:t>
      </w:r>
      <w:r>
        <w:rPr>
          <w:rStyle w:val="19"/>
          <w:rFonts w:hint="eastAsia" w:ascii="仿宋" w:hAnsi="仿宋" w:eastAsia="仿宋"/>
          <w:bCs/>
          <w:color w:val="auto"/>
          <w:sz w:val="32"/>
          <w:szCs w:val="32"/>
          <w:highlight w:val="none"/>
        </w:rPr>
        <w:t>完成预算100</w:t>
      </w:r>
      <w:r>
        <w:rPr>
          <w:rStyle w:val="19"/>
          <w:rFonts w:ascii="仿宋" w:hAnsi="仿宋" w:eastAsia="仿宋"/>
          <w:bCs/>
          <w:color w:val="auto"/>
          <w:sz w:val="32"/>
          <w:szCs w:val="32"/>
          <w:highlight w:val="none"/>
        </w:rPr>
        <w:t>%</w:t>
      </w:r>
      <w:r>
        <w:rPr>
          <w:rStyle w:val="19"/>
          <w:rFonts w:hint="eastAsia" w:ascii="仿宋" w:hAnsi="仿宋" w:eastAsia="仿宋"/>
          <w:bCs/>
          <w:color w:val="auto"/>
          <w:sz w:val="32"/>
          <w:szCs w:val="32"/>
          <w:highlight w:val="none"/>
        </w:rPr>
        <w:t>。其中：</w:t>
      </w:r>
      <w:bookmarkEnd w:id="60"/>
      <w:bookmarkEnd w:id="61"/>
      <w:bookmarkEnd w:id="62"/>
    </w:p>
    <w:p>
      <w:pPr>
        <w:numPr>
          <w:ilvl w:val="0"/>
          <w:numId w:val="3"/>
        </w:numPr>
        <w:spacing w:line="600" w:lineRule="exact"/>
        <w:ind w:firstLine="643" w:firstLineChars="200"/>
        <w:rPr>
          <w:rStyle w:val="19"/>
          <w:rFonts w:hint="eastAsia" w:ascii="仿宋" w:hAnsi="仿宋" w:eastAsia="仿宋"/>
          <w:b w:val="0"/>
          <w:bCs/>
          <w:color w:val="auto"/>
          <w:sz w:val="32"/>
          <w:szCs w:val="32"/>
          <w:highlight w:val="none"/>
        </w:rPr>
      </w:pPr>
      <w:r>
        <w:rPr>
          <w:rStyle w:val="19"/>
          <w:rFonts w:hint="eastAsia" w:ascii="仿宋" w:hAnsi="仿宋" w:eastAsia="仿宋"/>
          <w:bCs/>
          <w:color w:val="auto"/>
          <w:sz w:val="32"/>
          <w:szCs w:val="32"/>
          <w:highlight w:val="none"/>
        </w:rPr>
        <w:t>教育205（类）普通教育02（款）小学教育02（项）</w:t>
      </w:r>
      <w:r>
        <w:rPr>
          <w:rStyle w:val="19"/>
          <w:rFonts w:ascii="仿宋" w:hAnsi="仿宋" w:eastAsia="仿宋"/>
          <w:bCs/>
          <w:color w:val="auto"/>
          <w:sz w:val="32"/>
          <w:szCs w:val="32"/>
          <w:highlight w:val="none"/>
        </w:rPr>
        <w:t>:</w:t>
      </w:r>
      <w:r>
        <w:rPr>
          <w:rStyle w:val="19"/>
          <w:rFonts w:ascii="仿宋" w:hAnsi="仿宋" w:eastAsia="仿宋"/>
          <w:b w:val="0"/>
          <w:bCs/>
          <w:color w:val="auto"/>
          <w:sz w:val="32"/>
          <w:szCs w:val="32"/>
          <w:highlight w:val="none"/>
        </w:rPr>
        <w:t xml:space="preserve"> </w:t>
      </w:r>
      <w:r>
        <w:rPr>
          <w:rStyle w:val="19"/>
          <w:rFonts w:hint="eastAsia" w:ascii="仿宋" w:hAnsi="仿宋" w:eastAsia="仿宋"/>
          <w:b w:val="0"/>
          <w:bCs/>
          <w:color w:val="auto"/>
          <w:sz w:val="32"/>
          <w:szCs w:val="32"/>
          <w:highlight w:val="none"/>
        </w:rPr>
        <w:t>支出决算为</w:t>
      </w:r>
      <w:r>
        <w:rPr>
          <w:rStyle w:val="19"/>
          <w:rFonts w:hint="eastAsia" w:ascii="仿宋" w:hAnsi="仿宋" w:eastAsia="仿宋"/>
          <w:b w:val="0"/>
          <w:bCs/>
          <w:color w:val="auto"/>
          <w:sz w:val="32"/>
          <w:szCs w:val="32"/>
          <w:highlight w:val="none"/>
          <w:lang w:val="en-US" w:eastAsia="zh-CN"/>
        </w:rPr>
        <w:t>412.98</w:t>
      </w:r>
      <w:r>
        <w:rPr>
          <w:rStyle w:val="19"/>
          <w:rFonts w:hint="eastAsia" w:ascii="仿宋" w:hAnsi="仿宋" w:eastAsia="仿宋"/>
          <w:b w:val="0"/>
          <w:bCs/>
          <w:color w:val="auto"/>
          <w:sz w:val="32"/>
          <w:szCs w:val="32"/>
          <w:highlight w:val="none"/>
        </w:rPr>
        <w:t>万元，完成预算100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lang w:eastAsia="zh-CN"/>
        </w:rPr>
        <w:t>，</w:t>
      </w:r>
      <w:r>
        <w:rPr>
          <w:rStyle w:val="19"/>
          <w:rFonts w:hint="eastAsia" w:ascii="仿宋" w:hAnsi="仿宋" w:eastAsia="仿宋"/>
          <w:b w:val="0"/>
          <w:bCs/>
          <w:color w:val="auto"/>
          <w:sz w:val="32"/>
          <w:szCs w:val="32"/>
          <w:highlight w:val="none"/>
        </w:rPr>
        <w:t>决算数等于预算数。</w:t>
      </w:r>
    </w:p>
    <w:p>
      <w:pPr>
        <w:numPr>
          <w:ilvl w:val="0"/>
          <w:numId w:val="3"/>
        </w:numPr>
        <w:spacing w:line="600" w:lineRule="exact"/>
        <w:ind w:firstLine="643" w:firstLineChars="200"/>
        <w:rPr>
          <w:rStyle w:val="19"/>
          <w:rFonts w:ascii="仿宋" w:hAnsi="仿宋" w:eastAsia="仿宋"/>
          <w:b w:val="0"/>
          <w:bCs/>
          <w:color w:val="auto"/>
          <w:sz w:val="32"/>
          <w:szCs w:val="32"/>
          <w:highlight w:val="none"/>
        </w:rPr>
      </w:pPr>
      <w:r>
        <w:rPr>
          <w:rStyle w:val="19"/>
          <w:rFonts w:hint="eastAsia" w:ascii="仿宋" w:hAnsi="仿宋" w:eastAsia="仿宋"/>
          <w:bCs/>
          <w:color w:val="auto"/>
          <w:sz w:val="32"/>
          <w:szCs w:val="32"/>
          <w:highlight w:val="none"/>
        </w:rPr>
        <w:t>教育205（类）普通教育02（款）其他普通教育支出</w:t>
      </w:r>
      <w:r>
        <w:rPr>
          <w:rStyle w:val="19"/>
          <w:rFonts w:hint="eastAsia" w:ascii="仿宋" w:hAnsi="仿宋" w:eastAsia="仿宋"/>
          <w:bCs/>
          <w:color w:val="auto"/>
          <w:sz w:val="32"/>
          <w:szCs w:val="32"/>
          <w:highlight w:val="none"/>
          <w:lang w:val="en-US" w:eastAsia="zh-CN"/>
        </w:rPr>
        <w:t>99</w:t>
      </w:r>
      <w:r>
        <w:rPr>
          <w:rStyle w:val="19"/>
          <w:rFonts w:hint="eastAsia" w:ascii="仿宋" w:hAnsi="仿宋" w:eastAsia="仿宋"/>
          <w:bCs/>
          <w:color w:val="auto"/>
          <w:sz w:val="32"/>
          <w:szCs w:val="32"/>
          <w:highlight w:val="none"/>
        </w:rPr>
        <w:t>（项）</w:t>
      </w:r>
      <w:r>
        <w:rPr>
          <w:rStyle w:val="19"/>
          <w:rFonts w:ascii="仿宋" w:hAnsi="仿宋" w:eastAsia="仿宋"/>
          <w:bCs/>
          <w:color w:val="auto"/>
          <w:sz w:val="32"/>
          <w:szCs w:val="32"/>
          <w:highlight w:val="none"/>
        </w:rPr>
        <w:t>:</w:t>
      </w:r>
      <w:r>
        <w:rPr>
          <w:rStyle w:val="19"/>
          <w:rFonts w:ascii="仿宋" w:hAnsi="仿宋" w:eastAsia="仿宋"/>
          <w:b w:val="0"/>
          <w:bCs/>
          <w:color w:val="auto"/>
          <w:sz w:val="32"/>
          <w:szCs w:val="32"/>
          <w:highlight w:val="none"/>
        </w:rPr>
        <w:t xml:space="preserve"> </w:t>
      </w:r>
      <w:r>
        <w:rPr>
          <w:rStyle w:val="19"/>
          <w:rFonts w:hint="eastAsia" w:ascii="仿宋" w:hAnsi="仿宋" w:eastAsia="仿宋"/>
          <w:b w:val="0"/>
          <w:bCs/>
          <w:color w:val="auto"/>
          <w:sz w:val="32"/>
          <w:szCs w:val="32"/>
          <w:highlight w:val="none"/>
        </w:rPr>
        <w:t>支出决算为</w:t>
      </w:r>
      <w:r>
        <w:rPr>
          <w:rStyle w:val="19"/>
          <w:rFonts w:hint="eastAsia" w:ascii="仿宋" w:hAnsi="仿宋" w:eastAsia="仿宋"/>
          <w:b w:val="0"/>
          <w:bCs/>
          <w:color w:val="auto"/>
          <w:sz w:val="32"/>
          <w:szCs w:val="32"/>
          <w:highlight w:val="none"/>
          <w:lang w:val="en-US" w:eastAsia="zh-CN"/>
        </w:rPr>
        <w:t>185</w:t>
      </w:r>
      <w:r>
        <w:rPr>
          <w:rStyle w:val="19"/>
          <w:rFonts w:hint="eastAsia" w:ascii="仿宋" w:hAnsi="仿宋" w:eastAsia="仿宋"/>
          <w:b w:val="0"/>
          <w:bCs/>
          <w:color w:val="auto"/>
          <w:sz w:val="32"/>
          <w:szCs w:val="32"/>
          <w:highlight w:val="none"/>
        </w:rPr>
        <w:t>万元，完成预算100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lang w:eastAsia="zh-CN"/>
        </w:rPr>
        <w:t>，</w:t>
      </w:r>
      <w:r>
        <w:rPr>
          <w:rStyle w:val="19"/>
          <w:rFonts w:hint="eastAsia" w:ascii="仿宋" w:hAnsi="仿宋" w:eastAsia="仿宋"/>
          <w:b w:val="0"/>
          <w:bCs/>
          <w:color w:val="auto"/>
          <w:sz w:val="32"/>
          <w:szCs w:val="32"/>
          <w:highlight w:val="none"/>
        </w:rPr>
        <w:t>决算数等于预算数。</w:t>
      </w:r>
    </w:p>
    <w:p>
      <w:pPr>
        <w:pStyle w:val="5"/>
        <w:bidi w:val="0"/>
        <w:rPr>
          <w:color w:val="auto"/>
          <w:highlight w:val="none"/>
        </w:rPr>
      </w:pPr>
      <w:bookmarkStart w:id="63" w:name="_Toc2813"/>
      <w:bookmarkStart w:id="64" w:name="_Toc15396608"/>
      <w:bookmarkStart w:id="65" w:name="_Toc15377214"/>
      <w:r>
        <w:rPr>
          <w:rFonts w:hint="eastAsia"/>
          <w:color w:val="auto"/>
          <w:highlight w:val="none"/>
        </w:rPr>
        <w:t>六、一般公共预算财政拨款基本支出决算情况说明</w:t>
      </w:r>
      <w:bookmarkEnd w:id="63"/>
      <w:bookmarkEnd w:id="64"/>
      <w:bookmarkEnd w:id="65"/>
      <w:r>
        <w:rPr>
          <w:color w:val="auto"/>
          <w:highlight w:val="none"/>
        </w:rPr>
        <w:tab/>
      </w:r>
    </w:p>
    <w:p>
      <w:pPr>
        <w:spacing w:line="600" w:lineRule="exact"/>
        <w:ind w:firstLine="645"/>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21年一般公共预算财政拨款基本支出</w:t>
      </w:r>
      <w:r>
        <w:rPr>
          <w:rFonts w:hint="eastAsia" w:ascii="仿宋" w:hAnsi="仿宋" w:eastAsia="仿宋"/>
          <w:color w:val="auto"/>
          <w:sz w:val="32"/>
          <w:szCs w:val="32"/>
          <w:highlight w:val="none"/>
          <w:lang w:val="en-US" w:eastAsia="zh-CN"/>
        </w:rPr>
        <w:t>412.98</w:t>
      </w:r>
      <w:r>
        <w:rPr>
          <w:rFonts w:hint="eastAsia" w:ascii="仿宋" w:hAnsi="仿宋" w:eastAsia="仿宋"/>
          <w:color w:val="auto"/>
          <w:sz w:val="32"/>
          <w:szCs w:val="32"/>
          <w:highlight w:val="none"/>
        </w:rPr>
        <w:t>万元，其中：</w:t>
      </w:r>
    </w:p>
    <w:p>
      <w:pPr>
        <w:spacing w:line="600" w:lineRule="exact"/>
        <w:ind w:firstLine="645"/>
        <w:rPr>
          <w:rFonts w:ascii="仿宋" w:hAnsi="仿宋" w:eastAsia="仿宋"/>
          <w:color w:val="auto"/>
          <w:sz w:val="32"/>
          <w:szCs w:val="32"/>
          <w:highlight w:val="none"/>
        </w:rPr>
      </w:pPr>
      <w:r>
        <w:rPr>
          <w:rFonts w:hint="eastAsia" w:ascii="仿宋" w:hAnsi="仿宋" w:eastAsia="仿宋"/>
          <w:color w:val="auto"/>
          <w:sz w:val="32"/>
          <w:szCs w:val="32"/>
          <w:highlight w:val="none"/>
        </w:rPr>
        <w:t>人员经费</w:t>
      </w:r>
      <w:r>
        <w:rPr>
          <w:rFonts w:hint="eastAsia" w:ascii="仿宋" w:hAnsi="仿宋" w:eastAsia="仿宋"/>
          <w:color w:val="auto"/>
          <w:sz w:val="32"/>
          <w:szCs w:val="32"/>
          <w:highlight w:val="none"/>
          <w:lang w:val="en-US" w:eastAsia="zh-CN"/>
        </w:rPr>
        <w:t>358.95</w:t>
      </w:r>
      <w:r>
        <w:rPr>
          <w:rFonts w:hint="eastAsia" w:ascii="仿宋" w:hAnsi="仿宋" w:eastAsia="仿宋"/>
          <w:color w:val="auto"/>
          <w:sz w:val="32"/>
          <w:szCs w:val="32"/>
          <w:highlight w:val="none"/>
        </w:rPr>
        <w:t>万元，主要包括：基本工资、津贴补贴、绩效工资、机关事业单位基本养老保险缴费、职业年金缴费、职工基本医疗保险缴费</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其他社会保障缴费、其他工资福利支出、抚恤金</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生活补助、助学金奖励金、住房公积金等。</w:t>
      </w:r>
    </w:p>
    <w:p>
      <w:pPr>
        <w:spacing w:line="600" w:lineRule="exact"/>
        <w:ind w:firstLine="645"/>
        <w:rPr>
          <w:rFonts w:ascii="仿宋" w:hAnsi="仿宋" w:eastAsia="仿宋"/>
          <w:b/>
          <w:color w:val="auto"/>
          <w:sz w:val="32"/>
          <w:szCs w:val="32"/>
          <w:highlight w:val="none"/>
        </w:rPr>
      </w:pPr>
      <w:r>
        <w:rPr>
          <w:rFonts w:hint="eastAsia" w:ascii="仿宋" w:hAnsi="仿宋" w:eastAsia="仿宋"/>
          <w:color w:val="auto"/>
          <w:sz w:val="32"/>
          <w:szCs w:val="32"/>
          <w:highlight w:val="none"/>
        </w:rPr>
        <w:t>公用经费</w:t>
      </w:r>
      <w:r>
        <w:rPr>
          <w:rFonts w:hint="eastAsia" w:ascii="仿宋" w:hAnsi="仿宋" w:eastAsia="仿宋"/>
          <w:color w:val="auto"/>
          <w:sz w:val="32"/>
          <w:szCs w:val="32"/>
          <w:highlight w:val="none"/>
          <w:lang w:val="en-US" w:eastAsia="zh-CN"/>
        </w:rPr>
        <w:t>54.04</w:t>
      </w:r>
      <w:r>
        <w:rPr>
          <w:rFonts w:hint="eastAsia" w:ascii="仿宋" w:hAnsi="仿宋" w:eastAsia="仿宋"/>
          <w:color w:val="auto"/>
          <w:sz w:val="32"/>
          <w:szCs w:val="32"/>
          <w:highlight w:val="none"/>
        </w:rPr>
        <w:t>万元，主要包括：办公费、印刷费、手续费、水费、电费、邮电费、差旅费、维修（护）费、培训费、公务接待费、工会经费等。</w:t>
      </w:r>
    </w:p>
    <w:p>
      <w:pPr>
        <w:pStyle w:val="5"/>
        <w:bidi w:val="0"/>
        <w:rPr>
          <w:color w:val="auto"/>
          <w:highlight w:val="none"/>
        </w:rPr>
      </w:pPr>
      <w:bookmarkStart w:id="66" w:name="_Toc9813"/>
      <w:bookmarkStart w:id="67" w:name="_Toc15396609"/>
      <w:bookmarkStart w:id="68" w:name="_Toc15377215"/>
      <w:r>
        <w:rPr>
          <w:rFonts w:hint="eastAsia"/>
          <w:color w:val="auto"/>
          <w:highlight w:val="none"/>
        </w:rPr>
        <w:t>七、“三公”经费财政拨款支出决算情况说明</w:t>
      </w:r>
      <w:bookmarkEnd w:id="66"/>
      <w:bookmarkEnd w:id="67"/>
      <w:bookmarkEnd w:id="68"/>
    </w:p>
    <w:p>
      <w:pPr>
        <w:spacing w:line="600" w:lineRule="exact"/>
        <w:ind w:firstLine="640"/>
        <w:outlineLvl w:val="2"/>
        <w:rPr>
          <w:rFonts w:ascii="仿宋" w:hAnsi="仿宋" w:eastAsia="仿宋"/>
          <w:b/>
          <w:color w:val="auto"/>
          <w:sz w:val="32"/>
          <w:szCs w:val="32"/>
          <w:highlight w:val="none"/>
        </w:rPr>
      </w:pPr>
      <w:bookmarkStart w:id="69" w:name="_Toc15377216"/>
      <w:r>
        <w:rPr>
          <w:rFonts w:hint="eastAsia" w:ascii="仿宋" w:hAnsi="仿宋" w:eastAsia="仿宋"/>
          <w:b/>
          <w:color w:val="auto"/>
          <w:sz w:val="32"/>
          <w:szCs w:val="32"/>
          <w:highlight w:val="none"/>
        </w:rPr>
        <w:t>（一）“三公”经费财政拨款支出决算总体情况说明</w:t>
      </w:r>
      <w:bookmarkEnd w:id="69"/>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21年“三公”经费财政拨款支出决算为</w:t>
      </w:r>
      <w:r>
        <w:rPr>
          <w:rFonts w:hint="eastAsia" w:ascii="仿宋" w:hAnsi="仿宋" w:eastAsia="仿宋"/>
          <w:color w:val="auto"/>
          <w:sz w:val="32"/>
          <w:szCs w:val="32"/>
          <w:highlight w:val="none"/>
          <w:lang w:val="en-US" w:eastAsia="zh-CN"/>
        </w:rPr>
        <w:t>0.64</w:t>
      </w:r>
      <w:r>
        <w:rPr>
          <w:rFonts w:hint="eastAsia" w:ascii="仿宋" w:hAnsi="仿宋" w:eastAsia="仿宋"/>
          <w:color w:val="auto"/>
          <w:sz w:val="32"/>
          <w:szCs w:val="32"/>
          <w:highlight w:val="none"/>
        </w:rPr>
        <w:t>万元，完成预算9</w:t>
      </w:r>
      <w:r>
        <w:rPr>
          <w:rFonts w:hint="eastAsia" w:ascii="仿宋" w:hAnsi="仿宋" w:eastAsia="仿宋"/>
          <w:color w:val="auto"/>
          <w:sz w:val="32"/>
          <w:szCs w:val="32"/>
          <w:highlight w:val="none"/>
          <w:lang w:val="en-US" w:eastAsia="zh-CN"/>
        </w:rPr>
        <w:t>5.52</w:t>
      </w:r>
      <w:r>
        <w:rPr>
          <w:rFonts w:ascii="仿宋" w:hAnsi="仿宋" w:eastAsia="仿宋"/>
          <w:color w:val="auto"/>
          <w:sz w:val="32"/>
          <w:szCs w:val="32"/>
          <w:highlight w:val="none"/>
        </w:rPr>
        <w:t>%</w:t>
      </w:r>
      <w:r>
        <w:rPr>
          <w:rFonts w:hint="eastAsia" w:ascii="仿宋" w:hAnsi="仿宋" w:eastAsia="仿宋"/>
          <w:color w:val="auto"/>
          <w:sz w:val="32"/>
          <w:szCs w:val="32"/>
          <w:highlight w:val="none"/>
        </w:rPr>
        <w:t>，决算数小于预算数的主要原因是</w:t>
      </w:r>
      <w:r>
        <w:rPr>
          <w:rFonts w:hint="eastAsia" w:ascii="仿宋" w:hAnsi="仿宋" w:eastAsia="仿宋"/>
          <w:color w:val="auto"/>
          <w:sz w:val="32"/>
          <w:szCs w:val="32"/>
          <w:highlight w:val="none"/>
          <w:lang w:eastAsia="zh-CN"/>
        </w:rPr>
        <w:t>认真贯彻落实中央八项规定精神，采取有效措施严格控制接待范围和接待标准</w:t>
      </w:r>
      <w:r>
        <w:rPr>
          <w:rFonts w:hint="eastAsia" w:ascii="仿宋" w:hAnsi="仿宋" w:eastAsia="仿宋"/>
          <w:color w:val="auto"/>
          <w:sz w:val="32"/>
          <w:szCs w:val="32"/>
          <w:highlight w:val="none"/>
        </w:rPr>
        <w:t>。</w:t>
      </w:r>
    </w:p>
    <w:p>
      <w:pPr>
        <w:spacing w:line="600" w:lineRule="exact"/>
        <w:ind w:firstLine="640"/>
        <w:outlineLvl w:val="2"/>
        <w:rPr>
          <w:rFonts w:ascii="仿宋" w:hAnsi="仿宋" w:eastAsia="仿宋"/>
          <w:b/>
          <w:color w:val="auto"/>
          <w:sz w:val="32"/>
          <w:szCs w:val="32"/>
          <w:highlight w:val="none"/>
        </w:rPr>
      </w:pPr>
      <w:bookmarkStart w:id="70" w:name="_Toc15377217"/>
      <w:r>
        <w:rPr>
          <w:rFonts w:hint="eastAsia" w:ascii="仿宋" w:hAnsi="仿宋" w:eastAsia="仿宋"/>
          <w:b/>
          <w:color w:val="auto"/>
          <w:sz w:val="32"/>
          <w:szCs w:val="32"/>
          <w:highlight w:val="none"/>
        </w:rPr>
        <w:t>（二）“三公”经费财政拨款支出决算具体情况说明</w:t>
      </w:r>
      <w:bookmarkEnd w:id="70"/>
    </w:p>
    <w:p>
      <w:pPr>
        <w:spacing w:line="600" w:lineRule="exact"/>
        <w:ind w:firstLine="640" w:firstLineChars="200"/>
        <w:rPr>
          <w:rFonts w:hint="eastAsia" w:ascii="仿宋" w:hAnsi="仿宋" w:eastAsia="仿宋"/>
          <w:b/>
          <w:color w:val="auto"/>
          <w:sz w:val="32"/>
          <w:szCs w:val="32"/>
          <w:highlight w:val="none"/>
        </w:rPr>
      </w:pPr>
      <w:r>
        <w:rPr>
          <w:rFonts w:hint="eastAsia" w:ascii="仿宋" w:hAnsi="仿宋" w:eastAsia="仿宋"/>
          <w:color w:val="auto"/>
          <w:sz w:val="32"/>
          <w:szCs w:val="32"/>
          <w:highlight w:val="none"/>
          <w:lang w:eastAsia="zh-CN"/>
        </w:rPr>
        <w:drawing>
          <wp:anchor distT="0" distB="0" distL="114300" distR="114300" simplePos="0" relativeHeight="251664384" behindDoc="0" locked="0" layoutInCell="1" allowOverlap="1">
            <wp:simplePos x="0" y="0"/>
            <wp:positionH relativeFrom="column">
              <wp:posOffset>316230</wp:posOffset>
            </wp:positionH>
            <wp:positionV relativeFrom="paragraph">
              <wp:posOffset>1939925</wp:posOffset>
            </wp:positionV>
            <wp:extent cx="5080000" cy="2771775"/>
            <wp:effectExtent l="4445" t="4445" r="20955" b="5080"/>
            <wp:wrapTopAndBottom/>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21年“三公”经费财政拨款支出决算中，因公出国（境）费支出决算0万元，当年未安排</w:t>
      </w:r>
      <w:r>
        <w:rPr>
          <w:rFonts w:hint="eastAsia" w:ascii="仿宋" w:hAnsi="仿宋" w:eastAsia="仿宋"/>
          <w:color w:val="auto"/>
          <w:sz w:val="32"/>
          <w:szCs w:val="32"/>
          <w:highlight w:val="none"/>
          <w:lang w:eastAsia="zh-CN"/>
        </w:rPr>
        <w:t>预算</w:t>
      </w:r>
      <w:r>
        <w:rPr>
          <w:rFonts w:hint="eastAsia" w:ascii="Times New Roman" w:hAnsi="Times New Roman" w:eastAsia="仿宋" w:cs="Times New Roman"/>
          <w:color w:val="auto"/>
          <w:sz w:val="32"/>
          <w:szCs w:val="32"/>
          <w:highlight w:val="none"/>
          <w:lang w:val="en-US" w:eastAsia="zh-CN"/>
        </w:rPr>
        <w:t>，与上年持平</w:t>
      </w:r>
      <w:r>
        <w:rPr>
          <w:rFonts w:hint="default" w:ascii="Times New Roman" w:hAnsi="Times New Roman" w:eastAsia="仿宋" w:cs="Times New Roman"/>
          <w:color w:val="auto"/>
          <w:sz w:val="32"/>
          <w:szCs w:val="32"/>
          <w:highlight w:val="none"/>
        </w:rPr>
        <w:t>；</w:t>
      </w:r>
      <w:r>
        <w:rPr>
          <w:rFonts w:hint="eastAsia" w:ascii="仿宋" w:hAnsi="仿宋" w:eastAsia="仿宋"/>
          <w:color w:val="auto"/>
          <w:sz w:val="32"/>
          <w:szCs w:val="32"/>
          <w:highlight w:val="none"/>
        </w:rPr>
        <w:t>公务用车购置及运行维护费支出决算0万元，当年未安排</w:t>
      </w:r>
      <w:r>
        <w:rPr>
          <w:rFonts w:hint="eastAsia" w:ascii="仿宋" w:hAnsi="仿宋" w:eastAsia="仿宋"/>
          <w:color w:val="auto"/>
          <w:sz w:val="32"/>
          <w:szCs w:val="32"/>
          <w:highlight w:val="none"/>
          <w:lang w:eastAsia="zh-CN"/>
        </w:rPr>
        <w:t>预算</w:t>
      </w:r>
      <w:r>
        <w:rPr>
          <w:rFonts w:hint="eastAsia" w:ascii="Times New Roman" w:hAnsi="Times New Roman" w:eastAsia="仿宋" w:cs="Times New Roman"/>
          <w:color w:val="auto"/>
          <w:sz w:val="32"/>
          <w:szCs w:val="32"/>
          <w:highlight w:val="none"/>
          <w:lang w:val="en-US" w:eastAsia="zh-CN"/>
        </w:rPr>
        <w:t>，与上年持平</w:t>
      </w:r>
      <w:r>
        <w:rPr>
          <w:rFonts w:hint="default" w:ascii="Times New Roman" w:hAnsi="Times New Roman" w:eastAsia="仿宋" w:cs="Times New Roman"/>
          <w:color w:val="auto"/>
          <w:sz w:val="32"/>
          <w:szCs w:val="32"/>
          <w:highlight w:val="none"/>
        </w:rPr>
        <w:t>；</w:t>
      </w:r>
      <w:r>
        <w:rPr>
          <w:rFonts w:hint="eastAsia" w:ascii="仿宋" w:hAnsi="仿宋" w:eastAsia="仿宋"/>
          <w:color w:val="auto"/>
          <w:sz w:val="32"/>
          <w:szCs w:val="32"/>
          <w:highlight w:val="none"/>
        </w:rPr>
        <w:t>公务接待费支出决算</w:t>
      </w:r>
      <w:r>
        <w:rPr>
          <w:rFonts w:hint="eastAsia" w:ascii="仿宋" w:hAnsi="仿宋" w:eastAsia="仿宋"/>
          <w:color w:val="auto"/>
          <w:sz w:val="32"/>
          <w:szCs w:val="32"/>
          <w:highlight w:val="none"/>
          <w:lang w:val="en-US" w:eastAsia="zh-CN"/>
        </w:rPr>
        <w:t>0.64</w:t>
      </w:r>
      <w:r>
        <w:rPr>
          <w:rFonts w:hint="eastAsia" w:ascii="仿宋" w:hAnsi="仿宋" w:eastAsia="仿宋"/>
          <w:color w:val="auto"/>
          <w:sz w:val="32"/>
          <w:szCs w:val="32"/>
          <w:highlight w:val="none"/>
        </w:rPr>
        <w:t>万元，占100</w:t>
      </w:r>
      <w:r>
        <w:rPr>
          <w:rFonts w:ascii="仿宋" w:hAnsi="仿宋" w:eastAsia="仿宋"/>
          <w:color w:val="auto"/>
          <w:sz w:val="32"/>
          <w:szCs w:val="32"/>
          <w:highlight w:val="none"/>
        </w:rPr>
        <w:t>%</w:t>
      </w:r>
      <w:r>
        <w:rPr>
          <w:rFonts w:hint="eastAsia" w:ascii="仿宋" w:hAnsi="仿宋" w:eastAsia="仿宋"/>
          <w:color w:val="auto"/>
          <w:sz w:val="32"/>
          <w:szCs w:val="32"/>
          <w:highlight w:val="none"/>
        </w:rPr>
        <w:t>。具体情况如下：</w:t>
      </w:r>
    </w:p>
    <w:p>
      <w:pPr>
        <w:spacing w:line="600" w:lineRule="exact"/>
        <w:ind w:firstLine="640"/>
        <w:rPr>
          <w:rFonts w:hint="eastAsia" w:ascii="仿宋_GB2312" w:eastAsia="仿宋_GB2312" w:cs="仿宋_GB2312"/>
          <w:b/>
          <w:bCs w:val="0"/>
          <w:color w:val="auto"/>
          <w:sz w:val="32"/>
          <w:szCs w:val="32"/>
          <w:highlight w:val="none"/>
          <w:lang w:val="en-US"/>
        </w:rPr>
      </w:pPr>
      <w:r>
        <w:rPr>
          <w:rFonts w:hint="eastAsia" w:ascii="仿宋_GB2312" w:hAnsi="Times New Roman" w:eastAsia="仿宋_GB2312" w:cs="仿宋_GB2312"/>
          <w:b/>
          <w:bCs w:val="0"/>
          <w:color w:val="auto"/>
          <w:kern w:val="2"/>
          <w:sz w:val="32"/>
          <w:szCs w:val="32"/>
          <w:highlight w:val="none"/>
          <w:lang w:val="en-US" w:eastAsia="zh-CN" w:bidi="ar"/>
        </w:rPr>
        <w:t>1.因公出国（境）经费支出</w:t>
      </w:r>
      <w:r>
        <w:rPr>
          <w:rFonts w:hint="eastAsia" w:ascii="仿宋_GB2312" w:hAnsi="Times New Roman" w:eastAsia="仿宋_GB2312" w:cs="仿宋_GB2312"/>
          <w:color w:val="auto"/>
          <w:kern w:val="2"/>
          <w:sz w:val="32"/>
          <w:szCs w:val="32"/>
          <w:highlight w:val="none"/>
          <w:lang w:val="en-US" w:eastAsia="zh-CN" w:bidi="ar"/>
        </w:rPr>
        <w:t>0万元，</w:t>
      </w:r>
      <w:r>
        <w:rPr>
          <w:rStyle w:val="19"/>
          <w:rFonts w:hint="eastAsia" w:ascii="仿宋" w:hAnsi="仿宋" w:eastAsia="仿宋" w:cs="仿宋"/>
          <w:b w:val="0"/>
          <w:bCs/>
          <w:color w:val="auto"/>
          <w:kern w:val="2"/>
          <w:sz w:val="32"/>
          <w:szCs w:val="32"/>
          <w:highlight w:val="none"/>
          <w:lang w:val="en-US" w:eastAsia="zh-CN" w:bidi="ar"/>
        </w:rPr>
        <w:t>年初未安排预算，与上年数持平。</w:t>
      </w:r>
    </w:p>
    <w:p>
      <w:pPr>
        <w:spacing w:line="600" w:lineRule="exact"/>
        <w:ind w:firstLine="640"/>
        <w:rPr>
          <w:rFonts w:hint="eastAsia" w:ascii="仿宋_GB2312" w:eastAsia="仿宋_GB2312" w:cs="仿宋_GB2312"/>
          <w:b/>
          <w:bCs w:val="0"/>
          <w:color w:val="auto"/>
          <w:sz w:val="32"/>
          <w:szCs w:val="32"/>
          <w:highlight w:val="none"/>
          <w:lang w:val="en-US"/>
        </w:rPr>
      </w:pPr>
      <w:r>
        <w:rPr>
          <w:rFonts w:hint="eastAsia" w:ascii="仿宋_GB2312" w:hAnsi="Times New Roman" w:eastAsia="仿宋_GB2312" w:cs="仿宋_GB2312"/>
          <w:b/>
          <w:bCs w:val="0"/>
          <w:color w:val="auto"/>
          <w:kern w:val="2"/>
          <w:sz w:val="32"/>
          <w:szCs w:val="32"/>
          <w:highlight w:val="none"/>
          <w:lang w:val="en-US" w:eastAsia="zh-CN" w:bidi="ar"/>
        </w:rPr>
        <w:t>2.公务用车购置及运行维护费支出</w:t>
      </w:r>
      <w:r>
        <w:rPr>
          <w:rFonts w:hint="eastAsia" w:ascii="仿宋_GB2312" w:hAnsi="Times New Roman" w:eastAsia="仿宋_GB2312" w:cs="仿宋_GB2312"/>
          <w:color w:val="auto"/>
          <w:kern w:val="2"/>
          <w:sz w:val="32"/>
          <w:szCs w:val="32"/>
          <w:highlight w:val="none"/>
          <w:lang w:val="en-US" w:eastAsia="zh-CN" w:bidi="ar"/>
        </w:rPr>
        <w:t>0万元,</w:t>
      </w:r>
      <w:r>
        <w:rPr>
          <w:rStyle w:val="19"/>
          <w:rFonts w:hint="eastAsia" w:ascii="仿宋" w:hAnsi="仿宋" w:eastAsia="仿宋" w:cs="仿宋"/>
          <w:b w:val="0"/>
          <w:bCs/>
          <w:color w:val="auto"/>
          <w:kern w:val="2"/>
          <w:sz w:val="32"/>
          <w:szCs w:val="32"/>
          <w:highlight w:val="none"/>
          <w:lang w:val="en-US" w:eastAsia="zh-CN" w:bidi="ar"/>
        </w:rPr>
        <w:t>年初未安排预算，与上年数持平。</w:t>
      </w:r>
    </w:p>
    <w:p>
      <w:pPr>
        <w:keepNext w:val="0"/>
        <w:keepLines w:val="0"/>
        <w:widowControl w:val="0"/>
        <w:suppressLineNumbers w:val="0"/>
        <w:spacing w:before="0" w:beforeAutospacing="0" w:after="0" w:afterAutospacing="0" w:line="600" w:lineRule="exact"/>
        <w:ind w:right="0" w:firstLine="643" w:firstLineChars="200"/>
        <w:jc w:val="both"/>
        <w:rPr>
          <w:rFonts w:hint="eastAsia" w:ascii="仿宋_GB2312" w:eastAsia="仿宋_GB2312" w:cs="仿宋_GB2312"/>
          <w:bCs/>
          <w:color w:val="auto"/>
          <w:sz w:val="32"/>
          <w:szCs w:val="32"/>
          <w:highlight w:val="none"/>
          <w:lang w:val="en-US"/>
        </w:rPr>
      </w:pPr>
      <w:r>
        <w:rPr>
          <w:rFonts w:hint="eastAsia" w:ascii="仿宋_GB2312" w:hAnsi="Times New Roman" w:eastAsia="仿宋_GB2312" w:cs="仿宋_GB2312"/>
          <w:b/>
          <w:bCs/>
          <w:color w:val="auto"/>
          <w:kern w:val="2"/>
          <w:sz w:val="32"/>
          <w:szCs w:val="32"/>
          <w:highlight w:val="none"/>
          <w:lang w:val="en-US" w:eastAsia="zh-CN" w:bidi="ar"/>
        </w:rPr>
        <w:t>其中：</w:t>
      </w:r>
      <w:r>
        <w:rPr>
          <w:rFonts w:hint="eastAsia" w:ascii="仿宋_GB2312" w:hAnsi="Times New Roman" w:eastAsia="仿宋_GB2312" w:cs="仿宋_GB2312"/>
          <w:b/>
          <w:bCs w:val="0"/>
          <w:color w:val="auto"/>
          <w:kern w:val="2"/>
          <w:sz w:val="32"/>
          <w:szCs w:val="32"/>
          <w:highlight w:val="none"/>
          <w:lang w:val="en-US" w:eastAsia="zh-CN" w:bidi="ar"/>
        </w:rPr>
        <w:t>公务用车购置支出</w:t>
      </w:r>
      <w:r>
        <w:rPr>
          <w:rFonts w:hint="eastAsia" w:ascii="仿宋_GB2312" w:hAnsi="Times New Roman" w:eastAsia="仿宋_GB2312" w:cs="仿宋_GB2312"/>
          <w:bCs/>
          <w:color w:val="auto"/>
          <w:kern w:val="2"/>
          <w:sz w:val="32"/>
          <w:szCs w:val="32"/>
          <w:highlight w:val="none"/>
          <w:lang w:val="en-US" w:eastAsia="zh-CN" w:bidi="ar"/>
        </w:rPr>
        <w:t>0万元。</w:t>
      </w:r>
      <w:r>
        <w:rPr>
          <w:rFonts w:hint="eastAsia" w:ascii="仿宋_GB2312" w:eastAsia="仿宋_GB2312" w:cs="仿宋_GB2312"/>
          <w:bCs/>
          <w:color w:val="auto"/>
          <w:kern w:val="2"/>
          <w:sz w:val="32"/>
          <w:szCs w:val="32"/>
          <w:highlight w:val="none"/>
          <w:lang w:val="en-US" w:eastAsia="zh-CN" w:bidi="ar"/>
        </w:rPr>
        <w:t>全年按规定更新购置公务用车0辆，</w:t>
      </w:r>
      <w:r>
        <w:rPr>
          <w:rFonts w:hint="eastAsia" w:ascii="仿宋_GB2312" w:eastAsia="仿宋_GB2312" w:cs="仿宋_GB2312"/>
          <w:color w:val="auto"/>
          <w:kern w:val="2"/>
          <w:sz w:val="32"/>
          <w:szCs w:val="32"/>
          <w:highlight w:val="none"/>
          <w:lang w:val="en-US" w:eastAsia="zh-CN" w:bidi="ar"/>
        </w:rPr>
        <w:t>主要原因是我单位未购置公务用车。</w:t>
      </w:r>
      <w:r>
        <w:rPr>
          <w:rFonts w:hint="eastAsia" w:ascii="仿宋_GB2312" w:eastAsia="仿宋_GB2312" w:cs="仿宋_GB2312"/>
          <w:bCs/>
          <w:color w:val="auto"/>
          <w:kern w:val="2"/>
          <w:sz w:val="32"/>
          <w:szCs w:val="32"/>
          <w:highlight w:val="none"/>
          <w:lang w:val="en-US" w:eastAsia="zh-CN" w:bidi="ar"/>
        </w:rPr>
        <w:t>截止2021年12月底，单位共有公务用车0辆。</w:t>
      </w:r>
    </w:p>
    <w:p>
      <w:pPr>
        <w:keepNext w:val="0"/>
        <w:keepLines w:val="0"/>
        <w:widowControl w:val="0"/>
        <w:suppressLineNumbers w:val="0"/>
        <w:spacing w:before="0" w:beforeAutospacing="0" w:after="0" w:afterAutospacing="0" w:line="600" w:lineRule="exact"/>
        <w:ind w:right="0" w:firstLine="643" w:firstLineChars="200"/>
        <w:jc w:val="both"/>
        <w:rPr>
          <w:color w:val="auto"/>
          <w:highlight w:val="none"/>
        </w:rPr>
      </w:pPr>
      <w:r>
        <w:rPr>
          <w:rFonts w:hint="eastAsia" w:ascii="仿宋_GB2312" w:hAnsi="Times New Roman" w:eastAsia="仿宋_GB2312" w:cs="仿宋_GB2312"/>
          <w:b/>
          <w:bCs w:val="0"/>
          <w:color w:val="auto"/>
          <w:kern w:val="2"/>
          <w:sz w:val="32"/>
          <w:szCs w:val="32"/>
          <w:highlight w:val="none"/>
          <w:lang w:val="en-US" w:eastAsia="zh-CN" w:bidi="ar"/>
        </w:rPr>
        <w:t>公务用车运行维护费支出</w:t>
      </w:r>
      <w:r>
        <w:rPr>
          <w:rFonts w:hint="eastAsia" w:ascii="仿宋_GB2312" w:hAnsi="Times New Roman" w:eastAsia="仿宋_GB2312" w:cs="仿宋_GB2312"/>
          <w:color w:val="auto"/>
          <w:kern w:val="2"/>
          <w:sz w:val="32"/>
          <w:szCs w:val="32"/>
          <w:highlight w:val="none"/>
          <w:lang w:val="en-US" w:eastAsia="zh-CN" w:bidi="ar"/>
        </w:rPr>
        <w:t>0万元。</w:t>
      </w:r>
      <w:r>
        <w:rPr>
          <w:rFonts w:hint="eastAsia" w:ascii="仿宋_GB2312" w:eastAsia="仿宋_GB2312" w:cs="仿宋_GB2312"/>
          <w:color w:val="auto"/>
          <w:kern w:val="2"/>
          <w:sz w:val="32"/>
          <w:szCs w:val="32"/>
          <w:highlight w:val="none"/>
          <w:lang w:val="en-US" w:eastAsia="zh-CN" w:bidi="ar"/>
        </w:rPr>
        <w:t>主要原因是我单位无公务用车。</w:t>
      </w:r>
    </w:p>
    <w:p>
      <w:pPr>
        <w:spacing w:line="600" w:lineRule="exact"/>
        <w:ind w:firstLine="640"/>
        <w:rPr>
          <w:rFonts w:hint="default" w:ascii="Times New Roman" w:hAnsi="Times New Roman" w:eastAsia="仿宋" w:cs="Times New Roman"/>
          <w:color w:val="auto"/>
          <w:sz w:val="32"/>
          <w:szCs w:val="32"/>
          <w:highlight w:val="none"/>
        </w:rPr>
      </w:pPr>
      <w:r>
        <w:rPr>
          <w:rFonts w:ascii="仿宋_GB2312" w:eastAsia="仿宋_GB2312"/>
          <w:b/>
          <w:bCs w:val="0"/>
          <w:color w:val="auto"/>
          <w:sz w:val="32"/>
          <w:szCs w:val="32"/>
          <w:highlight w:val="none"/>
        </w:rPr>
        <w:t>3.</w:t>
      </w:r>
      <w:r>
        <w:rPr>
          <w:rFonts w:hint="default" w:ascii="Times New Roman" w:hAnsi="Times New Roman" w:eastAsia="仿宋" w:cs="Times New Roman"/>
          <w:b/>
          <w:bCs w:val="0"/>
          <w:color w:val="auto"/>
          <w:sz w:val="32"/>
          <w:szCs w:val="32"/>
          <w:highlight w:val="none"/>
        </w:rPr>
        <w:t>公务接待费支出</w:t>
      </w:r>
      <w:r>
        <w:rPr>
          <w:rFonts w:hint="eastAsia" w:ascii="仿宋" w:hAnsi="仿宋" w:eastAsia="仿宋"/>
          <w:color w:val="auto"/>
          <w:sz w:val="32"/>
          <w:szCs w:val="32"/>
          <w:highlight w:val="none"/>
          <w:lang w:val="en-US" w:eastAsia="zh-CN"/>
        </w:rPr>
        <w:t>0.64</w:t>
      </w:r>
      <w:r>
        <w:rPr>
          <w:rFonts w:hint="eastAsia" w:ascii="仿宋" w:hAnsi="仿宋" w:eastAsia="仿宋"/>
          <w:color w:val="auto"/>
          <w:sz w:val="32"/>
          <w:szCs w:val="32"/>
          <w:highlight w:val="none"/>
        </w:rPr>
        <w:t>万元，完成预算</w:t>
      </w:r>
      <w:r>
        <w:rPr>
          <w:rFonts w:hint="eastAsia" w:ascii="仿宋" w:hAnsi="仿宋" w:eastAsia="仿宋"/>
          <w:color w:val="auto"/>
          <w:sz w:val="32"/>
          <w:szCs w:val="32"/>
          <w:highlight w:val="none"/>
          <w:lang w:val="en-US" w:eastAsia="zh-CN"/>
        </w:rPr>
        <w:t>95.52</w:t>
      </w:r>
      <w:r>
        <w:rPr>
          <w:rFonts w:ascii="仿宋" w:hAnsi="仿宋" w:eastAsia="仿宋"/>
          <w:color w:val="auto"/>
          <w:sz w:val="32"/>
          <w:szCs w:val="32"/>
          <w:highlight w:val="none"/>
        </w:rPr>
        <w:t>%</w:t>
      </w:r>
      <w:r>
        <w:rPr>
          <w:rFonts w:hint="default" w:ascii="Times New Roman" w:hAnsi="Times New Roman" w:eastAsia="仿宋" w:cs="Times New Roman"/>
          <w:color w:val="auto"/>
          <w:sz w:val="32"/>
          <w:szCs w:val="32"/>
          <w:highlight w:val="none"/>
        </w:rPr>
        <w:t>。</w:t>
      </w:r>
      <w:r>
        <w:rPr>
          <w:rFonts w:hint="eastAsia" w:ascii="仿宋" w:hAnsi="仿宋" w:eastAsia="仿宋" w:cs="仿宋"/>
          <w:color w:val="auto"/>
          <w:sz w:val="32"/>
          <w:szCs w:val="32"/>
          <w:highlight w:val="none"/>
        </w:rPr>
        <w:t>公务接待费支出决算</w:t>
      </w:r>
      <w:r>
        <w:rPr>
          <w:rFonts w:hint="eastAsia" w:ascii="仿宋" w:hAnsi="仿宋" w:eastAsia="仿宋" w:cs="仿宋"/>
          <w:color w:val="auto"/>
          <w:sz w:val="32"/>
          <w:szCs w:val="32"/>
          <w:highlight w:val="none"/>
          <w:lang w:eastAsia="zh-CN"/>
        </w:rPr>
        <w:t>比</w:t>
      </w:r>
      <w:r>
        <w:rPr>
          <w:rFonts w:hint="eastAsia" w:ascii="仿宋" w:hAnsi="仿宋" w:eastAsia="仿宋" w:cs="仿宋"/>
          <w:color w:val="auto"/>
          <w:sz w:val="32"/>
          <w:szCs w:val="32"/>
          <w:highlight w:val="none"/>
        </w:rPr>
        <w:t>20</w:t>
      </w:r>
      <w:r>
        <w:rPr>
          <w:rFonts w:hint="eastAsia" w:ascii="仿宋" w:hAnsi="仿宋" w:eastAsia="仿宋" w:cs="仿宋"/>
          <w:color w:val="auto"/>
          <w:sz w:val="32"/>
          <w:szCs w:val="32"/>
          <w:highlight w:val="none"/>
          <w:lang w:val="en-US" w:eastAsia="zh-CN"/>
        </w:rPr>
        <w:t>20</w:t>
      </w:r>
      <w:r>
        <w:rPr>
          <w:rFonts w:hint="eastAsia" w:ascii="仿宋" w:hAnsi="仿宋" w:eastAsia="仿宋" w:cs="仿宋"/>
          <w:color w:val="auto"/>
          <w:sz w:val="32"/>
          <w:szCs w:val="32"/>
          <w:highlight w:val="none"/>
        </w:rPr>
        <w:t>年减少</w:t>
      </w:r>
      <w:r>
        <w:rPr>
          <w:rFonts w:hint="eastAsia" w:ascii="仿宋" w:hAnsi="仿宋" w:eastAsia="仿宋" w:cs="仿宋"/>
          <w:color w:val="auto"/>
          <w:sz w:val="32"/>
          <w:szCs w:val="32"/>
          <w:highlight w:val="none"/>
          <w:lang w:val="en-US" w:eastAsia="zh-CN"/>
        </w:rPr>
        <w:t>0.03</w:t>
      </w:r>
      <w:r>
        <w:rPr>
          <w:rFonts w:hint="eastAsia" w:ascii="仿宋" w:hAnsi="仿宋" w:eastAsia="仿宋" w:cs="仿宋"/>
          <w:color w:val="auto"/>
          <w:sz w:val="32"/>
          <w:szCs w:val="32"/>
          <w:highlight w:val="none"/>
        </w:rPr>
        <w:t>万元，下降</w:t>
      </w:r>
      <w:r>
        <w:rPr>
          <w:rFonts w:hint="eastAsia" w:ascii="仿宋" w:hAnsi="仿宋" w:eastAsia="仿宋" w:cs="仿宋"/>
          <w:color w:val="auto"/>
          <w:sz w:val="32"/>
          <w:szCs w:val="32"/>
          <w:highlight w:val="none"/>
          <w:lang w:val="en-US" w:eastAsia="zh-CN"/>
        </w:rPr>
        <w:t>4.48</w:t>
      </w:r>
      <w:r>
        <w:rPr>
          <w:rFonts w:hint="eastAsia" w:ascii="仿宋" w:hAnsi="仿宋" w:eastAsia="仿宋" w:cs="仿宋"/>
          <w:color w:val="auto"/>
          <w:sz w:val="32"/>
          <w:szCs w:val="32"/>
          <w:highlight w:val="none"/>
        </w:rPr>
        <w:t>%</w:t>
      </w:r>
      <w:r>
        <w:rPr>
          <w:rFonts w:hint="default" w:ascii="Times New Roman" w:hAnsi="Times New Roman" w:eastAsia="仿宋" w:cs="Times New Roman"/>
          <w:color w:val="auto"/>
          <w:sz w:val="32"/>
          <w:szCs w:val="32"/>
          <w:highlight w:val="none"/>
        </w:rPr>
        <w:t>。</w:t>
      </w:r>
      <w:r>
        <w:rPr>
          <w:rFonts w:hint="eastAsia" w:ascii="Times New Roman" w:hAnsi="Times New Roman" w:eastAsia="仿宋" w:cs="Times New Roman"/>
          <w:color w:val="auto"/>
          <w:sz w:val="32"/>
          <w:szCs w:val="32"/>
          <w:highlight w:val="none"/>
          <w:lang w:eastAsia="zh-CN"/>
        </w:rPr>
        <w:t>主要原因是</w:t>
      </w:r>
      <w:r>
        <w:rPr>
          <w:rFonts w:hint="eastAsia" w:ascii="仿宋" w:hAnsi="仿宋" w:eastAsia="仿宋"/>
          <w:color w:val="auto"/>
          <w:sz w:val="32"/>
          <w:szCs w:val="32"/>
          <w:highlight w:val="none"/>
          <w:lang w:eastAsia="zh-CN"/>
        </w:rPr>
        <w:t>认真贯彻落实中央八项规定精神，采取有效措施严格控制接待范围和接待标准</w:t>
      </w:r>
      <w:r>
        <w:rPr>
          <w:rFonts w:hint="eastAsia" w:ascii="仿宋" w:hAnsi="仿宋" w:eastAsia="仿宋"/>
          <w:color w:val="auto"/>
          <w:sz w:val="32"/>
          <w:szCs w:val="32"/>
          <w:highlight w:val="none"/>
        </w:rPr>
        <w:t>。</w:t>
      </w:r>
      <w:r>
        <w:rPr>
          <w:rFonts w:hint="default" w:ascii="Times New Roman" w:hAnsi="Times New Roman" w:eastAsia="仿宋" w:cs="Times New Roman"/>
          <w:color w:val="auto"/>
          <w:sz w:val="32"/>
          <w:szCs w:val="32"/>
          <w:highlight w:val="none"/>
        </w:rPr>
        <w:t>其中：</w:t>
      </w:r>
    </w:p>
    <w:p>
      <w:pPr>
        <w:spacing w:line="600" w:lineRule="exact"/>
        <w:ind w:firstLine="640"/>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b/>
          <w:bCs/>
          <w:color w:val="auto"/>
          <w:sz w:val="32"/>
          <w:szCs w:val="32"/>
          <w:highlight w:val="none"/>
        </w:rPr>
        <w:t>国内公务接待支出</w:t>
      </w:r>
      <w:r>
        <w:rPr>
          <w:rFonts w:hint="eastAsia" w:eastAsia="仿宋" w:cs="Times New Roman"/>
          <w:color w:val="auto"/>
          <w:sz w:val="32"/>
          <w:szCs w:val="32"/>
          <w:highlight w:val="none"/>
          <w:lang w:val="en-US" w:eastAsia="zh-CN"/>
        </w:rPr>
        <w:t>0.64</w:t>
      </w:r>
      <w:r>
        <w:rPr>
          <w:rFonts w:hint="default" w:ascii="Times New Roman" w:hAnsi="Times New Roman" w:eastAsia="仿宋" w:cs="Times New Roman"/>
          <w:color w:val="auto"/>
          <w:sz w:val="32"/>
          <w:szCs w:val="32"/>
          <w:highlight w:val="none"/>
        </w:rPr>
        <w:t>万元，主要用于</w:t>
      </w:r>
      <w:r>
        <w:rPr>
          <w:rFonts w:hint="eastAsia" w:ascii="Times New Roman" w:hAnsi="Times New Roman" w:eastAsia="仿宋" w:cs="Times New Roman"/>
          <w:color w:val="auto"/>
          <w:sz w:val="32"/>
          <w:szCs w:val="32"/>
          <w:highlight w:val="none"/>
          <w:lang w:eastAsia="zh-CN"/>
        </w:rPr>
        <w:t>接待上级来访、</w:t>
      </w:r>
      <w:r>
        <w:rPr>
          <w:rFonts w:hint="eastAsia" w:ascii="仿宋_GB2312" w:hAnsi="Times New Roman" w:eastAsia="仿宋_GB2312" w:cs="Times New Roman"/>
          <w:color w:val="auto"/>
          <w:kern w:val="2"/>
          <w:sz w:val="32"/>
          <w:szCs w:val="32"/>
          <w:highlight w:val="none"/>
          <w:lang w:val="en-US" w:eastAsia="zh-CN" w:bidi="ar"/>
        </w:rPr>
        <w:t>教育教学活动</w:t>
      </w:r>
      <w:r>
        <w:rPr>
          <w:rFonts w:hint="eastAsia" w:ascii="仿宋_GB2312" w:eastAsia="仿宋_GB2312" w:cs="Times New Roman"/>
          <w:color w:val="auto"/>
          <w:kern w:val="2"/>
          <w:sz w:val="32"/>
          <w:szCs w:val="32"/>
          <w:highlight w:val="none"/>
          <w:lang w:val="en-US" w:eastAsia="zh-CN" w:bidi="ar"/>
        </w:rPr>
        <w:t>交流、</w:t>
      </w:r>
      <w:r>
        <w:rPr>
          <w:rFonts w:hint="eastAsia" w:ascii="仿宋_GB2312" w:eastAsia="仿宋_GB2312"/>
          <w:color w:val="auto"/>
          <w:sz w:val="32"/>
          <w:szCs w:val="32"/>
          <w:highlight w:val="none"/>
          <w:lang w:val="en-US" w:eastAsia="zh-CN"/>
        </w:rPr>
        <w:t>学生活动费及运动会学生用餐、交通费、体检费等</w:t>
      </w:r>
      <w:r>
        <w:rPr>
          <w:rFonts w:hint="default" w:ascii="Times New Roman" w:hAnsi="Times New Roman" w:eastAsia="仿宋" w:cs="Times New Roman"/>
          <w:color w:val="auto"/>
          <w:sz w:val="32"/>
          <w:szCs w:val="32"/>
          <w:highlight w:val="none"/>
        </w:rPr>
        <w:t>。国内公务接待</w:t>
      </w:r>
      <w:r>
        <w:rPr>
          <w:rFonts w:hint="eastAsia" w:eastAsia="仿宋" w:cs="Times New Roman"/>
          <w:color w:val="auto"/>
          <w:sz w:val="32"/>
          <w:szCs w:val="32"/>
          <w:highlight w:val="none"/>
          <w:lang w:val="en-US" w:eastAsia="zh-CN"/>
        </w:rPr>
        <w:t>31</w:t>
      </w:r>
      <w:r>
        <w:rPr>
          <w:rFonts w:hint="default" w:ascii="Times New Roman" w:hAnsi="Times New Roman" w:eastAsia="仿宋" w:cs="Times New Roman"/>
          <w:color w:val="auto"/>
          <w:sz w:val="32"/>
          <w:szCs w:val="32"/>
          <w:highlight w:val="none"/>
        </w:rPr>
        <w:t>批次，</w:t>
      </w:r>
      <w:r>
        <w:rPr>
          <w:rFonts w:hint="eastAsia" w:eastAsia="仿宋" w:cs="Times New Roman"/>
          <w:color w:val="auto"/>
          <w:sz w:val="32"/>
          <w:szCs w:val="32"/>
          <w:highlight w:val="none"/>
          <w:lang w:val="en-US" w:eastAsia="zh-CN"/>
        </w:rPr>
        <w:t>102</w:t>
      </w:r>
      <w:r>
        <w:rPr>
          <w:rFonts w:hint="default" w:ascii="Times New Roman" w:hAnsi="Times New Roman" w:eastAsia="仿宋" w:cs="Times New Roman"/>
          <w:color w:val="auto"/>
          <w:sz w:val="32"/>
          <w:szCs w:val="32"/>
          <w:highlight w:val="none"/>
        </w:rPr>
        <w:t>人次（不包括陪同人员），共计支出</w:t>
      </w:r>
      <w:r>
        <w:rPr>
          <w:rFonts w:hint="eastAsia" w:eastAsia="仿宋" w:cs="Times New Roman"/>
          <w:color w:val="auto"/>
          <w:sz w:val="32"/>
          <w:szCs w:val="32"/>
          <w:highlight w:val="none"/>
          <w:lang w:val="en-US" w:eastAsia="zh-CN"/>
        </w:rPr>
        <w:t>0.64</w:t>
      </w:r>
      <w:r>
        <w:rPr>
          <w:rFonts w:hint="default" w:ascii="Times New Roman" w:hAnsi="Times New Roman" w:eastAsia="仿宋" w:cs="Times New Roman"/>
          <w:color w:val="auto"/>
          <w:sz w:val="32"/>
          <w:szCs w:val="32"/>
          <w:highlight w:val="none"/>
        </w:rPr>
        <w:t>万元</w:t>
      </w:r>
      <w:r>
        <w:rPr>
          <w:rFonts w:hint="eastAsia" w:eastAsia="仿宋" w:cs="Times New Roman"/>
          <w:color w:val="auto"/>
          <w:sz w:val="32"/>
          <w:szCs w:val="32"/>
          <w:highlight w:val="none"/>
          <w:lang w:eastAsia="zh-CN"/>
        </w:rPr>
        <w:t>，具体内容包括</w:t>
      </w:r>
      <w:r>
        <w:rPr>
          <w:rFonts w:hint="eastAsia" w:ascii="Times New Roman" w:hAnsi="Times New Roman" w:eastAsia="仿宋" w:cs="Times New Roman"/>
          <w:color w:val="auto"/>
          <w:sz w:val="32"/>
          <w:szCs w:val="32"/>
          <w:highlight w:val="none"/>
          <w:lang w:eastAsia="zh-CN"/>
        </w:rPr>
        <w:t>接待上级来访</w:t>
      </w:r>
      <w:r>
        <w:rPr>
          <w:rFonts w:hint="eastAsia" w:eastAsia="仿宋" w:cs="Times New Roman"/>
          <w:color w:val="auto"/>
          <w:sz w:val="32"/>
          <w:szCs w:val="32"/>
          <w:highlight w:val="none"/>
          <w:lang w:val="en-US" w:eastAsia="zh-CN"/>
        </w:rPr>
        <w:t>0.2万元</w:t>
      </w:r>
      <w:r>
        <w:rPr>
          <w:rFonts w:hint="eastAsia" w:ascii="Times New Roman" w:hAnsi="Times New Roman" w:eastAsia="仿宋" w:cs="Times New Roman"/>
          <w:color w:val="auto"/>
          <w:sz w:val="32"/>
          <w:szCs w:val="32"/>
          <w:highlight w:val="none"/>
          <w:lang w:eastAsia="zh-CN"/>
        </w:rPr>
        <w:t>、</w:t>
      </w:r>
      <w:r>
        <w:rPr>
          <w:rFonts w:hint="eastAsia" w:ascii="仿宋_GB2312" w:hAnsi="Times New Roman" w:eastAsia="仿宋_GB2312" w:cs="Times New Roman"/>
          <w:color w:val="auto"/>
          <w:kern w:val="2"/>
          <w:sz w:val="32"/>
          <w:szCs w:val="32"/>
          <w:highlight w:val="none"/>
          <w:lang w:val="en-US" w:eastAsia="zh-CN" w:bidi="ar"/>
        </w:rPr>
        <w:t>教育教学活动</w:t>
      </w:r>
      <w:r>
        <w:rPr>
          <w:rFonts w:hint="eastAsia" w:ascii="仿宋_GB2312" w:eastAsia="仿宋_GB2312" w:cs="Times New Roman"/>
          <w:color w:val="auto"/>
          <w:kern w:val="2"/>
          <w:sz w:val="32"/>
          <w:szCs w:val="32"/>
          <w:highlight w:val="none"/>
          <w:lang w:val="en-US" w:eastAsia="zh-CN" w:bidi="ar"/>
        </w:rPr>
        <w:t>交流0.2万元、</w:t>
      </w:r>
      <w:r>
        <w:rPr>
          <w:rFonts w:hint="eastAsia" w:ascii="仿宋_GB2312" w:eastAsia="仿宋_GB2312"/>
          <w:color w:val="auto"/>
          <w:sz w:val="32"/>
          <w:szCs w:val="32"/>
          <w:highlight w:val="none"/>
          <w:lang w:val="en-US" w:eastAsia="zh-CN"/>
        </w:rPr>
        <w:t>学生活动费及运动会学生用餐、交通费、体检费等0.24万元。</w:t>
      </w:r>
    </w:p>
    <w:p>
      <w:pPr>
        <w:spacing w:line="600" w:lineRule="exact"/>
        <w:ind w:firstLine="640" w:firstLineChars="200"/>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外事接待支出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万元，外事接待</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人，共计支出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default" w:ascii="Times New Roman" w:hAnsi="Times New Roman" w:eastAsia="仿宋" w:cs="Times New Roman"/>
          <w:color w:val="auto"/>
          <w:sz w:val="32"/>
          <w:szCs w:val="32"/>
          <w:highlight w:val="none"/>
        </w:rPr>
        <w:t>外事接待支出</w:t>
      </w:r>
      <w:r>
        <w:rPr>
          <w:rFonts w:hint="eastAsia" w:ascii="仿宋_GB2312" w:hAnsi="Times New Roman" w:eastAsia="仿宋_GB2312" w:cs="仿宋_GB2312"/>
          <w:color w:val="auto"/>
          <w:kern w:val="2"/>
          <w:sz w:val="32"/>
          <w:szCs w:val="32"/>
          <w:highlight w:val="none"/>
          <w:lang w:val="en-US" w:eastAsia="zh-CN" w:bidi="ar"/>
        </w:rPr>
        <w:t>决算与2020年持平</w:t>
      </w:r>
      <w:r>
        <w:rPr>
          <w:rFonts w:hint="eastAsia" w:ascii="Times New Roman" w:hAnsi="Times New Roman" w:eastAsia="仿宋" w:cs="Times New Roman"/>
          <w:color w:val="auto"/>
          <w:sz w:val="32"/>
          <w:szCs w:val="32"/>
          <w:highlight w:val="none"/>
        </w:rPr>
        <w:t>。</w:t>
      </w:r>
    </w:p>
    <w:p>
      <w:pPr>
        <w:spacing w:line="600" w:lineRule="exact"/>
        <w:outlineLvl w:val="1"/>
        <w:rPr>
          <w:rFonts w:ascii="黑体" w:eastAsia="黑体"/>
          <w:color w:val="auto"/>
          <w:sz w:val="32"/>
          <w:szCs w:val="32"/>
          <w:highlight w:val="none"/>
        </w:rPr>
      </w:pPr>
      <w:bookmarkStart w:id="71" w:name="_Toc15377218"/>
      <w:bookmarkStart w:id="72" w:name="_Toc15396610"/>
    </w:p>
    <w:p>
      <w:pPr>
        <w:pStyle w:val="5"/>
        <w:bidi w:val="0"/>
        <w:rPr>
          <w:color w:val="auto"/>
          <w:highlight w:val="none"/>
        </w:rPr>
      </w:pPr>
      <w:bookmarkStart w:id="73" w:name="_Toc3503"/>
      <w:r>
        <w:rPr>
          <w:rFonts w:hint="eastAsia"/>
          <w:color w:val="auto"/>
          <w:highlight w:val="none"/>
        </w:rPr>
        <w:t>八、政府性基金预算支出决算情况说明</w:t>
      </w:r>
      <w:bookmarkEnd w:id="71"/>
      <w:bookmarkEnd w:id="72"/>
      <w:bookmarkEnd w:id="73"/>
    </w:p>
    <w:p>
      <w:pPr>
        <w:spacing w:line="600" w:lineRule="exact"/>
        <w:ind w:firstLine="640"/>
        <w:rPr>
          <w:rFonts w:hint="eastAsia"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rPr>
        <w:t>21年政府性基金预算财政拨款支出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万元。202</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年本单位未在政府性基金预算拨款安排“三公”经费支出。</w:t>
      </w:r>
    </w:p>
    <w:p>
      <w:pPr>
        <w:pStyle w:val="2"/>
        <w:rPr>
          <w:color w:val="auto"/>
          <w:highlight w:val="none"/>
        </w:rPr>
      </w:pPr>
    </w:p>
    <w:p>
      <w:pPr>
        <w:pStyle w:val="5"/>
        <w:numPr>
          <w:ilvl w:val="0"/>
          <w:numId w:val="4"/>
        </w:numPr>
        <w:bidi w:val="0"/>
        <w:rPr>
          <w:color w:val="auto"/>
          <w:highlight w:val="none"/>
        </w:rPr>
      </w:pPr>
      <w:bookmarkStart w:id="74" w:name="_Toc15377219"/>
      <w:bookmarkStart w:id="75" w:name="_Toc15396611"/>
      <w:bookmarkStart w:id="76" w:name="_Toc30571"/>
      <w:r>
        <w:rPr>
          <w:rFonts w:hint="eastAsia"/>
          <w:color w:val="auto"/>
          <w:highlight w:val="none"/>
        </w:rPr>
        <w:t>国有资本经营预算支出决算情况说明</w:t>
      </w:r>
      <w:bookmarkEnd w:id="74"/>
      <w:bookmarkEnd w:id="75"/>
      <w:bookmarkEnd w:id="76"/>
    </w:p>
    <w:p>
      <w:pP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rPr>
        <w:t>21年国有资本经营预算财政拨款支出0万元，年初未安排预算。</w:t>
      </w:r>
    </w:p>
    <w:p>
      <w:pPr>
        <w:spacing w:line="580" w:lineRule="exact"/>
        <w:rPr>
          <w:rFonts w:ascii="方正小标宋简体" w:hAnsi="方正小标宋简体" w:eastAsia="方正小标宋简体" w:cs="方正小标宋简体"/>
          <w:color w:val="auto"/>
          <w:sz w:val="44"/>
          <w:szCs w:val="44"/>
          <w:highlight w:val="none"/>
        </w:rPr>
      </w:pPr>
    </w:p>
    <w:p>
      <w:pPr>
        <w:pStyle w:val="5"/>
        <w:numPr>
          <w:ilvl w:val="0"/>
          <w:numId w:val="4"/>
        </w:numPr>
        <w:bidi w:val="0"/>
        <w:rPr>
          <w:color w:val="auto"/>
          <w:highlight w:val="none"/>
        </w:rPr>
      </w:pPr>
      <w:bookmarkStart w:id="77" w:name="_Toc14092"/>
      <w:bookmarkStart w:id="78" w:name="_Toc15396612"/>
      <w:bookmarkStart w:id="79" w:name="_Toc15377221"/>
      <w:r>
        <w:rPr>
          <w:rFonts w:hint="eastAsia"/>
          <w:color w:val="auto"/>
          <w:highlight w:val="none"/>
        </w:rPr>
        <w:t>预算绩效管理情况</w:t>
      </w:r>
      <w:bookmarkEnd w:id="77"/>
    </w:p>
    <w:p>
      <w:pPr>
        <w:spacing w:line="58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根据预算绩效管理要求，本单位在2021年度预算编制阶段，因无项目支出，故不涉及事前评估和项目绩效目标，预算执行过程中，</w:t>
      </w:r>
      <w:r>
        <w:rPr>
          <w:rFonts w:hint="eastAsia" w:ascii="仿宋_GB2312" w:hAnsi="仿宋_GB2312" w:eastAsia="仿宋_GB2312" w:cs="仿宋_GB2312"/>
          <w:color w:val="auto"/>
          <w:sz w:val="32"/>
          <w:szCs w:val="32"/>
          <w:highlight w:val="none"/>
          <w:lang w:eastAsia="zh-CN"/>
        </w:rPr>
        <w:t>对校舍维修项目</w:t>
      </w:r>
      <w:r>
        <w:rPr>
          <w:rFonts w:hint="eastAsia" w:ascii="仿宋_GB2312" w:hAnsi="仿宋_GB2312" w:eastAsia="仿宋_GB2312" w:cs="仿宋_GB2312"/>
          <w:color w:val="auto"/>
          <w:sz w:val="32"/>
          <w:szCs w:val="32"/>
          <w:highlight w:val="none"/>
        </w:rPr>
        <w:t>编制了绩效目标</w:t>
      </w:r>
      <w:r>
        <w:rPr>
          <w:rFonts w:hint="eastAsia" w:ascii="仿宋_GB2312" w:hAnsi="仿宋_GB2312" w:eastAsia="仿宋_GB2312" w:cs="仿宋_GB2312"/>
          <w:color w:val="auto"/>
          <w:sz w:val="32"/>
          <w:szCs w:val="32"/>
          <w:highlight w:val="none"/>
          <w:lang w:eastAsia="zh-CN"/>
        </w:rPr>
        <w:t>，并</w:t>
      </w:r>
      <w:r>
        <w:rPr>
          <w:rFonts w:hint="eastAsia" w:ascii="仿宋_GB2312" w:hAnsi="仿宋_GB2312" w:eastAsia="仿宋_GB2312" w:cs="仿宋_GB2312"/>
          <w:color w:val="auto"/>
          <w:sz w:val="32"/>
          <w:szCs w:val="32"/>
          <w:highlight w:val="none"/>
        </w:rPr>
        <w:t>开展</w:t>
      </w:r>
      <w:r>
        <w:rPr>
          <w:rFonts w:hint="eastAsia" w:ascii="仿宋_GB2312" w:hAnsi="仿宋_GB2312" w:eastAsia="仿宋_GB2312" w:cs="仿宋_GB2312"/>
          <w:color w:val="auto"/>
          <w:sz w:val="32"/>
          <w:szCs w:val="32"/>
          <w:highlight w:val="none"/>
          <w:lang w:eastAsia="zh-CN"/>
        </w:rPr>
        <w:t>了</w:t>
      </w:r>
      <w:r>
        <w:rPr>
          <w:rFonts w:hint="eastAsia" w:ascii="仿宋_GB2312" w:hAnsi="仿宋_GB2312" w:eastAsia="仿宋_GB2312" w:cs="仿宋_GB2312"/>
          <w:color w:val="auto"/>
          <w:sz w:val="32"/>
          <w:szCs w:val="32"/>
          <w:highlight w:val="none"/>
        </w:rPr>
        <w:t>绩效</w:t>
      </w:r>
      <w:r>
        <w:rPr>
          <w:rFonts w:hint="eastAsia" w:ascii="仿宋_GB2312" w:hAnsi="仿宋_GB2312" w:eastAsia="仿宋_GB2312" w:cs="仿宋_GB2312"/>
          <w:color w:val="auto"/>
          <w:sz w:val="32"/>
          <w:szCs w:val="32"/>
          <w:highlight w:val="none"/>
          <w:lang w:eastAsia="zh-CN"/>
        </w:rPr>
        <w:t>运行</w:t>
      </w:r>
      <w:r>
        <w:rPr>
          <w:rFonts w:hint="eastAsia" w:ascii="仿宋_GB2312" w:hAnsi="仿宋_GB2312" w:eastAsia="仿宋_GB2312" w:cs="仿宋_GB2312"/>
          <w:color w:val="auto"/>
          <w:sz w:val="32"/>
          <w:szCs w:val="32"/>
          <w:highlight w:val="none"/>
        </w:rPr>
        <w:t>监控，年终执行完毕后，对</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个项目开展了绩效自评，2021年部门预算项目绩效目标自评表见附件（第四部分）。</w:t>
      </w:r>
    </w:p>
    <w:p>
      <w:pPr>
        <w:pStyle w:val="9"/>
        <w:spacing w:before="93"/>
        <w:rPr>
          <w:color w:val="auto"/>
          <w:highlight w:val="none"/>
        </w:rPr>
      </w:pPr>
    </w:p>
    <w:p>
      <w:pPr>
        <w:pStyle w:val="5"/>
        <w:numPr>
          <w:ilvl w:val="0"/>
          <w:numId w:val="4"/>
        </w:numPr>
        <w:bidi w:val="0"/>
        <w:rPr>
          <w:color w:val="auto"/>
          <w:highlight w:val="none"/>
        </w:rPr>
      </w:pPr>
      <w:bookmarkStart w:id="80" w:name="_Toc11548"/>
      <w:r>
        <w:rPr>
          <w:rFonts w:hint="eastAsia"/>
          <w:color w:val="auto"/>
          <w:highlight w:val="none"/>
        </w:rPr>
        <w:t>其他重要事项的情况说明</w:t>
      </w:r>
      <w:bookmarkEnd w:id="78"/>
      <w:bookmarkEnd w:id="79"/>
      <w:bookmarkEnd w:id="80"/>
    </w:p>
    <w:p>
      <w:pPr>
        <w:spacing w:line="600" w:lineRule="exact"/>
        <w:ind w:firstLine="643" w:firstLineChars="200"/>
        <w:outlineLvl w:val="2"/>
        <w:rPr>
          <w:rFonts w:ascii="仿宋" w:hAnsi="仿宋" w:eastAsia="仿宋"/>
          <w:color w:val="auto"/>
          <w:sz w:val="32"/>
          <w:szCs w:val="32"/>
          <w:highlight w:val="none"/>
        </w:rPr>
      </w:pPr>
      <w:bookmarkStart w:id="81" w:name="_Toc15377222"/>
      <w:r>
        <w:rPr>
          <w:rFonts w:hint="eastAsia" w:ascii="仿宋" w:hAnsi="仿宋" w:eastAsia="仿宋"/>
          <w:b/>
          <w:color w:val="auto"/>
          <w:sz w:val="32"/>
          <w:szCs w:val="32"/>
          <w:highlight w:val="none"/>
        </w:rPr>
        <w:t>（一）机关运行经费支出情况</w:t>
      </w:r>
      <w:bookmarkEnd w:id="81"/>
    </w:p>
    <w:p>
      <w:pPr>
        <w:keepNext w:val="0"/>
        <w:keepLines w:val="0"/>
        <w:widowControl w:val="0"/>
        <w:suppressLineNumbers w:val="0"/>
        <w:spacing w:before="0" w:beforeAutospacing="0" w:after="0" w:afterAutospacing="0" w:line="600" w:lineRule="exact"/>
        <w:ind w:left="0" w:right="0" w:firstLine="640"/>
        <w:jc w:val="both"/>
        <w:rPr>
          <w:rFonts w:hint="eastAsia" w:ascii="仿宋_GB2312" w:eastAsia="仿宋_GB2312" w:cs="仿宋_GB2312"/>
          <w:color w:val="auto"/>
          <w:sz w:val="32"/>
          <w:szCs w:val="32"/>
          <w:highlight w:val="none"/>
          <w:lang w:val="en-US"/>
        </w:rPr>
      </w:pPr>
      <w:bookmarkStart w:id="82" w:name="_Toc15377223"/>
      <w:r>
        <w:rPr>
          <w:rFonts w:hint="eastAsia" w:ascii="仿宋_GB2312" w:hAnsi="Times New Roman" w:eastAsia="仿宋_GB2312" w:cs="仿宋_GB2312"/>
          <w:color w:val="auto"/>
          <w:kern w:val="2"/>
          <w:sz w:val="32"/>
          <w:szCs w:val="32"/>
          <w:highlight w:val="none"/>
          <w:lang w:val="en-US" w:eastAsia="zh-CN" w:bidi="ar"/>
        </w:rPr>
        <w:t>202</w:t>
      </w:r>
      <w:r>
        <w:rPr>
          <w:rFonts w:hint="eastAsia" w:ascii="仿宋_GB2312" w:eastAsia="仿宋_GB2312" w:cs="仿宋_GB2312"/>
          <w:color w:val="auto"/>
          <w:kern w:val="2"/>
          <w:sz w:val="32"/>
          <w:szCs w:val="32"/>
          <w:highlight w:val="none"/>
          <w:lang w:val="en-US" w:eastAsia="zh-CN" w:bidi="ar"/>
        </w:rPr>
        <w:t>1</w:t>
      </w:r>
      <w:r>
        <w:rPr>
          <w:rFonts w:hint="eastAsia" w:ascii="仿宋_GB2312" w:hAnsi="Times New Roman" w:eastAsia="仿宋_GB2312" w:cs="仿宋_GB2312"/>
          <w:color w:val="auto"/>
          <w:kern w:val="2"/>
          <w:sz w:val="32"/>
          <w:szCs w:val="32"/>
          <w:highlight w:val="none"/>
          <w:lang w:val="en-US" w:eastAsia="zh-CN" w:bidi="ar"/>
        </w:rPr>
        <w:t>年，我部门</w:t>
      </w:r>
      <w:r>
        <w:rPr>
          <w:rFonts w:hint="eastAsia" w:ascii="仿宋_GB2312" w:eastAsia="仿宋_GB2312" w:cs="仿宋_GB2312"/>
          <w:color w:val="auto"/>
          <w:kern w:val="2"/>
          <w:sz w:val="32"/>
          <w:szCs w:val="32"/>
          <w:highlight w:val="none"/>
          <w:lang w:val="en-US" w:eastAsia="zh-CN" w:bidi="ar"/>
        </w:rPr>
        <w:t>机关</w:t>
      </w:r>
      <w:r>
        <w:rPr>
          <w:rFonts w:hint="eastAsia" w:ascii="仿宋_GB2312" w:hAnsi="Times New Roman" w:eastAsia="仿宋_GB2312" w:cs="仿宋_GB2312"/>
          <w:color w:val="auto"/>
          <w:kern w:val="2"/>
          <w:sz w:val="32"/>
          <w:szCs w:val="32"/>
          <w:highlight w:val="none"/>
          <w:lang w:val="en-US" w:eastAsia="zh-CN" w:bidi="ar"/>
        </w:rPr>
        <w:t>运行经费支出0元，</w:t>
      </w:r>
      <w:r>
        <w:rPr>
          <w:rFonts w:hint="eastAsia" w:ascii="仿宋_GB2312" w:eastAsia="仿宋_GB2312" w:cs="仿宋_GB2312"/>
          <w:color w:val="auto"/>
          <w:kern w:val="2"/>
          <w:sz w:val="32"/>
          <w:szCs w:val="32"/>
          <w:highlight w:val="none"/>
          <w:lang w:val="en-US" w:eastAsia="zh-CN" w:bidi="ar"/>
        </w:rPr>
        <w:t>与</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20</w:t>
      </w:r>
      <w:r>
        <w:rPr>
          <w:rFonts w:hint="eastAsia" w:ascii="仿宋_GB2312" w:eastAsia="仿宋_GB2312"/>
          <w:color w:val="auto"/>
          <w:sz w:val="32"/>
          <w:szCs w:val="32"/>
          <w:highlight w:val="none"/>
        </w:rPr>
        <w:t>年决算数持平</w:t>
      </w:r>
      <w:r>
        <w:rPr>
          <w:rFonts w:hint="eastAsia" w:ascii="仿宋_GB2312" w:hAnsi="Times New Roman" w:eastAsia="仿宋_GB2312" w:cs="仿宋_GB2312"/>
          <w:color w:val="auto"/>
          <w:kern w:val="2"/>
          <w:sz w:val="32"/>
          <w:szCs w:val="32"/>
          <w:highlight w:val="none"/>
          <w:lang w:val="en-US" w:eastAsia="zh-CN" w:bidi="ar"/>
        </w:rPr>
        <w:t>。主要原因是本单位为事业单位，</w:t>
      </w:r>
      <w:r>
        <w:rPr>
          <w:rFonts w:hint="eastAsia" w:ascii="仿宋_GB2312" w:eastAsia="仿宋_GB2312" w:cs="仿宋_GB2312"/>
          <w:color w:val="auto"/>
          <w:kern w:val="2"/>
          <w:sz w:val="32"/>
          <w:szCs w:val="32"/>
          <w:highlight w:val="none"/>
          <w:lang w:val="en-US" w:eastAsia="zh-CN" w:bidi="ar"/>
        </w:rPr>
        <w:t>未发生</w:t>
      </w:r>
      <w:r>
        <w:rPr>
          <w:rFonts w:hint="eastAsia" w:ascii="仿宋_GB2312" w:hAnsi="Times New Roman" w:eastAsia="仿宋_GB2312" w:cs="仿宋_GB2312"/>
          <w:color w:val="auto"/>
          <w:kern w:val="2"/>
          <w:sz w:val="32"/>
          <w:szCs w:val="32"/>
          <w:highlight w:val="none"/>
          <w:lang w:val="en-US" w:eastAsia="zh-CN" w:bidi="ar"/>
        </w:rPr>
        <w:t>机关运行经费支出。</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（二）政府采购支出情况</w:t>
      </w:r>
      <w:bookmarkEnd w:id="82"/>
    </w:p>
    <w:p>
      <w:pPr>
        <w:spacing w:line="600" w:lineRule="exact"/>
        <w:ind w:firstLine="640" w:firstLineChars="200"/>
        <w:rPr>
          <w:rFonts w:hint="default" w:ascii="仿宋_GB2312" w:eastAsia="仿宋_GB2312"/>
          <w:color w:val="auto"/>
          <w:sz w:val="32"/>
          <w:szCs w:val="32"/>
          <w:highlight w:val="none"/>
          <w:lang w:val="en-US" w:eastAsia="zh-CN"/>
        </w:rPr>
      </w:pPr>
      <w:r>
        <w:rPr>
          <w:rFonts w:ascii="仿宋_GB2312" w:eastAsia="仿宋_GB2312"/>
          <w:color w:val="auto"/>
          <w:sz w:val="32"/>
          <w:szCs w:val="32"/>
          <w:highlight w:val="none"/>
        </w:rPr>
        <w:t>20</w:t>
      </w:r>
      <w:r>
        <w:rPr>
          <w:rFonts w:hint="eastAsia" w:ascii="仿宋_GB2312" w:eastAsia="仿宋_GB2312"/>
          <w:color w:val="auto"/>
          <w:sz w:val="32"/>
          <w:szCs w:val="32"/>
          <w:highlight w:val="none"/>
        </w:rPr>
        <w:t>21年，我单位政府采购支出</w:t>
      </w:r>
      <w:r>
        <w:rPr>
          <w:rFonts w:hint="eastAsia" w:ascii="仿宋_GB2312" w:eastAsia="仿宋_GB2312"/>
          <w:color w:val="auto"/>
          <w:sz w:val="32"/>
          <w:szCs w:val="32"/>
          <w:highlight w:val="none"/>
          <w:lang w:eastAsia="zh-CN"/>
        </w:rPr>
        <w:t>年初未预算采购经费，</w:t>
      </w:r>
      <w:r>
        <w:rPr>
          <w:rFonts w:hint="eastAsia" w:ascii="仿宋_GB2312" w:eastAsia="仿宋_GB2312"/>
          <w:color w:val="auto"/>
          <w:sz w:val="32"/>
          <w:szCs w:val="32"/>
          <w:highlight w:val="none"/>
        </w:rPr>
        <w:t>政府采购支出总额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 xml:space="preserve"> </w:t>
      </w:r>
      <w:r>
        <w:rPr>
          <w:rFonts w:hint="eastAsia" w:ascii="仿宋_GB2312" w:eastAsia="仿宋_GB2312" w:cs="仿宋_GB2312"/>
          <w:color w:val="auto"/>
          <w:kern w:val="2"/>
          <w:sz w:val="32"/>
          <w:szCs w:val="32"/>
          <w:highlight w:val="none"/>
          <w:lang w:val="en-US" w:eastAsia="zh-CN" w:bidi="ar"/>
        </w:rPr>
        <w:t>与</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20</w:t>
      </w:r>
      <w:r>
        <w:rPr>
          <w:rFonts w:hint="eastAsia" w:ascii="仿宋_GB2312" w:eastAsia="仿宋_GB2312"/>
          <w:color w:val="auto"/>
          <w:sz w:val="32"/>
          <w:szCs w:val="32"/>
          <w:highlight w:val="none"/>
        </w:rPr>
        <w:t>年决算数持平</w:t>
      </w:r>
      <w:r>
        <w:rPr>
          <w:rFonts w:hint="eastAsia" w:ascii="仿宋_GB2312" w:hAnsi="Times New Roman" w:eastAsia="仿宋_GB2312" w:cs="仿宋_GB2312"/>
          <w:color w:val="auto"/>
          <w:kern w:val="2"/>
          <w:sz w:val="32"/>
          <w:szCs w:val="32"/>
          <w:highlight w:val="none"/>
          <w:lang w:val="en-US" w:eastAsia="zh-CN" w:bidi="ar"/>
        </w:rPr>
        <w:t>。</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83" w:name="_Toc15377224"/>
      <w:r>
        <w:rPr>
          <w:rFonts w:hint="eastAsia" w:ascii="仿宋" w:hAnsi="仿宋" w:eastAsia="仿宋"/>
          <w:b/>
          <w:color w:val="auto"/>
          <w:sz w:val="32"/>
          <w:szCs w:val="32"/>
          <w:highlight w:val="none"/>
        </w:rPr>
        <w:t>（三）国有资产占有使用情况</w:t>
      </w:r>
      <w:bookmarkEnd w:id="83"/>
    </w:p>
    <w:p>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color w:val="auto"/>
          <w:sz w:val="32"/>
          <w:szCs w:val="32"/>
          <w:highlight w:val="none"/>
          <w:lang w:eastAsia="zh-CN"/>
        </w:rPr>
        <w:t>我单位</w:t>
      </w:r>
      <w:r>
        <w:rPr>
          <w:rFonts w:hint="eastAsia" w:ascii="仿宋_GB2312" w:eastAsia="仿宋_GB2312"/>
          <w:color w:val="auto"/>
          <w:sz w:val="32"/>
          <w:szCs w:val="32"/>
          <w:highlight w:val="none"/>
        </w:rPr>
        <w:t>共有车辆</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辆，其中：主要领导干部用车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辆、机要通信用车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辆、应急保障用车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辆、其他用车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50</w:t>
      </w:r>
      <w:r>
        <w:rPr>
          <w:rFonts w:hint="eastAsia" w:ascii="仿宋_GB2312" w:eastAsia="仿宋_GB2312"/>
          <w:color w:val="auto"/>
          <w:sz w:val="32"/>
          <w:szCs w:val="32"/>
          <w:highlight w:val="none"/>
        </w:rPr>
        <w:t>万元以上通用设备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p>
    <w:p>
      <w:pPr>
        <w:pStyle w:val="9"/>
        <w:spacing w:before="93"/>
        <w:rPr>
          <w:color w:val="auto"/>
          <w:highlight w:val="none"/>
        </w:rPr>
      </w:pPr>
    </w:p>
    <w:p>
      <w:pPr>
        <w:widowControl/>
        <w:jc w:val="left"/>
        <w:rPr>
          <w:rFonts w:ascii="仿宋_GB2312" w:eastAsia="仿宋_GB2312"/>
          <w:b/>
          <w:color w:val="auto"/>
          <w:sz w:val="32"/>
          <w:szCs w:val="32"/>
          <w:highlight w:val="none"/>
        </w:rPr>
      </w:pPr>
      <w:r>
        <w:rPr>
          <w:rFonts w:ascii="仿宋_GB2312" w:eastAsia="仿宋_GB2312"/>
          <w:b/>
          <w:color w:val="auto"/>
          <w:sz w:val="32"/>
          <w:szCs w:val="32"/>
          <w:highlight w:val="none"/>
        </w:rPr>
        <w:br w:type="page"/>
      </w:r>
    </w:p>
    <w:p>
      <w:pPr>
        <w:pStyle w:val="4"/>
        <w:numPr>
          <w:ilvl w:val="0"/>
          <w:numId w:val="5"/>
        </w:numPr>
        <w:bidi w:val="0"/>
        <w:rPr>
          <w:color w:val="auto"/>
          <w:highlight w:val="none"/>
        </w:rPr>
      </w:pPr>
      <w:bookmarkStart w:id="84" w:name="_Toc15377225"/>
      <w:bookmarkStart w:id="85" w:name="_Toc15396613"/>
      <w:bookmarkStart w:id="86" w:name="_Toc27075"/>
      <w:r>
        <w:rPr>
          <w:rFonts w:hint="eastAsia"/>
          <w:color w:val="auto"/>
          <w:highlight w:val="none"/>
        </w:rPr>
        <w:t>名词解释</w:t>
      </w:r>
      <w:bookmarkEnd w:id="84"/>
      <w:bookmarkEnd w:id="85"/>
      <w:bookmarkEnd w:id="86"/>
    </w:p>
    <w:p>
      <w:pPr>
        <w:spacing w:line="600" w:lineRule="exact"/>
        <w:jc w:val="left"/>
        <w:rPr>
          <w:rFonts w:ascii="宋体"/>
          <w:b/>
          <w:color w:val="auto"/>
          <w:sz w:val="44"/>
          <w:szCs w:val="44"/>
          <w:highlight w:val="none"/>
        </w:rPr>
      </w:pPr>
    </w:p>
    <w:p>
      <w:pPr>
        <w:pStyle w:val="27"/>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1.</w:t>
      </w:r>
      <w:r>
        <w:rPr>
          <w:rFonts w:hint="eastAsia" w:ascii="仿宋_GB2312" w:eastAsia="仿宋_GB2312"/>
          <w:color w:val="auto"/>
          <w:sz w:val="32"/>
          <w:szCs w:val="32"/>
          <w:highlight w:val="none"/>
        </w:rPr>
        <w:t>财政拨款收入：指单位从同级财政部门取得的财政预算资金。</w:t>
      </w:r>
    </w:p>
    <w:p>
      <w:pPr>
        <w:pStyle w:val="27"/>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2</w:t>
      </w:r>
      <w:r>
        <w:rPr>
          <w:rFonts w:ascii="仿宋_GB2312" w:eastAsia="仿宋_GB2312"/>
          <w:color w:val="auto"/>
          <w:sz w:val="32"/>
          <w:szCs w:val="32"/>
          <w:highlight w:val="none"/>
        </w:rPr>
        <w:t>.</w:t>
      </w:r>
      <w:r>
        <w:rPr>
          <w:rFonts w:hint="eastAsia" w:ascii="仿宋_GB2312" w:eastAsia="仿宋_GB2312"/>
          <w:color w:val="auto"/>
          <w:sz w:val="32"/>
          <w:szCs w:val="32"/>
          <w:highlight w:val="none"/>
        </w:rPr>
        <w:t>使用非财政拨款结余：指事业单位使用以前年度积累的非财政拨款结余弥补当年收支差额的金额。</w:t>
      </w:r>
      <w:r>
        <w:rPr>
          <w:rFonts w:ascii="仿宋_GB2312" w:eastAsia="仿宋_GB2312"/>
          <w:color w:val="auto"/>
          <w:sz w:val="32"/>
          <w:szCs w:val="32"/>
          <w:highlight w:val="none"/>
        </w:rPr>
        <w:t xml:space="preserve"> </w:t>
      </w:r>
    </w:p>
    <w:p>
      <w:pPr>
        <w:pStyle w:val="27"/>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3</w:t>
      </w:r>
      <w:r>
        <w:rPr>
          <w:rFonts w:ascii="仿宋_GB2312" w:eastAsia="仿宋_GB2312"/>
          <w:color w:val="auto"/>
          <w:sz w:val="32"/>
          <w:szCs w:val="32"/>
          <w:highlight w:val="none"/>
        </w:rPr>
        <w:t>.</w:t>
      </w:r>
      <w:r>
        <w:rPr>
          <w:rFonts w:hint="eastAsia" w:ascii="仿宋_GB2312" w:eastAsia="仿宋_GB2312"/>
          <w:color w:val="auto"/>
          <w:sz w:val="32"/>
          <w:szCs w:val="32"/>
          <w:highlight w:val="none"/>
        </w:rPr>
        <w:t>年初结转和结余：指以前年度尚未完成、结转到本年按有关规定继续使用的资金。</w:t>
      </w:r>
      <w:r>
        <w:rPr>
          <w:rFonts w:ascii="仿宋_GB2312" w:eastAsia="仿宋_GB2312"/>
          <w:color w:val="auto"/>
          <w:sz w:val="32"/>
          <w:szCs w:val="32"/>
          <w:highlight w:val="none"/>
        </w:rPr>
        <w:t xml:space="preserve"> </w:t>
      </w:r>
    </w:p>
    <w:p>
      <w:pPr>
        <w:pStyle w:val="27"/>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4</w:t>
      </w:r>
      <w:r>
        <w:rPr>
          <w:rFonts w:ascii="仿宋_GB2312" w:eastAsia="仿宋_GB2312"/>
          <w:color w:val="auto"/>
          <w:sz w:val="32"/>
          <w:szCs w:val="32"/>
          <w:highlight w:val="none"/>
        </w:rPr>
        <w:t>.</w:t>
      </w:r>
      <w:r>
        <w:rPr>
          <w:rFonts w:hint="eastAsia" w:ascii="仿宋_GB2312" w:eastAsia="仿宋_GB2312"/>
          <w:color w:val="auto"/>
          <w:sz w:val="32"/>
          <w:szCs w:val="32"/>
          <w:highlight w:val="none"/>
        </w:rPr>
        <w:t>结余分配：指事业单位按照会计制度规定缴纳的所得税、提取的专用结余以及转入非财政拨款结余的金额等。</w:t>
      </w:r>
    </w:p>
    <w:p>
      <w:pPr>
        <w:pStyle w:val="27"/>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5</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rPr>
        <w:t>年末结转和结余：指单位按有关规定结转到下年或以后年度继续使用的资金。</w:t>
      </w:r>
    </w:p>
    <w:p>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6</w:t>
      </w:r>
      <w:r>
        <w:rPr>
          <w:rFonts w:ascii="仿宋_GB2312" w:eastAsia="仿宋_GB2312"/>
          <w:color w:val="auto"/>
          <w:sz w:val="32"/>
          <w:szCs w:val="32"/>
          <w:highlight w:val="none"/>
        </w:rPr>
        <w:t>.</w:t>
      </w:r>
      <w:r>
        <w:rPr>
          <w:rFonts w:hint="eastAsia" w:ascii="仿宋_GB2312" w:eastAsia="仿宋_GB2312"/>
          <w:color w:val="auto"/>
          <w:sz w:val="32"/>
          <w:szCs w:val="32"/>
          <w:highlight w:val="none"/>
        </w:rPr>
        <w:t>教育（类）普通教育（款）小学教育（项）：指小学教育。</w:t>
      </w:r>
    </w:p>
    <w:p>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7</w:t>
      </w:r>
      <w:r>
        <w:rPr>
          <w:rFonts w:ascii="仿宋_GB2312" w:eastAsia="仿宋_GB2312"/>
          <w:color w:val="auto"/>
          <w:sz w:val="32"/>
          <w:szCs w:val="32"/>
          <w:highlight w:val="none"/>
        </w:rPr>
        <w:t>.</w:t>
      </w:r>
      <w:r>
        <w:rPr>
          <w:rFonts w:hint="eastAsia" w:ascii="仿宋_GB2312" w:eastAsia="仿宋_GB2312"/>
          <w:color w:val="auto"/>
          <w:sz w:val="32"/>
          <w:szCs w:val="32"/>
          <w:highlight w:val="none"/>
        </w:rPr>
        <w:t>教育（类）普通教育（款）其他普通教育支出（项）：指其他普通教育支出。</w:t>
      </w:r>
    </w:p>
    <w:p>
      <w:pPr>
        <w:numPr>
          <w:ilvl w:val="0"/>
          <w:numId w:val="0"/>
        </w:numPr>
        <w:spacing w:line="600" w:lineRule="exact"/>
        <w:ind w:firstLine="640" w:firstLineChars="200"/>
        <w:rPr>
          <w:rFonts w:hint="eastAsia" w:ascii="仿宋_GB2312" w:hAnsi="Calibri" w:eastAsia="仿宋_GB2312" w:cs="仿宋"/>
          <w:color w:val="auto"/>
          <w:kern w:val="0"/>
          <w:sz w:val="32"/>
          <w:szCs w:val="32"/>
          <w:highlight w:val="none"/>
          <w:lang w:val="en-US" w:eastAsia="zh-CN" w:bidi="ar-SA"/>
        </w:rPr>
      </w:pPr>
      <w:r>
        <w:rPr>
          <w:rFonts w:hint="eastAsia" w:ascii="仿宋_GB2312" w:hAnsi="Calibri" w:eastAsia="仿宋_GB2312" w:cs="仿宋"/>
          <w:color w:val="auto"/>
          <w:kern w:val="0"/>
          <w:sz w:val="32"/>
          <w:szCs w:val="32"/>
          <w:highlight w:val="none"/>
          <w:lang w:val="en-US" w:eastAsia="zh-CN" w:bidi="ar-SA"/>
        </w:rPr>
        <w:t>8.社会保障和就业支出（类）行政事业单位养老支出（款）机关事业单位基本养老保险缴费支出（项）: 指机关事业单位实施养老保险制度由单位缴纳的基本养老保险费支出。</w:t>
      </w:r>
    </w:p>
    <w:p>
      <w:pPr>
        <w:pStyle w:val="2"/>
        <w:ind w:left="0" w:leftChars="0" w:firstLine="640" w:firstLineChars="200"/>
        <w:rPr>
          <w:rFonts w:hint="eastAsia"/>
          <w:color w:val="auto"/>
          <w:highlight w:val="none"/>
          <w:lang w:val="en-US" w:eastAsia="zh-CN"/>
        </w:rPr>
      </w:pPr>
      <w:r>
        <w:rPr>
          <w:rFonts w:hint="eastAsia" w:ascii="仿宋_GB2312" w:hAnsi="Calibri" w:eastAsia="仿宋_GB2312" w:cs="仿宋"/>
          <w:color w:val="auto"/>
          <w:kern w:val="0"/>
          <w:sz w:val="32"/>
          <w:szCs w:val="32"/>
          <w:highlight w:val="none"/>
          <w:lang w:val="en-US" w:eastAsia="zh-CN" w:bidi="ar-SA"/>
        </w:rPr>
        <w:t>9.社会保障和就业支出（类）其他社会保障和就业支出（款）其他社会保障和就业支出（项）: 指其他用于社会保障和就业方面的支出。</w:t>
      </w:r>
    </w:p>
    <w:p>
      <w:pPr>
        <w:pStyle w:val="9"/>
        <w:ind w:firstLine="640" w:firstLineChars="200"/>
        <w:rPr>
          <w:color w:val="auto"/>
          <w:highlight w:val="none"/>
        </w:rPr>
      </w:pPr>
      <w:r>
        <w:rPr>
          <w:rFonts w:hint="eastAsia" w:hAnsi="Calibri" w:cs="仿宋"/>
          <w:color w:val="auto"/>
          <w:kern w:val="0"/>
          <w:sz w:val="32"/>
          <w:szCs w:val="32"/>
          <w:highlight w:val="none"/>
          <w:lang w:val="en-US" w:eastAsia="zh-CN"/>
        </w:rPr>
        <w:t>10.</w:t>
      </w:r>
      <w:r>
        <w:rPr>
          <w:rFonts w:hint="eastAsia" w:ascii="仿宋_GB2312" w:hAnsi="Calibri" w:eastAsia="仿宋_GB2312" w:cs="仿宋"/>
          <w:color w:val="auto"/>
          <w:kern w:val="0"/>
          <w:sz w:val="32"/>
          <w:szCs w:val="32"/>
          <w:highlight w:val="none"/>
          <w:lang w:val="en-US" w:eastAsia="zh-CN"/>
        </w:rPr>
        <w:t>卫生健康（类）行政事业单位医疗（款）事业单位医疗（项）：指财政部门安排的事业单位基本医疗保险缴费经费，未参加医疗保险的事业单位的公费医疗经费，按国家规定享受离休人员待遇的医疗保险。</w:t>
      </w:r>
    </w:p>
    <w:p>
      <w:pPr>
        <w:pStyle w:val="9"/>
        <w:ind w:firstLine="640" w:firstLineChars="200"/>
        <w:rPr>
          <w:color w:val="auto"/>
          <w:highlight w:val="none"/>
        </w:rPr>
      </w:pPr>
      <w:r>
        <w:rPr>
          <w:rFonts w:hint="eastAsia" w:hAnsi="Calibri" w:cs="仿宋"/>
          <w:color w:val="auto"/>
          <w:kern w:val="0"/>
          <w:sz w:val="32"/>
          <w:szCs w:val="32"/>
          <w:highlight w:val="none"/>
          <w:lang w:val="en-US" w:eastAsia="zh-CN"/>
        </w:rPr>
        <w:t>11.</w:t>
      </w:r>
      <w:r>
        <w:rPr>
          <w:rFonts w:hint="eastAsia" w:ascii="仿宋_GB2312" w:hAnsi="Calibri" w:eastAsia="仿宋_GB2312" w:cs="仿宋"/>
          <w:color w:val="auto"/>
          <w:kern w:val="0"/>
          <w:sz w:val="32"/>
          <w:szCs w:val="32"/>
          <w:highlight w:val="none"/>
          <w:lang w:val="en-US" w:eastAsia="zh-CN"/>
        </w:rPr>
        <w:t>住房保障支出（类）住房改革支出（款）住房公积金（项）：指行政事业单位按人力资源和社会保障部、财政部规定的基本工资和津贴补贴以及规定比例为职工缴纳的住房公积金。</w:t>
      </w:r>
    </w:p>
    <w:p>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12</w:t>
      </w:r>
      <w:r>
        <w:rPr>
          <w:rFonts w:ascii="仿宋_GB2312" w:eastAsia="仿宋_GB2312"/>
          <w:color w:val="auto"/>
          <w:sz w:val="32"/>
          <w:szCs w:val="32"/>
          <w:highlight w:val="none"/>
        </w:rPr>
        <w:t>.</w:t>
      </w:r>
      <w:r>
        <w:rPr>
          <w:rFonts w:hint="eastAsia" w:ascii="仿宋_GB2312" w:eastAsia="仿宋_GB2312"/>
          <w:color w:val="auto"/>
          <w:sz w:val="32"/>
          <w:szCs w:val="32"/>
          <w:highlight w:val="none"/>
        </w:rPr>
        <w:t>基本支出：指为保障机构正常运转、完成日常工作任务而发生的人员支出和公用支出。</w:t>
      </w:r>
    </w:p>
    <w:p>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1</w:t>
      </w:r>
      <w:r>
        <w:rPr>
          <w:rFonts w:hint="eastAsia" w:ascii="仿宋_GB2312" w:eastAsia="仿宋_GB2312"/>
          <w:color w:val="auto"/>
          <w:sz w:val="32"/>
          <w:szCs w:val="32"/>
          <w:highlight w:val="none"/>
          <w:lang w:val="en-US" w:eastAsia="zh-CN"/>
        </w:rPr>
        <w:t>3</w:t>
      </w:r>
      <w:r>
        <w:rPr>
          <w:rFonts w:ascii="仿宋_GB2312" w:eastAsia="仿宋_GB2312"/>
          <w:color w:val="auto"/>
          <w:sz w:val="32"/>
          <w:szCs w:val="32"/>
          <w:highlight w:val="none"/>
        </w:rPr>
        <w:t>.</w:t>
      </w:r>
      <w:r>
        <w:rPr>
          <w:rFonts w:hint="eastAsia" w:ascii="仿宋_GB2312" w:eastAsia="仿宋_GB2312"/>
          <w:color w:val="auto"/>
          <w:sz w:val="32"/>
          <w:szCs w:val="32"/>
          <w:highlight w:val="none"/>
        </w:rPr>
        <w:t>项目支出：指在基本支出之外为完成特定行政任务和事业发展目标所发生的支出。</w:t>
      </w:r>
      <w:r>
        <w:rPr>
          <w:rFonts w:ascii="仿宋_GB2312" w:eastAsia="仿宋_GB2312"/>
          <w:color w:val="auto"/>
          <w:sz w:val="32"/>
          <w:szCs w:val="32"/>
          <w:highlight w:val="none"/>
        </w:rPr>
        <w:t xml:space="preserve"> </w:t>
      </w:r>
    </w:p>
    <w:p>
      <w:pPr>
        <w:pStyle w:val="27"/>
        <w:spacing w:line="56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1</w:t>
      </w:r>
      <w:r>
        <w:rPr>
          <w:rFonts w:hint="eastAsia" w:ascii="仿宋_GB2312" w:eastAsia="仿宋_GB2312"/>
          <w:color w:val="auto"/>
          <w:sz w:val="32"/>
          <w:szCs w:val="32"/>
          <w:highlight w:val="none"/>
          <w:lang w:val="en-US" w:eastAsia="zh-CN"/>
        </w:rPr>
        <w:t>4</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bookmarkStart w:id="87" w:name="_Toc15377226"/>
    </w:p>
    <w:p>
      <w:pPr>
        <w:pStyle w:val="27"/>
        <w:spacing w:line="560" w:lineRule="exact"/>
        <w:ind w:firstLine="883" w:firstLineChars="200"/>
        <w:jc w:val="center"/>
        <w:rPr>
          <w:rStyle w:val="29"/>
          <w:color w:val="auto"/>
          <w:highlight w:val="none"/>
        </w:rPr>
      </w:pPr>
      <w:r>
        <w:rPr>
          <w:rFonts w:ascii="宋体"/>
          <w:b/>
          <w:color w:val="auto"/>
          <w:sz w:val="44"/>
          <w:szCs w:val="44"/>
          <w:highlight w:val="none"/>
        </w:rPr>
        <w:br w:type="page"/>
      </w:r>
      <w:bookmarkStart w:id="88" w:name="_Toc15396614"/>
      <w:bookmarkStart w:id="89" w:name="_Toc24127"/>
      <w:r>
        <w:rPr>
          <w:rStyle w:val="29"/>
          <w:rFonts w:hint="eastAsia"/>
          <w:color w:val="auto"/>
          <w:highlight w:val="none"/>
        </w:rPr>
        <w:t>第四部分 附件</w:t>
      </w:r>
      <w:bookmarkEnd w:id="88"/>
    </w:p>
    <w:bookmarkEnd w:id="89"/>
    <w:tbl>
      <w:tblPr>
        <w:tblStyle w:val="17"/>
        <w:tblpPr w:leftFromText="180" w:rightFromText="180" w:vertAnchor="text" w:horzAnchor="page" w:tblpX="1702" w:tblpY="109"/>
        <w:tblOverlap w:val="never"/>
        <w:tblW w:w="9454" w:type="dxa"/>
        <w:tblInd w:w="0" w:type="dxa"/>
        <w:tblLayout w:type="fixed"/>
        <w:tblCellMar>
          <w:top w:w="0" w:type="dxa"/>
          <w:left w:w="108" w:type="dxa"/>
          <w:bottom w:w="0" w:type="dxa"/>
          <w:right w:w="108" w:type="dxa"/>
        </w:tblCellMar>
      </w:tblPr>
      <w:tblGrid>
        <w:gridCol w:w="1113"/>
        <w:gridCol w:w="1005"/>
        <w:gridCol w:w="1215"/>
        <w:gridCol w:w="2385"/>
        <w:gridCol w:w="1178"/>
        <w:gridCol w:w="2322"/>
        <w:gridCol w:w="236"/>
      </w:tblGrid>
      <w:tr>
        <w:tblPrEx>
          <w:tblCellMar>
            <w:top w:w="0" w:type="dxa"/>
            <w:left w:w="108" w:type="dxa"/>
            <w:bottom w:w="0" w:type="dxa"/>
            <w:right w:w="108" w:type="dxa"/>
          </w:tblCellMar>
        </w:tblPrEx>
        <w:trPr>
          <w:trHeight w:val="739" w:hRule="atLeast"/>
        </w:trPr>
        <w:tc>
          <w:tcPr>
            <w:tcW w:w="9218" w:type="dxa"/>
            <w:gridSpan w:val="6"/>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color w:val="auto"/>
                <w:sz w:val="32"/>
                <w:szCs w:val="32"/>
                <w:highlight w:val="none"/>
                <w:lang w:eastAsia="zh-CN"/>
              </w:rPr>
            </w:pPr>
            <w:bookmarkStart w:id="90" w:name="_Toc11431"/>
            <w:r>
              <w:rPr>
                <w:rFonts w:hint="eastAsia" w:ascii="仿宋" w:hAnsi="仿宋" w:eastAsia="仿宋" w:cs="仿宋"/>
                <w:b/>
                <w:color w:val="auto"/>
                <w:sz w:val="32"/>
                <w:szCs w:val="32"/>
                <w:highlight w:val="none"/>
              </w:rPr>
              <w:t>2021年部门预算项目绩效目标自评</w:t>
            </w:r>
            <w:r>
              <w:rPr>
                <w:rFonts w:hint="eastAsia" w:ascii="仿宋" w:hAnsi="仿宋" w:eastAsia="仿宋" w:cs="仿宋"/>
                <w:b/>
                <w:color w:val="auto"/>
                <w:sz w:val="32"/>
                <w:szCs w:val="32"/>
                <w:highlight w:val="none"/>
                <w:lang w:eastAsia="zh-CN"/>
              </w:rPr>
              <w:t>（校舍安全保障）</w:t>
            </w:r>
          </w:p>
        </w:tc>
        <w:tc>
          <w:tcPr>
            <w:tcW w:w="236" w:type="dxa"/>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color w:val="auto"/>
                <w:kern w:val="0"/>
                <w:sz w:val="32"/>
                <w:szCs w:val="32"/>
                <w:highlight w:val="none"/>
              </w:rPr>
            </w:pPr>
          </w:p>
        </w:tc>
      </w:tr>
      <w:tr>
        <w:tblPrEx>
          <w:tblCellMar>
            <w:top w:w="0" w:type="dxa"/>
            <w:left w:w="108" w:type="dxa"/>
            <w:bottom w:w="0" w:type="dxa"/>
            <w:right w:w="108" w:type="dxa"/>
          </w:tblCellMar>
        </w:tblPrEx>
        <w:trPr>
          <w:gridAfter w:val="1"/>
          <w:wAfter w:w="236" w:type="dxa"/>
          <w:trHeight w:val="391" w:hRule="atLeast"/>
        </w:trPr>
        <w:tc>
          <w:tcPr>
            <w:tcW w:w="21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主管部门及代码</w:t>
            </w:r>
          </w:p>
        </w:tc>
        <w:tc>
          <w:tcPr>
            <w:tcW w:w="3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textAlignment w:val="center"/>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360318</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实施单位</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textAlignment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广元市昭化区卫子镇梅树小学</w:t>
            </w:r>
          </w:p>
        </w:tc>
      </w:tr>
      <w:tr>
        <w:tblPrEx>
          <w:tblCellMar>
            <w:top w:w="0" w:type="dxa"/>
            <w:left w:w="108" w:type="dxa"/>
            <w:bottom w:w="0" w:type="dxa"/>
            <w:right w:w="108" w:type="dxa"/>
          </w:tblCellMar>
        </w:tblPrEx>
        <w:trPr>
          <w:gridAfter w:val="1"/>
          <w:wAfter w:w="236" w:type="dxa"/>
          <w:trHeight w:val="415" w:hRule="atLeast"/>
        </w:trPr>
        <w:tc>
          <w:tcPr>
            <w:tcW w:w="211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项目预算</w:t>
            </w:r>
          </w:p>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执行情况</w:t>
            </w:r>
          </w:p>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（万元）</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 xml:space="preserve"> 预算数：</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185</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 xml:space="preserve"> 执行数：</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185</w:t>
            </w:r>
          </w:p>
        </w:tc>
      </w:tr>
      <w:tr>
        <w:tblPrEx>
          <w:tblCellMar>
            <w:top w:w="0" w:type="dxa"/>
            <w:left w:w="108" w:type="dxa"/>
            <w:bottom w:w="0" w:type="dxa"/>
            <w:right w:w="108" w:type="dxa"/>
          </w:tblCellMar>
        </w:tblPrEx>
        <w:trPr>
          <w:gridAfter w:val="1"/>
          <w:wAfter w:w="236" w:type="dxa"/>
          <w:trHeight w:val="762"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其中：</w:t>
            </w:r>
          </w:p>
          <w:p>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财政拨款</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lang w:val="en-US"/>
              </w:rPr>
            </w:pPr>
            <w:r>
              <w:rPr>
                <w:rFonts w:hint="eastAsia" w:ascii="仿宋" w:hAnsi="仿宋" w:eastAsia="仿宋" w:cs="仿宋"/>
                <w:color w:val="auto"/>
                <w:sz w:val="24"/>
                <w:highlight w:val="none"/>
                <w:lang w:val="en-US" w:eastAsia="zh-CN"/>
              </w:rPr>
              <w:t>185</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其中：</w:t>
            </w:r>
          </w:p>
          <w:p>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财政拨款</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lang w:val="en-US"/>
              </w:rPr>
            </w:pPr>
            <w:r>
              <w:rPr>
                <w:rFonts w:hint="eastAsia" w:ascii="仿宋" w:hAnsi="仿宋" w:eastAsia="仿宋" w:cs="仿宋"/>
                <w:color w:val="auto"/>
                <w:sz w:val="24"/>
                <w:highlight w:val="none"/>
                <w:lang w:val="en-US" w:eastAsia="zh-CN"/>
              </w:rPr>
              <w:t>185</w:t>
            </w:r>
          </w:p>
        </w:tc>
      </w:tr>
      <w:tr>
        <w:tblPrEx>
          <w:tblCellMar>
            <w:top w:w="0" w:type="dxa"/>
            <w:left w:w="108" w:type="dxa"/>
            <w:bottom w:w="0" w:type="dxa"/>
            <w:right w:w="108" w:type="dxa"/>
          </w:tblCellMar>
        </w:tblPrEx>
        <w:trPr>
          <w:gridAfter w:val="1"/>
          <w:wAfter w:w="236" w:type="dxa"/>
          <w:trHeight w:val="415"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其他资金</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lang w:val="en-US" w:eastAsia="zh-CN"/>
              </w:rPr>
            </w:pP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其他资金</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lang w:val="en-US" w:eastAsia="zh-CN"/>
              </w:rPr>
            </w:pPr>
          </w:p>
        </w:tc>
      </w:tr>
      <w:tr>
        <w:tblPrEx>
          <w:tblCellMar>
            <w:top w:w="0" w:type="dxa"/>
            <w:left w:w="108" w:type="dxa"/>
            <w:bottom w:w="0" w:type="dxa"/>
            <w:right w:w="108" w:type="dxa"/>
          </w:tblCellMar>
        </w:tblPrEx>
        <w:trPr>
          <w:gridAfter w:val="1"/>
          <w:wAfter w:w="236" w:type="dxa"/>
          <w:trHeight w:val="391"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年度总体目标</w:t>
            </w:r>
          </w:p>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完成情况</w:t>
            </w:r>
          </w:p>
        </w:tc>
        <w:tc>
          <w:tcPr>
            <w:tcW w:w="46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预期目标</w:t>
            </w:r>
          </w:p>
        </w:tc>
        <w:tc>
          <w:tcPr>
            <w:tcW w:w="3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目标实际完成情况</w:t>
            </w:r>
          </w:p>
        </w:tc>
      </w:tr>
      <w:tr>
        <w:tblPrEx>
          <w:tblCellMar>
            <w:top w:w="0" w:type="dxa"/>
            <w:left w:w="108" w:type="dxa"/>
            <w:bottom w:w="0" w:type="dxa"/>
            <w:right w:w="108" w:type="dxa"/>
          </w:tblCellMar>
        </w:tblPrEx>
        <w:trPr>
          <w:gridAfter w:val="1"/>
          <w:wAfter w:w="236" w:type="dxa"/>
          <w:trHeight w:val="94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4"/>
                <w:highlight w:val="none"/>
              </w:rPr>
            </w:pPr>
          </w:p>
        </w:tc>
        <w:tc>
          <w:tcPr>
            <w:tcW w:w="4605" w:type="dxa"/>
            <w:gridSpan w:val="3"/>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line="320" w:lineRule="exact"/>
              <w:ind w:left="0" w:right="0"/>
              <w:jc w:val="left"/>
              <w:textAlignment w:val="top"/>
              <w:rPr>
                <w:rFonts w:hint="eastAsia" w:ascii="仿宋" w:hAnsi="仿宋" w:eastAsia="仿宋" w:cs="仿宋"/>
                <w:color w:val="auto"/>
                <w:sz w:val="24"/>
                <w:highlight w:val="none"/>
                <w:lang w:eastAsia="zh-CN"/>
              </w:rPr>
            </w:pPr>
            <w:r>
              <w:rPr>
                <w:rFonts w:hint="eastAsia" w:ascii="仿宋" w:hAnsi="仿宋" w:eastAsia="仿宋" w:cs="仿宋"/>
                <w:color w:val="auto"/>
                <w:sz w:val="22"/>
                <w:szCs w:val="22"/>
                <w:highlight w:val="none"/>
              </w:rPr>
              <w:t>校舍</w:t>
            </w:r>
            <w:r>
              <w:rPr>
                <w:rFonts w:hint="eastAsia" w:ascii="仿宋" w:hAnsi="仿宋" w:eastAsia="仿宋" w:cs="仿宋"/>
                <w:color w:val="auto"/>
                <w:sz w:val="22"/>
                <w:szCs w:val="22"/>
                <w:highlight w:val="none"/>
                <w:lang w:eastAsia="zh-CN"/>
              </w:rPr>
              <w:t>维修面积</w:t>
            </w:r>
            <w:r>
              <w:rPr>
                <w:rFonts w:hint="eastAsia" w:ascii="仿宋" w:hAnsi="仿宋" w:eastAsia="仿宋" w:cs="仿宋"/>
                <w:color w:val="auto"/>
                <w:sz w:val="22"/>
                <w:szCs w:val="22"/>
                <w:highlight w:val="none"/>
                <w:lang w:val="en-US" w:eastAsia="zh-CN"/>
              </w:rPr>
              <w:t>2420</w:t>
            </w:r>
            <w:r>
              <w:rPr>
                <w:rFonts w:hint="eastAsia" w:ascii="仿宋" w:hAnsi="仿宋" w:eastAsia="仿宋" w:cs="仿宋"/>
                <w:color w:val="auto"/>
                <w:sz w:val="22"/>
                <w:szCs w:val="22"/>
                <w:highlight w:val="none"/>
              </w:rPr>
              <w:t>平方米，改善学校办学条件和基础设施配套，提供高质量硬件设施设备，营造良好的学习氛围</w:t>
            </w:r>
            <w:r>
              <w:rPr>
                <w:rFonts w:hint="eastAsia" w:ascii="仿宋" w:hAnsi="仿宋" w:eastAsia="仿宋" w:cs="仿宋"/>
                <w:color w:val="auto"/>
                <w:sz w:val="22"/>
                <w:szCs w:val="22"/>
                <w:highlight w:val="none"/>
                <w:lang w:eastAsia="zh-CN"/>
              </w:rPr>
              <w:t>。</w:t>
            </w:r>
          </w:p>
        </w:tc>
        <w:tc>
          <w:tcPr>
            <w:tcW w:w="3500" w:type="dxa"/>
            <w:gridSpan w:val="2"/>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line="320" w:lineRule="exact"/>
              <w:ind w:left="0" w:right="0"/>
              <w:jc w:val="left"/>
              <w:textAlignment w:val="top"/>
              <w:rPr>
                <w:rFonts w:hint="eastAsia" w:ascii="仿宋" w:hAnsi="仿宋" w:eastAsia="仿宋" w:cs="仿宋"/>
                <w:color w:val="auto"/>
                <w:sz w:val="24"/>
                <w:highlight w:val="none"/>
                <w:lang w:eastAsia="zh-CN"/>
              </w:rPr>
            </w:pPr>
            <w:r>
              <w:rPr>
                <w:rFonts w:hint="eastAsia" w:ascii="仿宋" w:hAnsi="仿宋" w:eastAsia="仿宋" w:cs="仿宋"/>
                <w:color w:val="auto"/>
                <w:sz w:val="22"/>
                <w:szCs w:val="22"/>
                <w:highlight w:val="none"/>
                <w:lang w:eastAsia="zh-CN"/>
              </w:rPr>
              <w:t>完成</w:t>
            </w:r>
            <w:r>
              <w:rPr>
                <w:rFonts w:hint="eastAsia" w:ascii="仿宋" w:hAnsi="仿宋" w:eastAsia="仿宋" w:cs="仿宋"/>
                <w:color w:val="auto"/>
                <w:sz w:val="22"/>
                <w:szCs w:val="22"/>
                <w:highlight w:val="none"/>
                <w:lang w:val="en-US" w:eastAsia="zh-CN"/>
              </w:rPr>
              <w:t>2420</w:t>
            </w:r>
            <w:r>
              <w:rPr>
                <w:rFonts w:hint="eastAsia" w:ascii="仿宋" w:hAnsi="仿宋" w:eastAsia="仿宋" w:cs="仿宋"/>
                <w:color w:val="auto"/>
                <w:sz w:val="22"/>
                <w:szCs w:val="22"/>
                <w:highlight w:val="none"/>
              </w:rPr>
              <w:t>平方米</w:t>
            </w:r>
            <w:r>
              <w:rPr>
                <w:rFonts w:hint="eastAsia" w:ascii="仿宋" w:hAnsi="仿宋" w:eastAsia="仿宋" w:cs="仿宋"/>
                <w:color w:val="auto"/>
                <w:sz w:val="22"/>
                <w:szCs w:val="22"/>
                <w:highlight w:val="none"/>
                <w:lang w:eastAsia="zh-CN"/>
              </w:rPr>
              <w:t>的校舍维修，</w:t>
            </w:r>
            <w:r>
              <w:rPr>
                <w:rFonts w:hint="eastAsia" w:ascii="仿宋" w:hAnsi="仿宋" w:eastAsia="仿宋" w:cs="仿宋"/>
                <w:color w:val="auto"/>
                <w:sz w:val="22"/>
                <w:szCs w:val="22"/>
                <w:highlight w:val="none"/>
              </w:rPr>
              <w:t>改善</w:t>
            </w:r>
            <w:r>
              <w:rPr>
                <w:rFonts w:hint="eastAsia" w:ascii="仿宋" w:hAnsi="仿宋" w:eastAsia="仿宋" w:cs="仿宋"/>
                <w:color w:val="auto"/>
                <w:sz w:val="22"/>
                <w:szCs w:val="22"/>
                <w:highlight w:val="none"/>
                <w:lang w:eastAsia="zh-CN"/>
              </w:rPr>
              <w:t>了</w:t>
            </w:r>
            <w:r>
              <w:rPr>
                <w:rFonts w:hint="eastAsia" w:ascii="仿宋" w:hAnsi="仿宋" w:eastAsia="仿宋" w:cs="仿宋"/>
                <w:color w:val="auto"/>
                <w:sz w:val="22"/>
                <w:szCs w:val="22"/>
                <w:highlight w:val="none"/>
              </w:rPr>
              <w:t>学校办学条件和基础设施配套，提供</w:t>
            </w:r>
            <w:r>
              <w:rPr>
                <w:rFonts w:hint="eastAsia" w:ascii="仿宋" w:hAnsi="仿宋" w:eastAsia="仿宋" w:cs="仿宋"/>
                <w:color w:val="auto"/>
                <w:sz w:val="22"/>
                <w:szCs w:val="22"/>
                <w:highlight w:val="none"/>
                <w:lang w:eastAsia="zh-CN"/>
              </w:rPr>
              <w:t>了</w:t>
            </w:r>
            <w:r>
              <w:rPr>
                <w:rFonts w:hint="eastAsia" w:ascii="仿宋" w:hAnsi="仿宋" w:eastAsia="仿宋" w:cs="仿宋"/>
                <w:color w:val="auto"/>
                <w:sz w:val="22"/>
                <w:szCs w:val="22"/>
                <w:highlight w:val="none"/>
              </w:rPr>
              <w:t>高质量硬件设施设备，营造</w:t>
            </w:r>
            <w:r>
              <w:rPr>
                <w:rFonts w:hint="eastAsia" w:ascii="仿宋" w:hAnsi="仿宋" w:eastAsia="仿宋" w:cs="仿宋"/>
                <w:color w:val="auto"/>
                <w:sz w:val="22"/>
                <w:szCs w:val="22"/>
                <w:highlight w:val="none"/>
                <w:lang w:eastAsia="zh-CN"/>
              </w:rPr>
              <w:t>了</w:t>
            </w:r>
            <w:r>
              <w:rPr>
                <w:rFonts w:hint="eastAsia" w:ascii="仿宋" w:hAnsi="仿宋" w:eastAsia="仿宋" w:cs="仿宋"/>
                <w:color w:val="auto"/>
                <w:sz w:val="22"/>
                <w:szCs w:val="22"/>
                <w:highlight w:val="none"/>
              </w:rPr>
              <w:t>良好的学习氛围</w:t>
            </w:r>
            <w:r>
              <w:rPr>
                <w:rFonts w:hint="eastAsia" w:ascii="仿宋" w:hAnsi="仿宋" w:eastAsia="仿宋" w:cs="仿宋"/>
                <w:color w:val="auto"/>
                <w:sz w:val="22"/>
                <w:szCs w:val="22"/>
                <w:highlight w:val="none"/>
                <w:lang w:eastAsia="zh-CN"/>
              </w:rPr>
              <w:t>。</w:t>
            </w:r>
          </w:p>
        </w:tc>
      </w:tr>
      <w:tr>
        <w:tblPrEx>
          <w:tblCellMar>
            <w:top w:w="0" w:type="dxa"/>
            <w:left w:w="108" w:type="dxa"/>
            <w:bottom w:w="0" w:type="dxa"/>
            <w:right w:w="108" w:type="dxa"/>
          </w:tblCellMar>
        </w:tblPrEx>
        <w:trPr>
          <w:gridAfter w:val="1"/>
          <w:wAfter w:w="236" w:type="dxa"/>
          <w:trHeight w:val="823" w:hRule="atLeast"/>
        </w:trPr>
        <w:tc>
          <w:tcPr>
            <w:tcW w:w="1113"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年度绩效指标完成情况</w:t>
            </w:r>
          </w:p>
        </w:tc>
        <w:tc>
          <w:tcPr>
            <w:tcW w:w="10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一级</w:t>
            </w:r>
          </w:p>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二级</w:t>
            </w:r>
          </w:p>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三级</w:t>
            </w:r>
          </w:p>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指标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预期指标值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实际完成指标值</w:t>
            </w:r>
          </w:p>
        </w:tc>
      </w:tr>
      <w:tr>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完成</w:t>
            </w:r>
          </w:p>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指标</w:t>
            </w:r>
          </w:p>
        </w:tc>
        <w:tc>
          <w:tcPr>
            <w:tcW w:w="121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数量指标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改扩建面积</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2420m²</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2420m²</w:t>
            </w:r>
          </w:p>
        </w:tc>
      </w:tr>
      <w:tr>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惠及学生人数</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61</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61</w:t>
            </w:r>
          </w:p>
        </w:tc>
      </w:tr>
      <w:tr>
        <w:tblPrEx>
          <w:tblCellMar>
            <w:top w:w="0" w:type="dxa"/>
            <w:left w:w="108" w:type="dxa"/>
            <w:bottom w:w="0" w:type="dxa"/>
            <w:right w:w="108" w:type="dxa"/>
          </w:tblCellMar>
        </w:tblPrEx>
        <w:trPr>
          <w:gridAfter w:val="1"/>
          <w:wAfter w:w="236" w:type="dxa"/>
          <w:trHeight w:val="575"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质量指标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校舍维修</w:t>
            </w:r>
            <w:r>
              <w:rPr>
                <w:rFonts w:hint="eastAsia" w:ascii="仿宋" w:hAnsi="仿宋" w:eastAsia="仿宋" w:cs="仿宋"/>
                <w:color w:val="auto"/>
                <w:sz w:val="20"/>
                <w:szCs w:val="20"/>
                <w:highlight w:val="none"/>
              </w:rPr>
              <w:t>竣工验收合格率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100%</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sz w:val="20"/>
                <w:szCs w:val="20"/>
                <w:highlight w:val="none"/>
                <w:lang w:val="en-US" w:eastAsia="zh-CN"/>
              </w:rPr>
              <w:t>100%</w:t>
            </w:r>
          </w:p>
        </w:tc>
      </w:tr>
      <w:tr>
        <w:tblPrEx>
          <w:tblCellMar>
            <w:top w:w="0" w:type="dxa"/>
            <w:left w:w="108" w:type="dxa"/>
            <w:bottom w:w="0" w:type="dxa"/>
            <w:right w:w="108" w:type="dxa"/>
          </w:tblCellMar>
        </w:tblPrEx>
        <w:trPr>
          <w:gridAfter w:val="1"/>
          <w:wAfter w:w="236" w:type="dxa"/>
          <w:trHeight w:val="461"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校舍</w:t>
            </w:r>
            <w:r>
              <w:rPr>
                <w:rFonts w:hint="eastAsia" w:ascii="仿宋" w:hAnsi="仿宋" w:eastAsia="仿宋" w:cs="仿宋"/>
                <w:color w:val="auto"/>
                <w:sz w:val="20"/>
                <w:szCs w:val="20"/>
                <w:highlight w:val="none"/>
                <w:lang w:eastAsia="zh-CN"/>
              </w:rPr>
              <w:t>维修</w:t>
            </w:r>
            <w:r>
              <w:rPr>
                <w:rFonts w:hint="eastAsia" w:ascii="仿宋" w:hAnsi="仿宋" w:eastAsia="仿宋" w:cs="仿宋"/>
                <w:color w:val="auto"/>
                <w:sz w:val="20"/>
                <w:szCs w:val="20"/>
                <w:highlight w:val="none"/>
              </w:rPr>
              <w:t>质量标准</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sz w:val="20"/>
                <w:szCs w:val="20"/>
                <w:highlight w:val="none"/>
              </w:rPr>
              <w:t>合格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sz w:val="20"/>
                <w:szCs w:val="20"/>
                <w:highlight w:val="none"/>
              </w:rPr>
              <w:t>合格</w:t>
            </w:r>
          </w:p>
        </w:tc>
      </w:tr>
      <w:tr>
        <w:tblPrEx>
          <w:tblCellMar>
            <w:top w:w="0" w:type="dxa"/>
            <w:left w:w="108" w:type="dxa"/>
            <w:bottom w:w="0" w:type="dxa"/>
            <w:right w:w="108" w:type="dxa"/>
          </w:tblCellMar>
        </w:tblPrEx>
        <w:trPr>
          <w:gridAfter w:val="1"/>
          <w:wAfter w:w="236" w:type="dxa"/>
          <w:trHeight w:val="465"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设备购置质量标准</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sz w:val="20"/>
                <w:szCs w:val="20"/>
                <w:highlight w:val="none"/>
              </w:rPr>
              <w:t>合格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sz w:val="20"/>
                <w:szCs w:val="20"/>
                <w:highlight w:val="none"/>
              </w:rPr>
              <w:t>合格</w:t>
            </w:r>
          </w:p>
        </w:tc>
      </w:tr>
      <w:tr>
        <w:tblPrEx>
          <w:tblCellMar>
            <w:top w:w="0" w:type="dxa"/>
            <w:left w:w="108" w:type="dxa"/>
            <w:bottom w:w="0" w:type="dxa"/>
            <w:right w:w="108" w:type="dxa"/>
          </w:tblCellMar>
        </w:tblPrEx>
        <w:trPr>
          <w:gridAfter w:val="1"/>
          <w:wAfter w:w="236" w:type="dxa"/>
          <w:trHeight w:val="431"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时效指标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校舍维修建设周期</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1年</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1年</w:t>
            </w:r>
          </w:p>
        </w:tc>
      </w:tr>
      <w:tr>
        <w:tblPrEx>
          <w:tblCellMar>
            <w:top w:w="0" w:type="dxa"/>
            <w:left w:w="108" w:type="dxa"/>
            <w:bottom w:w="0" w:type="dxa"/>
            <w:right w:w="108" w:type="dxa"/>
          </w:tblCellMar>
        </w:tblPrEx>
        <w:trPr>
          <w:gridAfter w:val="1"/>
          <w:wAfter w:w="236" w:type="dxa"/>
          <w:trHeight w:val="401"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设备购置周期</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8个月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8个月</w:t>
            </w:r>
          </w:p>
        </w:tc>
      </w:tr>
      <w:tr>
        <w:tblPrEx>
          <w:tblCellMar>
            <w:top w:w="0" w:type="dxa"/>
            <w:left w:w="108" w:type="dxa"/>
            <w:bottom w:w="0" w:type="dxa"/>
            <w:right w:w="108" w:type="dxa"/>
          </w:tblCellMar>
        </w:tblPrEx>
        <w:trPr>
          <w:gridAfter w:val="1"/>
          <w:wAfter w:w="236" w:type="dxa"/>
          <w:trHeight w:val="611"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成本指标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校舍</w:t>
            </w:r>
            <w:r>
              <w:rPr>
                <w:rFonts w:hint="eastAsia" w:ascii="仿宋" w:hAnsi="仿宋" w:eastAsia="仿宋" w:cs="仿宋"/>
                <w:color w:val="auto"/>
                <w:sz w:val="20"/>
                <w:szCs w:val="20"/>
                <w:highlight w:val="none"/>
                <w:lang w:eastAsia="zh-CN"/>
              </w:rPr>
              <w:t>维修</w:t>
            </w:r>
            <w:r>
              <w:rPr>
                <w:rFonts w:hint="eastAsia" w:ascii="仿宋" w:hAnsi="仿宋" w:eastAsia="仿宋" w:cs="仿宋"/>
                <w:color w:val="auto"/>
                <w:sz w:val="20"/>
                <w:szCs w:val="20"/>
                <w:highlight w:val="none"/>
              </w:rPr>
              <w:t>类项目每平方米造价</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≤800元</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sz w:val="20"/>
                <w:szCs w:val="20"/>
                <w:highlight w:val="none"/>
                <w:lang w:val="en-US"/>
              </w:rPr>
            </w:pPr>
            <w:r>
              <w:rPr>
                <w:rFonts w:hint="eastAsia" w:ascii="仿宋" w:hAnsi="仿宋" w:eastAsia="仿宋" w:cs="仿宋"/>
                <w:color w:val="auto"/>
                <w:sz w:val="20"/>
                <w:szCs w:val="20"/>
                <w:highlight w:val="none"/>
                <w:lang w:val="en-US" w:eastAsia="zh-CN"/>
              </w:rPr>
              <w:t>764元</w:t>
            </w:r>
          </w:p>
        </w:tc>
      </w:tr>
      <w:tr>
        <w:tblPrEx>
          <w:tblCellMar>
            <w:top w:w="0" w:type="dxa"/>
            <w:left w:w="108" w:type="dxa"/>
            <w:bottom w:w="0" w:type="dxa"/>
            <w:right w:w="108" w:type="dxa"/>
          </w:tblCellMar>
        </w:tblPrEx>
        <w:trPr>
          <w:gridAfter w:val="1"/>
          <w:wAfter w:w="236" w:type="dxa"/>
          <w:trHeight w:val="526"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restart"/>
            <w:tcBorders>
              <w:top w:val="single" w:color="000000" w:sz="4" w:space="0"/>
              <w:left w:val="single" w:color="000000"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效益</w:t>
            </w:r>
          </w:p>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指标</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社会效益  指标</w:t>
            </w:r>
          </w:p>
        </w:tc>
        <w:tc>
          <w:tcPr>
            <w:tcW w:w="2385"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改善办学条件</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有效</w:t>
            </w:r>
          </w:p>
        </w:tc>
      </w:tr>
      <w:tr>
        <w:tblPrEx>
          <w:tblCellMar>
            <w:top w:w="0" w:type="dxa"/>
            <w:left w:w="108" w:type="dxa"/>
            <w:bottom w:w="0" w:type="dxa"/>
            <w:right w:w="108" w:type="dxa"/>
          </w:tblCellMar>
        </w:tblPrEx>
        <w:trPr>
          <w:gridAfter w:val="1"/>
          <w:wAfter w:w="236" w:type="dxa"/>
          <w:trHeight w:val="492"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left w:val="single" w:color="000000" w:sz="4" w:space="0"/>
              <w:right w:val="single" w:color="auto"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生态效益</w:t>
            </w:r>
          </w:p>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指标</w:t>
            </w:r>
          </w:p>
        </w:tc>
        <w:tc>
          <w:tcPr>
            <w:tcW w:w="2385"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建筑能源消耗水平降低</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有效</w:t>
            </w:r>
          </w:p>
        </w:tc>
      </w:tr>
      <w:tr>
        <w:tblPrEx>
          <w:tblCellMar>
            <w:top w:w="0" w:type="dxa"/>
            <w:left w:w="108" w:type="dxa"/>
            <w:bottom w:w="0" w:type="dxa"/>
            <w:right w:w="108" w:type="dxa"/>
          </w:tblCellMar>
        </w:tblPrEx>
        <w:trPr>
          <w:gridAfter w:val="1"/>
          <w:wAfter w:w="236" w:type="dxa"/>
          <w:trHeight w:val="492"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left w:val="single" w:color="000000" w:sz="4" w:space="0"/>
              <w:bottom w:val="single" w:color="000000" w:sz="4" w:space="0"/>
              <w:right w:val="single" w:color="auto"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可持续影响指标</w:t>
            </w:r>
          </w:p>
        </w:tc>
        <w:tc>
          <w:tcPr>
            <w:tcW w:w="2385"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吸引外流学生持续回流</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有效</w:t>
            </w:r>
          </w:p>
        </w:tc>
      </w:tr>
      <w:tr>
        <w:tblPrEx>
          <w:tblCellMar>
            <w:top w:w="0" w:type="dxa"/>
            <w:left w:w="108" w:type="dxa"/>
            <w:bottom w:w="0" w:type="dxa"/>
            <w:right w:w="108" w:type="dxa"/>
          </w:tblCellMar>
        </w:tblPrEx>
        <w:trPr>
          <w:gridAfter w:val="1"/>
          <w:wAfter w:w="236" w:type="dxa"/>
          <w:trHeight w:val="705"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满意</w:t>
            </w:r>
          </w:p>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度指标</w:t>
            </w:r>
          </w:p>
        </w:tc>
        <w:tc>
          <w:tcPr>
            <w:tcW w:w="1215"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满意度</w:t>
            </w:r>
          </w:p>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学生满意度</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97%</w:t>
            </w:r>
          </w:p>
        </w:tc>
      </w:tr>
      <w:tr>
        <w:tblPrEx>
          <w:tblCellMar>
            <w:top w:w="0" w:type="dxa"/>
            <w:left w:w="108" w:type="dxa"/>
            <w:bottom w:w="0" w:type="dxa"/>
            <w:right w:w="108" w:type="dxa"/>
          </w:tblCellMar>
        </w:tblPrEx>
        <w:trPr>
          <w:gridAfter w:val="1"/>
          <w:wAfter w:w="236" w:type="dxa"/>
          <w:trHeight w:val="690" w:hRule="atLeast"/>
        </w:trPr>
        <w:tc>
          <w:tcPr>
            <w:tcW w:w="1113"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8"/>
                <w:szCs w:val="28"/>
                <w:highlight w:val="none"/>
              </w:rPr>
            </w:pPr>
          </w:p>
        </w:tc>
        <w:tc>
          <w:tcPr>
            <w:tcW w:w="1215"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社会满意度</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96%</w:t>
            </w:r>
          </w:p>
        </w:tc>
      </w:tr>
      <w:bookmarkEnd w:id="90"/>
    </w:tbl>
    <w:p>
      <w:pPr>
        <w:pStyle w:val="4"/>
        <w:bidi w:val="0"/>
        <w:rPr>
          <w:color w:val="auto"/>
          <w:highlight w:val="none"/>
        </w:rPr>
      </w:pPr>
      <w:bookmarkStart w:id="91" w:name="_Toc24969"/>
      <w:bookmarkStart w:id="92" w:name="_Toc15396618"/>
      <w:r>
        <w:rPr>
          <w:rFonts w:hint="eastAsia"/>
          <w:color w:val="auto"/>
          <w:highlight w:val="none"/>
        </w:rPr>
        <w:t>第五部分 附表</w:t>
      </w:r>
      <w:bookmarkEnd w:id="87"/>
      <w:bookmarkEnd w:id="91"/>
      <w:bookmarkEnd w:id="92"/>
      <w:bookmarkStart w:id="93" w:name="_Toc15396619"/>
    </w:p>
    <w:p>
      <w:pPr>
        <w:pStyle w:val="5"/>
        <w:bidi w:val="0"/>
        <w:rPr>
          <w:color w:val="auto"/>
          <w:sz w:val="28"/>
          <w:szCs w:val="28"/>
          <w:highlight w:val="none"/>
        </w:rPr>
      </w:pPr>
      <w:bookmarkStart w:id="94" w:name="_Toc26442"/>
      <w:r>
        <w:rPr>
          <w:rFonts w:hint="eastAsia"/>
          <w:color w:val="auto"/>
          <w:sz w:val="28"/>
          <w:szCs w:val="28"/>
          <w:highlight w:val="none"/>
        </w:rPr>
        <w:t>一、收入支出决算总表</w:t>
      </w:r>
      <w:bookmarkEnd w:id="93"/>
      <w:bookmarkEnd w:id="94"/>
    </w:p>
    <w:p>
      <w:pPr>
        <w:pStyle w:val="5"/>
        <w:bidi w:val="0"/>
        <w:rPr>
          <w:color w:val="auto"/>
          <w:sz w:val="28"/>
          <w:szCs w:val="28"/>
          <w:highlight w:val="none"/>
        </w:rPr>
      </w:pPr>
      <w:bookmarkStart w:id="95" w:name="_Toc24488"/>
      <w:bookmarkStart w:id="96" w:name="_Toc15396620"/>
      <w:r>
        <w:rPr>
          <w:rFonts w:hint="eastAsia"/>
          <w:color w:val="auto"/>
          <w:sz w:val="28"/>
          <w:szCs w:val="28"/>
          <w:highlight w:val="none"/>
        </w:rPr>
        <w:t>二、收入决算表</w:t>
      </w:r>
      <w:bookmarkEnd w:id="95"/>
      <w:bookmarkEnd w:id="96"/>
    </w:p>
    <w:p>
      <w:pPr>
        <w:pStyle w:val="5"/>
        <w:bidi w:val="0"/>
        <w:rPr>
          <w:color w:val="auto"/>
          <w:sz w:val="28"/>
          <w:szCs w:val="28"/>
          <w:highlight w:val="none"/>
        </w:rPr>
      </w:pPr>
      <w:bookmarkStart w:id="97" w:name="_Toc6939"/>
      <w:bookmarkStart w:id="98" w:name="_Toc15396621"/>
      <w:r>
        <w:rPr>
          <w:rFonts w:hint="eastAsia"/>
          <w:color w:val="auto"/>
          <w:sz w:val="28"/>
          <w:szCs w:val="28"/>
          <w:highlight w:val="none"/>
        </w:rPr>
        <w:t>三、支出决算表</w:t>
      </w:r>
      <w:bookmarkEnd w:id="97"/>
      <w:bookmarkEnd w:id="98"/>
    </w:p>
    <w:p>
      <w:pPr>
        <w:pStyle w:val="5"/>
        <w:bidi w:val="0"/>
        <w:rPr>
          <w:color w:val="auto"/>
          <w:sz w:val="28"/>
          <w:szCs w:val="28"/>
          <w:highlight w:val="none"/>
        </w:rPr>
      </w:pPr>
      <w:bookmarkStart w:id="99" w:name="_Toc30417"/>
      <w:bookmarkStart w:id="100" w:name="_Toc15396622"/>
      <w:r>
        <w:rPr>
          <w:rFonts w:hint="eastAsia"/>
          <w:color w:val="auto"/>
          <w:sz w:val="28"/>
          <w:szCs w:val="28"/>
          <w:highlight w:val="none"/>
        </w:rPr>
        <w:t>四、财政拨款收入支出决算总表</w:t>
      </w:r>
      <w:bookmarkEnd w:id="99"/>
      <w:bookmarkEnd w:id="100"/>
    </w:p>
    <w:p>
      <w:pPr>
        <w:pStyle w:val="5"/>
        <w:bidi w:val="0"/>
        <w:rPr>
          <w:color w:val="auto"/>
          <w:sz w:val="28"/>
          <w:szCs w:val="28"/>
          <w:highlight w:val="none"/>
        </w:rPr>
      </w:pPr>
      <w:bookmarkStart w:id="101" w:name="_Toc1651"/>
      <w:bookmarkStart w:id="102" w:name="_Toc15396623"/>
      <w:r>
        <w:rPr>
          <w:rFonts w:hint="eastAsia"/>
          <w:color w:val="auto"/>
          <w:sz w:val="28"/>
          <w:szCs w:val="28"/>
          <w:highlight w:val="none"/>
        </w:rPr>
        <w:t>五、财政拨款支出决算明细表</w:t>
      </w:r>
      <w:bookmarkEnd w:id="101"/>
      <w:bookmarkEnd w:id="102"/>
      <w:bookmarkStart w:id="103" w:name="_Toc15396624"/>
    </w:p>
    <w:p>
      <w:pPr>
        <w:pStyle w:val="5"/>
        <w:bidi w:val="0"/>
        <w:rPr>
          <w:color w:val="auto"/>
          <w:sz w:val="28"/>
          <w:szCs w:val="28"/>
          <w:highlight w:val="none"/>
        </w:rPr>
      </w:pPr>
      <w:bookmarkStart w:id="104" w:name="_Toc18542"/>
      <w:r>
        <w:rPr>
          <w:rFonts w:hint="eastAsia"/>
          <w:color w:val="auto"/>
          <w:sz w:val="28"/>
          <w:szCs w:val="28"/>
          <w:highlight w:val="none"/>
        </w:rPr>
        <w:t>六、一般公共预算财政拨款支出决算表</w:t>
      </w:r>
      <w:bookmarkEnd w:id="103"/>
      <w:bookmarkEnd w:id="104"/>
    </w:p>
    <w:p>
      <w:pPr>
        <w:pStyle w:val="5"/>
        <w:bidi w:val="0"/>
        <w:rPr>
          <w:color w:val="auto"/>
          <w:sz w:val="28"/>
          <w:szCs w:val="28"/>
          <w:highlight w:val="none"/>
        </w:rPr>
      </w:pPr>
      <w:bookmarkStart w:id="105" w:name="_Toc15396625"/>
      <w:bookmarkStart w:id="106" w:name="_Toc25672"/>
      <w:r>
        <w:rPr>
          <w:rFonts w:hint="eastAsia"/>
          <w:color w:val="auto"/>
          <w:sz w:val="28"/>
          <w:szCs w:val="28"/>
          <w:highlight w:val="none"/>
        </w:rPr>
        <w:t>七、一般公共预算财政拨款支出决算明细表</w:t>
      </w:r>
      <w:bookmarkEnd w:id="105"/>
      <w:bookmarkEnd w:id="106"/>
    </w:p>
    <w:p>
      <w:pPr>
        <w:pStyle w:val="5"/>
        <w:bidi w:val="0"/>
        <w:rPr>
          <w:color w:val="auto"/>
          <w:sz w:val="28"/>
          <w:szCs w:val="28"/>
          <w:highlight w:val="none"/>
        </w:rPr>
      </w:pPr>
      <w:bookmarkStart w:id="107" w:name="_Toc15396626"/>
      <w:bookmarkStart w:id="108" w:name="_Toc3598"/>
      <w:r>
        <w:rPr>
          <w:rFonts w:hint="eastAsia"/>
          <w:color w:val="auto"/>
          <w:sz w:val="28"/>
          <w:szCs w:val="28"/>
          <w:highlight w:val="none"/>
        </w:rPr>
        <w:t>八、一般公共预算财政拨款基本支出决算表</w:t>
      </w:r>
      <w:bookmarkEnd w:id="107"/>
      <w:bookmarkEnd w:id="108"/>
      <w:bookmarkStart w:id="120" w:name="_GoBack"/>
      <w:bookmarkEnd w:id="120"/>
    </w:p>
    <w:p>
      <w:pPr>
        <w:pStyle w:val="5"/>
        <w:bidi w:val="0"/>
        <w:rPr>
          <w:color w:val="auto"/>
          <w:sz w:val="28"/>
          <w:szCs w:val="28"/>
          <w:highlight w:val="none"/>
        </w:rPr>
      </w:pPr>
      <w:bookmarkStart w:id="109" w:name="_Toc28845"/>
      <w:bookmarkStart w:id="110" w:name="_Toc15396627"/>
      <w:r>
        <w:rPr>
          <w:rFonts w:hint="eastAsia"/>
          <w:color w:val="auto"/>
          <w:sz w:val="28"/>
          <w:szCs w:val="28"/>
          <w:highlight w:val="none"/>
        </w:rPr>
        <w:t>九、一般公共预算财政拨款项目支出决算表</w:t>
      </w:r>
      <w:bookmarkEnd w:id="109"/>
      <w:bookmarkEnd w:id="110"/>
    </w:p>
    <w:p>
      <w:pPr>
        <w:pStyle w:val="5"/>
        <w:bidi w:val="0"/>
        <w:rPr>
          <w:color w:val="auto"/>
          <w:sz w:val="28"/>
          <w:szCs w:val="28"/>
          <w:highlight w:val="none"/>
        </w:rPr>
      </w:pPr>
      <w:bookmarkStart w:id="111" w:name="_Toc24879"/>
      <w:bookmarkStart w:id="112" w:name="_Toc15396628"/>
      <w:r>
        <w:rPr>
          <w:rFonts w:hint="eastAsia"/>
          <w:color w:val="auto"/>
          <w:sz w:val="28"/>
          <w:szCs w:val="28"/>
          <w:highlight w:val="none"/>
        </w:rPr>
        <w:t>十、一般公共预算财政拨款“三公”经费支出决算表</w:t>
      </w:r>
      <w:bookmarkEnd w:id="111"/>
      <w:bookmarkEnd w:id="112"/>
    </w:p>
    <w:p>
      <w:pPr>
        <w:pStyle w:val="5"/>
        <w:bidi w:val="0"/>
        <w:rPr>
          <w:color w:val="auto"/>
          <w:sz w:val="28"/>
          <w:szCs w:val="28"/>
          <w:highlight w:val="none"/>
        </w:rPr>
      </w:pPr>
      <w:bookmarkStart w:id="113" w:name="_Toc15396629"/>
      <w:bookmarkStart w:id="114" w:name="_Toc24059"/>
      <w:r>
        <w:rPr>
          <w:rFonts w:hint="eastAsia"/>
          <w:color w:val="auto"/>
          <w:sz w:val="28"/>
          <w:szCs w:val="28"/>
          <w:highlight w:val="none"/>
        </w:rPr>
        <w:t>十一、政府性基金预算财政拨款收入支出决算表</w:t>
      </w:r>
      <w:bookmarkEnd w:id="113"/>
      <w:bookmarkEnd w:id="114"/>
    </w:p>
    <w:p>
      <w:pPr>
        <w:pStyle w:val="5"/>
        <w:bidi w:val="0"/>
        <w:rPr>
          <w:color w:val="auto"/>
          <w:sz w:val="28"/>
          <w:szCs w:val="28"/>
          <w:highlight w:val="none"/>
        </w:rPr>
      </w:pPr>
      <w:bookmarkStart w:id="115" w:name="_Toc15396630"/>
      <w:bookmarkStart w:id="116" w:name="_Toc30287"/>
      <w:r>
        <w:rPr>
          <w:rFonts w:hint="eastAsia"/>
          <w:color w:val="auto"/>
          <w:sz w:val="28"/>
          <w:szCs w:val="28"/>
          <w:highlight w:val="none"/>
        </w:rPr>
        <w:t>十二、政府性基金预算财政拨款“三公”经费支出决算表</w:t>
      </w:r>
      <w:bookmarkEnd w:id="115"/>
      <w:bookmarkEnd w:id="116"/>
    </w:p>
    <w:p>
      <w:pPr>
        <w:pStyle w:val="5"/>
        <w:bidi w:val="0"/>
        <w:rPr>
          <w:color w:val="auto"/>
          <w:sz w:val="28"/>
          <w:szCs w:val="28"/>
          <w:highlight w:val="none"/>
        </w:rPr>
      </w:pPr>
      <w:bookmarkStart w:id="117" w:name="_Toc21531"/>
      <w:bookmarkStart w:id="118" w:name="_Toc15396631"/>
      <w:r>
        <w:rPr>
          <w:rFonts w:hint="eastAsia"/>
          <w:color w:val="auto"/>
          <w:sz w:val="28"/>
          <w:szCs w:val="28"/>
          <w:highlight w:val="none"/>
        </w:rPr>
        <w:t>十三、国有资本经营预算财政拨款收入支出决算表</w:t>
      </w:r>
      <w:bookmarkEnd w:id="117"/>
      <w:bookmarkEnd w:id="118"/>
    </w:p>
    <w:p>
      <w:pPr>
        <w:pStyle w:val="5"/>
        <w:bidi w:val="0"/>
        <w:rPr>
          <w:color w:val="auto"/>
          <w:sz w:val="28"/>
          <w:szCs w:val="28"/>
          <w:highlight w:val="none"/>
        </w:rPr>
      </w:pPr>
      <w:bookmarkStart w:id="119" w:name="_Toc3471"/>
      <w:r>
        <w:rPr>
          <w:rFonts w:hint="eastAsia"/>
          <w:color w:val="auto"/>
          <w:sz w:val="28"/>
          <w:szCs w:val="28"/>
          <w:highlight w:val="none"/>
        </w:rPr>
        <w:t>十四、国有资本经营预算财政拨款支出决算表</w:t>
      </w:r>
      <w:bookmarkEnd w:id="119"/>
    </w:p>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方正小标宋简体">
    <w:panose1 w:val="02000000000000000000"/>
    <w:charset w:val="86"/>
    <w:family w:val="script"/>
    <w:pitch w:val="default"/>
    <w:sig w:usb0="00000001" w:usb1="080E0000" w:usb2="00000000" w:usb3="00000000" w:csb0="00040000" w:csb1="00000000"/>
  </w:font>
  <w:font w:name="方正小标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pPr>
          <w:pStyle w:val="12"/>
          <w:jc w:val="center"/>
        </w:pPr>
        <w:r>
          <w:fldChar w:fldCharType="begin"/>
        </w:r>
        <w:r>
          <w:instrText xml:space="preserve">PAGE   \* MERGEFORMAT</w:instrText>
        </w:r>
        <w:r>
          <w:fldChar w:fldCharType="separate"/>
        </w:r>
        <w:r>
          <w:rPr>
            <w:lang w:val="zh-CN"/>
          </w:rPr>
          <w:t>12</w:t>
        </w:r>
        <w:r>
          <w:fldChar w:fldCharType="end"/>
        </w:r>
      </w:p>
    </w:sdtContent>
  </w:sdt>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ECD6CFA4"/>
    <w:multiLevelType w:val="singleLevel"/>
    <w:tmpl w:val="ECD6CFA4"/>
    <w:lvl w:ilvl="0" w:tentative="0">
      <w:start w:val="1"/>
      <w:numFmt w:val="decimal"/>
      <w:lvlText w:val="%1."/>
      <w:lvlJc w:val="left"/>
      <w:pPr>
        <w:tabs>
          <w:tab w:val="left" w:pos="312"/>
        </w:tabs>
      </w:pPr>
    </w:lvl>
  </w:abstractNum>
  <w:abstractNum w:abstractNumId="3">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4">
    <w:nsid w:val="6492B4FE"/>
    <w:multiLevelType w:val="singleLevel"/>
    <w:tmpl w:val="6492B4FE"/>
    <w:lvl w:ilvl="0" w:tentative="0">
      <w:start w:val="1"/>
      <w:numFmt w:val="chineseCounting"/>
      <w:suff w:val="nothing"/>
      <w:lvlText w:val="%1、"/>
      <w:lvlJc w:val="left"/>
      <w:rPr>
        <w:rFonts w:hint="eastAsia"/>
      </w:r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hNTlmMWMwY2NkZGNhOTM0ZTIzOTMwM2UwMjVlYzg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33E14"/>
    <w:rsid w:val="00142216"/>
    <w:rsid w:val="00144D6A"/>
    <w:rsid w:val="0014729F"/>
    <w:rsid w:val="00157BAB"/>
    <w:rsid w:val="001654D1"/>
    <w:rsid w:val="00174518"/>
    <w:rsid w:val="0018106D"/>
    <w:rsid w:val="00184031"/>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1B33"/>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469FB"/>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22EF"/>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65C9E"/>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0437"/>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BD6AEC"/>
    <w:rsid w:val="021553A6"/>
    <w:rsid w:val="07E01AEE"/>
    <w:rsid w:val="0A2032A3"/>
    <w:rsid w:val="0B8A37D8"/>
    <w:rsid w:val="0EC71F0D"/>
    <w:rsid w:val="10C055FF"/>
    <w:rsid w:val="112C7A85"/>
    <w:rsid w:val="118107EC"/>
    <w:rsid w:val="11DD6519"/>
    <w:rsid w:val="12910332"/>
    <w:rsid w:val="157E27B0"/>
    <w:rsid w:val="16BB723D"/>
    <w:rsid w:val="177D300F"/>
    <w:rsid w:val="18015F3F"/>
    <w:rsid w:val="1BE8440E"/>
    <w:rsid w:val="1D155CEE"/>
    <w:rsid w:val="206860B8"/>
    <w:rsid w:val="20F57F95"/>
    <w:rsid w:val="23066A21"/>
    <w:rsid w:val="240371BF"/>
    <w:rsid w:val="24D54B4E"/>
    <w:rsid w:val="25C741E6"/>
    <w:rsid w:val="27842671"/>
    <w:rsid w:val="280F42BA"/>
    <w:rsid w:val="29FD04D3"/>
    <w:rsid w:val="2ABE7A3E"/>
    <w:rsid w:val="2BAE4DE0"/>
    <w:rsid w:val="2C0D4D5A"/>
    <w:rsid w:val="2EFA178C"/>
    <w:rsid w:val="30B46D73"/>
    <w:rsid w:val="319F7F4E"/>
    <w:rsid w:val="32E05DEF"/>
    <w:rsid w:val="353C0D20"/>
    <w:rsid w:val="39AE70AB"/>
    <w:rsid w:val="3BC1546A"/>
    <w:rsid w:val="3C0C0783"/>
    <w:rsid w:val="3F795B0E"/>
    <w:rsid w:val="3F9F3A96"/>
    <w:rsid w:val="41BF4911"/>
    <w:rsid w:val="47B55BAA"/>
    <w:rsid w:val="493C27E9"/>
    <w:rsid w:val="496F39ED"/>
    <w:rsid w:val="49FF41D3"/>
    <w:rsid w:val="4A185DC8"/>
    <w:rsid w:val="4BE068DB"/>
    <w:rsid w:val="4BF6002B"/>
    <w:rsid w:val="4ECE2238"/>
    <w:rsid w:val="4FD61684"/>
    <w:rsid w:val="503645ED"/>
    <w:rsid w:val="508F3649"/>
    <w:rsid w:val="51DB4B86"/>
    <w:rsid w:val="527E6C4D"/>
    <w:rsid w:val="52FB5859"/>
    <w:rsid w:val="55333C3E"/>
    <w:rsid w:val="58737E60"/>
    <w:rsid w:val="5E6B2CC4"/>
    <w:rsid w:val="5E85531A"/>
    <w:rsid w:val="5EEF25B2"/>
    <w:rsid w:val="64A80084"/>
    <w:rsid w:val="64CA39A1"/>
    <w:rsid w:val="65B126BB"/>
    <w:rsid w:val="6C4A05C8"/>
    <w:rsid w:val="6C6E6699"/>
    <w:rsid w:val="6DA51084"/>
    <w:rsid w:val="6EDA0CDC"/>
    <w:rsid w:val="71B61FB7"/>
    <w:rsid w:val="72734D90"/>
    <w:rsid w:val="727D7081"/>
    <w:rsid w:val="72E456B5"/>
    <w:rsid w:val="74E366CA"/>
    <w:rsid w:val="79E7B28D"/>
    <w:rsid w:val="7AC82E51"/>
    <w:rsid w:val="7BFA24EA"/>
    <w:rsid w:val="7CAB154F"/>
    <w:rsid w:val="7F586151"/>
    <w:rsid w:val="7F9F20EE"/>
    <w:rsid w:val="7FC55F0C"/>
    <w:rsid w:val="9E3A10E2"/>
    <w:rsid w:val="F2E1F9D4"/>
    <w:rsid w:val="F788081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29"/>
    <w:qFormat/>
    <w:uiPriority w:val="9"/>
    <w:pPr>
      <w:keepNext/>
      <w:keepLines/>
      <w:spacing w:before="340" w:after="330" w:line="578" w:lineRule="auto"/>
      <w:jc w:val="center"/>
      <w:outlineLvl w:val="0"/>
    </w:pPr>
    <w:rPr>
      <w:rFonts w:ascii="Times New Roman" w:hAnsi="Times New Roman" w:eastAsia="仿宋"/>
      <w:b/>
      <w:bCs/>
      <w:kern w:val="44"/>
      <w:sz w:val="44"/>
      <w:szCs w:val="44"/>
    </w:rPr>
  </w:style>
  <w:style w:type="paragraph" w:styleId="5">
    <w:name w:val="heading 2"/>
    <w:basedOn w:val="1"/>
    <w:next w:val="1"/>
    <w:link w:val="40"/>
    <w:unhideWhenUsed/>
    <w:qFormat/>
    <w:uiPriority w:val="9"/>
    <w:pPr>
      <w:keepNext/>
      <w:keepLines/>
      <w:spacing w:before="260" w:after="260" w:line="240" w:lineRule="auto"/>
      <w:ind w:firstLine="1440" w:firstLineChars="200"/>
      <w:jc w:val="left"/>
      <w:outlineLvl w:val="1"/>
    </w:pPr>
    <w:rPr>
      <w:rFonts w:eastAsia="宋体" w:asciiTheme="majorAscii" w:hAnsiTheme="majorAscii" w:cstheme="majorBidi"/>
      <w:b/>
      <w:bCs/>
      <w:sz w:val="32"/>
      <w:szCs w:val="32"/>
    </w:rPr>
  </w:style>
  <w:style w:type="paragraph" w:styleId="6">
    <w:name w:val="heading 3"/>
    <w:basedOn w:val="1"/>
    <w:next w:val="1"/>
    <w:link w:val="33"/>
    <w:unhideWhenUsed/>
    <w:qFormat/>
    <w:uiPriority w:val="9"/>
    <w:pPr>
      <w:keepNext/>
      <w:keepLines/>
      <w:spacing w:before="260" w:after="260" w:line="416" w:lineRule="auto"/>
      <w:outlineLvl w:val="2"/>
    </w:pPr>
    <w:rPr>
      <w:b/>
      <w:bCs/>
      <w:sz w:val="32"/>
      <w:szCs w:val="32"/>
    </w:rPr>
  </w:style>
  <w:style w:type="character" w:default="1" w:styleId="18">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sz w:val="20"/>
      <w:szCs w:val="20"/>
    </w:rPr>
    <w:tblPr>
      <w:tblCellMar>
        <w:top w:w="0" w:type="dxa"/>
        <w:left w:w="108" w:type="dxa"/>
        <w:bottom w:w="0" w:type="dxa"/>
        <w:right w:w="108" w:type="dxa"/>
      </w:tblCellMar>
    </w:tblPr>
  </w:style>
  <w:style w:type="paragraph" w:styleId="2">
    <w:name w:val="Body Text First Indent 2"/>
    <w:basedOn w:val="3"/>
    <w:link w:val="39"/>
    <w:qFormat/>
    <w:uiPriority w:val="99"/>
    <w:pPr>
      <w:ind w:firstLine="420" w:firstLineChars="200"/>
    </w:pPr>
  </w:style>
  <w:style w:type="paragraph" w:styleId="3">
    <w:name w:val="Body Text Indent"/>
    <w:basedOn w:val="1"/>
    <w:link w:val="38"/>
    <w:qFormat/>
    <w:uiPriority w:val="99"/>
    <w:pPr>
      <w:ind w:left="420" w:leftChars="200"/>
    </w:pPr>
  </w:style>
  <w:style w:type="paragraph" w:styleId="7">
    <w:name w:val="annotation text"/>
    <w:basedOn w:val="1"/>
    <w:semiHidden/>
    <w:unhideWhenUsed/>
    <w:qFormat/>
    <w:uiPriority w:val="99"/>
    <w:pPr>
      <w:jc w:val="left"/>
    </w:pPr>
  </w:style>
  <w:style w:type="paragraph" w:styleId="8">
    <w:name w:val="Salutation"/>
    <w:basedOn w:val="1"/>
    <w:next w:val="1"/>
    <w:qFormat/>
    <w:uiPriority w:val="99"/>
  </w:style>
  <w:style w:type="paragraph" w:styleId="9">
    <w:name w:val="Body Text"/>
    <w:basedOn w:val="1"/>
    <w:link w:val="37"/>
    <w:qFormat/>
    <w:uiPriority w:val="99"/>
    <w:pPr>
      <w:spacing w:beforeLines="30"/>
    </w:pPr>
    <w:rPr>
      <w:rFonts w:ascii="仿宋_GB2312" w:eastAsia="仿宋_GB2312"/>
      <w:kern w:val="0"/>
      <w:sz w:val="30"/>
    </w:rPr>
  </w:style>
  <w:style w:type="paragraph" w:styleId="10">
    <w:name w:val="toc 3"/>
    <w:basedOn w:val="1"/>
    <w:next w:val="1"/>
    <w:unhideWhenUsed/>
    <w:qFormat/>
    <w:uiPriority w:val="39"/>
    <w:pPr>
      <w:tabs>
        <w:tab w:val="right" w:leader="dot" w:pos="8296"/>
      </w:tabs>
      <w:ind w:left="840" w:leftChars="400"/>
    </w:pPr>
  </w:style>
  <w:style w:type="paragraph" w:styleId="11">
    <w:name w:val="Balloon Text"/>
    <w:basedOn w:val="1"/>
    <w:link w:val="32"/>
    <w:semiHidden/>
    <w:unhideWhenUsed/>
    <w:qFormat/>
    <w:uiPriority w:val="99"/>
    <w:rPr>
      <w:sz w:val="18"/>
      <w:szCs w:val="18"/>
    </w:rPr>
  </w:style>
  <w:style w:type="paragraph" w:styleId="12">
    <w:name w:val="footer"/>
    <w:basedOn w:val="1"/>
    <w:link w:val="24"/>
    <w:qFormat/>
    <w:uiPriority w:val="99"/>
    <w:pPr>
      <w:tabs>
        <w:tab w:val="center" w:pos="4153"/>
        <w:tab w:val="right" w:pos="8306"/>
      </w:tabs>
      <w:snapToGrid w:val="0"/>
      <w:jc w:val="left"/>
    </w:pPr>
    <w:rPr>
      <w:rFonts w:ascii="Calibri" w:hAnsi="Calibri"/>
      <w:kern w:val="0"/>
      <w:sz w:val="18"/>
      <w:szCs w:val="18"/>
    </w:rPr>
  </w:style>
  <w:style w:type="paragraph" w:styleId="13">
    <w:name w:val="header"/>
    <w:basedOn w:val="1"/>
    <w:link w:val="22"/>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4">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5">
    <w:name w:val="toc 2"/>
    <w:basedOn w:val="1"/>
    <w:next w:val="1"/>
    <w:unhideWhenUsed/>
    <w:qFormat/>
    <w:uiPriority w:val="39"/>
    <w:pPr>
      <w:tabs>
        <w:tab w:val="right" w:leader="dot" w:pos="8296"/>
      </w:tabs>
      <w:ind w:left="420" w:leftChars="200"/>
    </w:pPr>
  </w:style>
  <w:style w:type="paragraph" w:styleId="16">
    <w:name w:val="Normal (Web)"/>
    <w:basedOn w:val="1"/>
    <w:semiHidden/>
    <w:unhideWhenUsed/>
    <w:qFormat/>
    <w:uiPriority w:val="99"/>
    <w:rPr>
      <w:sz w:val="24"/>
    </w:rPr>
  </w:style>
  <w:style w:type="character" w:styleId="19">
    <w:name w:val="Strong"/>
    <w:basedOn w:val="18"/>
    <w:qFormat/>
    <w:uiPriority w:val="99"/>
    <w:rPr>
      <w:rFonts w:hint="default" w:ascii="Times New Roman" w:hAnsi="Times New Roman" w:cs="Times New Roman"/>
      <w:b/>
    </w:rPr>
  </w:style>
  <w:style w:type="character" w:styleId="20">
    <w:name w:val="Hyperlink"/>
    <w:basedOn w:val="18"/>
    <w:unhideWhenUsed/>
    <w:qFormat/>
    <w:uiPriority w:val="99"/>
    <w:rPr>
      <w:color w:val="0000FF" w:themeColor="hyperlink"/>
      <w:u w:val="single"/>
      <w14:textFill>
        <w14:solidFill>
          <w14:schemeClr w14:val="hlink"/>
        </w14:solidFill>
      </w14:textFill>
    </w:rPr>
  </w:style>
  <w:style w:type="character" w:customStyle="1" w:styleId="21">
    <w:name w:val="Header Char"/>
    <w:basedOn w:val="18"/>
    <w:semiHidden/>
    <w:qFormat/>
    <w:uiPriority w:val="99"/>
    <w:rPr>
      <w:rFonts w:ascii="Times New Roman" w:hAnsi="Times New Roman"/>
      <w:sz w:val="18"/>
      <w:szCs w:val="18"/>
    </w:rPr>
  </w:style>
  <w:style w:type="character" w:customStyle="1" w:styleId="22">
    <w:name w:val="页眉 Char"/>
    <w:link w:val="13"/>
    <w:semiHidden/>
    <w:qFormat/>
    <w:locked/>
    <w:uiPriority w:val="99"/>
    <w:rPr>
      <w:sz w:val="18"/>
    </w:rPr>
  </w:style>
  <w:style w:type="character" w:customStyle="1" w:styleId="23">
    <w:name w:val="Footer Char"/>
    <w:basedOn w:val="18"/>
    <w:semiHidden/>
    <w:qFormat/>
    <w:uiPriority w:val="99"/>
    <w:rPr>
      <w:rFonts w:ascii="Times New Roman" w:hAnsi="Times New Roman"/>
      <w:sz w:val="18"/>
      <w:szCs w:val="18"/>
    </w:rPr>
  </w:style>
  <w:style w:type="character" w:customStyle="1" w:styleId="24">
    <w:name w:val="页脚 Char"/>
    <w:link w:val="12"/>
    <w:qFormat/>
    <w:locked/>
    <w:uiPriority w:val="99"/>
    <w:rPr>
      <w:sz w:val="18"/>
    </w:rPr>
  </w:style>
  <w:style w:type="character" w:customStyle="1" w:styleId="25">
    <w:name w:val="Body Text Char"/>
    <w:basedOn w:val="18"/>
    <w:semiHidden/>
    <w:qFormat/>
    <w:uiPriority w:val="99"/>
    <w:rPr>
      <w:rFonts w:ascii="Times New Roman" w:hAnsi="Times New Roman"/>
      <w:szCs w:val="24"/>
    </w:rPr>
  </w:style>
  <w:style w:type="character" w:customStyle="1" w:styleId="26">
    <w:name w:val="正文文本 Char"/>
    <w:link w:val="9"/>
    <w:qFormat/>
    <w:locked/>
    <w:uiPriority w:val="99"/>
    <w:rPr>
      <w:rFonts w:ascii="仿宋_GB2312" w:hAnsi="Times New Roman" w:eastAsia="仿宋_GB2312"/>
      <w:sz w:val="24"/>
    </w:rPr>
  </w:style>
  <w:style w:type="paragraph" w:customStyle="1" w:styleId="2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8">
    <w:name w:val="List Paragraph"/>
    <w:basedOn w:val="1"/>
    <w:qFormat/>
    <w:uiPriority w:val="34"/>
    <w:pPr>
      <w:ind w:firstLine="420" w:firstLineChars="200"/>
    </w:pPr>
  </w:style>
  <w:style w:type="character" w:customStyle="1" w:styleId="29">
    <w:name w:val="标题 1 Char"/>
    <w:basedOn w:val="18"/>
    <w:link w:val="4"/>
    <w:qFormat/>
    <w:uiPriority w:val="9"/>
    <w:rPr>
      <w:rFonts w:ascii="Times New Roman" w:hAnsi="Times New Roman" w:eastAsia="仿宋"/>
      <w:b/>
      <w:bCs/>
      <w:kern w:val="44"/>
      <w:sz w:val="44"/>
      <w:szCs w:val="44"/>
    </w:rPr>
  </w:style>
  <w:style w:type="character" w:customStyle="1" w:styleId="30">
    <w:name w:val="标题 2 Char"/>
    <w:basedOn w:val="18"/>
    <w:link w:val="5"/>
    <w:qFormat/>
    <w:uiPriority w:val="9"/>
    <w:rPr>
      <w:rFonts w:asciiTheme="majorHAnsi" w:hAnsiTheme="majorHAnsi" w:eastAsiaTheme="majorEastAsia" w:cstheme="majorBidi"/>
      <w:b/>
      <w:bCs/>
      <w:kern w:val="2"/>
      <w:sz w:val="32"/>
      <w:szCs w:val="32"/>
    </w:rPr>
  </w:style>
  <w:style w:type="paragraph" w:customStyle="1" w:styleId="31">
    <w:name w:val="TOC 标题1"/>
    <w:basedOn w:val="4"/>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2">
    <w:name w:val="批注框文本 Char"/>
    <w:basedOn w:val="18"/>
    <w:link w:val="11"/>
    <w:semiHidden/>
    <w:qFormat/>
    <w:uiPriority w:val="99"/>
    <w:rPr>
      <w:rFonts w:ascii="Times New Roman" w:hAnsi="Times New Roman"/>
      <w:kern w:val="2"/>
      <w:sz w:val="18"/>
      <w:szCs w:val="18"/>
    </w:rPr>
  </w:style>
  <w:style w:type="character" w:customStyle="1" w:styleId="33">
    <w:name w:val="标题 3 Char"/>
    <w:basedOn w:val="18"/>
    <w:link w:val="6"/>
    <w:qFormat/>
    <w:uiPriority w:val="9"/>
    <w:rPr>
      <w:rFonts w:ascii="Times New Roman" w:hAnsi="Times New Roman"/>
      <w:b/>
      <w:bCs/>
      <w:kern w:val="2"/>
      <w:sz w:val="32"/>
      <w:szCs w:val="32"/>
    </w:rPr>
  </w:style>
  <w:style w:type="paragraph" w:customStyle="1" w:styleId="34">
    <w:name w:val="TOC 标题2"/>
    <w:basedOn w:val="4"/>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5">
    <w:name w:val="正文文本 字符"/>
    <w:basedOn w:val="18"/>
    <w:qFormat/>
    <w:uiPriority w:val="0"/>
    <w:rPr>
      <w:kern w:val="2"/>
      <w:sz w:val="21"/>
      <w:szCs w:val="24"/>
    </w:rPr>
  </w:style>
  <w:style w:type="character" w:customStyle="1" w:styleId="36">
    <w:name w:val="标题 2 Char1"/>
    <w:basedOn w:val="18"/>
    <w:link w:val="5"/>
    <w:qFormat/>
    <w:uiPriority w:val="0"/>
    <w:rPr>
      <w:rFonts w:ascii="等线 Light" w:hAnsi="等线 Light" w:eastAsia="等线 Light" w:cs="Times New Roman"/>
      <w:b/>
      <w:bCs/>
      <w:kern w:val="2"/>
      <w:sz w:val="32"/>
      <w:szCs w:val="32"/>
    </w:rPr>
  </w:style>
  <w:style w:type="character" w:customStyle="1" w:styleId="37">
    <w:name w:val="正文文本 Char1"/>
    <w:basedOn w:val="18"/>
    <w:link w:val="9"/>
    <w:qFormat/>
    <w:uiPriority w:val="0"/>
    <w:rPr>
      <w:rFonts w:hint="eastAsia" w:ascii="仿宋_GB2312" w:eastAsia="仿宋_GB2312" w:cs="仿宋_GB2312"/>
      <w:sz w:val="24"/>
    </w:rPr>
  </w:style>
  <w:style w:type="character" w:customStyle="1" w:styleId="38">
    <w:name w:val="正文文本缩进 字符"/>
    <w:basedOn w:val="18"/>
    <w:link w:val="3"/>
    <w:qFormat/>
    <w:uiPriority w:val="0"/>
    <w:rPr>
      <w:rFonts w:hint="default" w:ascii="Times New Roman" w:hAnsi="Times New Roman" w:cs="Times New Roman"/>
      <w:kern w:val="2"/>
      <w:sz w:val="21"/>
      <w:szCs w:val="24"/>
    </w:rPr>
  </w:style>
  <w:style w:type="character" w:customStyle="1" w:styleId="39">
    <w:name w:val="正文首行缩进 2 字符"/>
    <w:basedOn w:val="38"/>
    <w:link w:val="2"/>
    <w:qFormat/>
    <w:uiPriority w:val="0"/>
    <w:rPr>
      <w:rFonts w:hint="default" w:ascii="Times New Roman" w:hAnsi="Times New Roman" w:cs="Times New Roman"/>
      <w:kern w:val="2"/>
      <w:sz w:val="21"/>
      <w:szCs w:val="24"/>
    </w:rPr>
  </w:style>
  <w:style w:type="character" w:customStyle="1" w:styleId="40">
    <w:name w:val="标题 2 字符"/>
    <w:basedOn w:val="18"/>
    <w:link w:val="5"/>
    <w:qFormat/>
    <w:uiPriority w:val="0"/>
    <w:rPr>
      <w:rFonts w:eastAsia="宋体" w:cs="Times New Roman" w:asciiTheme="majorAscii" w:hAnsiTheme="majorAscii"/>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hart" Target="charts/chart7.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75000"/>
                    <a:lumOff val="25000"/>
                  </a:schemeClr>
                </a:solidFill>
                <a:latin typeface="+mn-lt"/>
                <a:ea typeface="+mn-ea"/>
                <a:cs typeface="+mn-cs"/>
              </a:defRPr>
            </a:pPr>
            <a:r>
              <a:t>收、支决算总计变动情况图</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收入</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610.74</c:v>
                </c:pt>
                <c:pt idx="1">
                  <c:v>597.98</c:v>
                </c:pt>
              </c:numCache>
            </c:numRef>
          </c:val>
        </c:ser>
        <c:ser>
          <c:idx val="1"/>
          <c:order val="1"/>
          <c:tx>
            <c:strRef>
              <c:f>Sheet1!$C$1</c:f>
              <c:strCache>
                <c:ptCount val="1"/>
                <c:pt idx="0">
                  <c:v>支出</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Sheet1!$C$2:$C$3</c:f>
              <c:numCache>
                <c:formatCode>General</c:formatCode>
                <c:ptCount val="2"/>
                <c:pt idx="0">
                  <c:v>610.74</c:v>
                </c:pt>
                <c:pt idx="1">
                  <c:v>597.98</c:v>
                </c:pt>
              </c:numCache>
            </c:numRef>
          </c:val>
        </c:ser>
        <c:dLbls>
          <c:showLegendKey val="0"/>
          <c:showVal val="1"/>
          <c:showCatName val="0"/>
          <c:showSerName val="0"/>
          <c:showPercent val="0"/>
          <c:showBubbleSize val="0"/>
        </c:dLbls>
        <c:gapWidth val="65"/>
        <c:overlap val="0"/>
        <c:axId val="876838378"/>
        <c:axId val="616419667"/>
      </c:barChart>
      <c:catAx>
        <c:axId val="876838378"/>
        <c:scaling>
          <c:orientation val="minMax"/>
        </c:scaling>
        <c:delete val="0"/>
        <c:axPos val="b"/>
        <c:majorTickMark val="none"/>
        <c:minorTickMark val="none"/>
        <c:tickLblPos val="nextTo"/>
        <c:spPr>
          <a:noFill/>
          <a:ln w="19050" cap="flat" cmpd="sng" algn="ctr">
            <a:solidFill>
              <a:schemeClr val="dk1">
                <a:lumMod val="75000"/>
                <a:lumOff val="25000"/>
              </a:schemeClr>
            </a:solidFill>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616419667"/>
        <c:crosses val="autoZero"/>
        <c:auto val="1"/>
        <c:lblAlgn val="ctr"/>
        <c:lblOffset val="100"/>
        <c:noMultiLvlLbl val="0"/>
      </c:catAx>
      <c:valAx>
        <c:axId val="616419667"/>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876838378"/>
        <c:crosses val="autoZero"/>
        <c:crossBetween val="between"/>
      </c:valAx>
      <c:spPr>
        <a:noFill/>
        <a:ln>
          <a:noFill/>
        </a:ln>
        <a:effectLst/>
      </c:spPr>
    </c:plotArea>
    <c:legend>
      <c:legendPos val="b"/>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1">
                    <a:lumMod val="65000"/>
                    <a:lumOff val="35000"/>
                  </a:schemeClr>
                </a:solidFill>
                <a:latin typeface="+mn-lt"/>
                <a:ea typeface="+mn-ea"/>
                <a:cs typeface="+mn-cs"/>
              </a:defRPr>
            </a:pPr>
            <a:r>
              <a:t>收入决算结构图</a:t>
            </a:r>
          </a:p>
        </c:rich>
      </c:tx>
      <c:layout/>
      <c:overlay val="0"/>
      <c:spPr>
        <a:noFill/>
        <a:ln>
          <a:noFill/>
        </a:ln>
        <a:effectLst/>
      </c:spPr>
    </c:title>
    <c:autoTitleDeleted val="0"/>
    <c:plotArea>
      <c:layout>
        <c:manualLayout>
          <c:layoutTarget val="inner"/>
          <c:xMode val="edge"/>
          <c:yMode val="edge"/>
          <c:x val="0.300694444444444"/>
          <c:y val="0.185185185185185"/>
          <c:w val="0.381944444444444"/>
          <c:h val="0.636574074074074"/>
        </c:manualLayout>
      </c:layout>
      <c:pieChart>
        <c:varyColors val="1"/>
        <c:ser>
          <c:idx val="0"/>
          <c:order val="0"/>
          <c:tx>
            <c:strRef>
              <c:f>Sheet1!$B$1</c:f>
              <c:strCache>
                <c:ptCount val="1"/>
                <c:pt idx="0">
                  <c:v>占比</c:v>
                </c:pt>
              </c:strCache>
            </c:strRef>
          </c:tx>
          <c:spPr/>
          <c:explosion val="0"/>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dPt>
          <c:dLbls>
            <c:dLbl>
              <c:idx val="0"/>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a:t>100</a:t>
                    </a:r>
                    <a:r>
                      <a:t>%</a:t>
                    </a:r>
                  </a:p>
                </c:rich>
              </c:tx>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extLst>
                <c:ext xmlns:c15="http://schemas.microsoft.com/office/drawing/2012/chart" uri="{CE6537A1-D6FC-4f65-9D91-7224C49458BB}"/>
              </c:extLst>
            </c:dLbl>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一般公共预算财政拨款收入</c:v>
                </c:pt>
              </c:strCache>
            </c:strRef>
          </c:cat>
          <c:val>
            <c:numRef>
              <c:f>Sheet1!$B$2</c:f>
              <c:numCache>
                <c:formatCode>0.00%</c:formatCode>
                <c:ptCount val="1"/>
                <c:pt idx="0">
                  <c:v>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cap="all" spc="50" baseline="0">
                <a:solidFill>
                  <a:schemeClr val="tx1">
                    <a:lumMod val="65000"/>
                    <a:lumOff val="35000"/>
                  </a:schemeClr>
                </a:solidFill>
                <a:latin typeface="+mn-lt"/>
                <a:ea typeface="+mn-ea"/>
                <a:cs typeface="+mn-cs"/>
              </a:defRPr>
            </a:pPr>
            <a:r>
              <a:t>支出决算结构图</a:t>
            </a:r>
          </a:p>
        </c:rich>
      </c:tx>
      <c:layout>
        <c:manualLayout>
          <c:xMode val="edge"/>
          <c:yMode val="edge"/>
          <c:x val="0.358"/>
          <c:y val="0.0362156291681996"/>
        </c:manualLayout>
      </c:layout>
      <c:overlay val="0"/>
      <c:spPr>
        <a:noFill/>
        <a:ln>
          <a:noFill/>
        </a:ln>
        <a:effectLst/>
      </c:spPr>
    </c:title>
    <c:autoTitleDeleted val="0"/>
    <c:plotArea>
      <c:layout/>
      <c:pieChart>
        <c:varyColors val="1"/>
        <c:ser>
          <c:idx val="0"/>
          <c:order val="0"/>
          <c:tx>
            <c:strRef>
              <c:f>Sheet1!$B$1</c:f>
              <c:strCache>
                <c:ptCount val="1"/>
                <c:pt idx="0">
                  <c:v>2021年本年支出合计</c:v>
                </c:pt>
              </c:strCache>
            </c:strRef>
          </c:tx>
          <c:spPr/>
          <c:explosion val="0"/>
          <c:dPt>
            <c:idx val="0"/>
            <c:bubble3D val="0"/>
            <c:spPr>
              <a:solidFill>
                <a:schemeClr val="accent1"/>
              </a:solidFill>
              <a:ln>
                <a:noFill/>
              </a:ln>
              <a:effectLst/>
            </c:spPr>
          </c:dPt>
          <c:dPt>
            <c:idx val="1"/>
            <c:bubble3D val="0"/>
            <c:spPr>
              <a:solidFill>
                <a:schemeClr val="accent2"/>
              </a:solidFill>
              <a:ln>
                <a:noFill/>
              </a:ln>
              <a:effectLst/>
            </c:spPr>
          </c:dPt>
          <c:dLbls>
            <c:dLbl>
              <c:idx val="0"/>
              <c:layout/>
              <c:tx>
                <c:rich>
                  <a:bodyPr rot="0" spcFirstLastPara="0" vertOverflow="ellipsis" vert="horz" wrap="square" lIns="38100" tIns="19050" rIns="38100" bIns="19050" anchor="ctr" anchorCtr="1"/>
                  <a:lstStyle/>
                  <a:p>
                    <a:pPr defTabSz="914400">
                      <a:defRPr lang="zh-CN" sz="900" b="1" i="0" u="none" strike="noStrike" kern="1200" baseline="0">
                        <a:solidFill>
                          <a:schemeClr val="lt1"/>
                        </a:solidFill>
                        <a:latin typeface="+mn-lt"/>
                        <a:ea typeface="+mn-ea"/>
                        <a:cs typeface="+mn-cs"/>
                      </a:defRPr>
                    </a:pPr>
                    <a:r>
                      <a:rPr lang="en-US" altLang="zh-CN"/>
                      <a:t>69.06</a:t>
                    </a:r>
                    <a:r>
                      <a:t>%</a:t>
                    </a:r>
                  </a:p>
                </c:rich>
              </c:tx>
              <c:dLblPos val="inEnd"/>
              <c:showLegendKey val="0"/>
              <c:showVal val="0"/>
              <c:showCatName val="0"/>
              <c:showSerName val="0"/>
              <c:showPercent val="1"/>
              <c:showBubbleSize val="0"/>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defTabSz="914400">
                      <a:defRPr lang="zh-CN" sz="900" b="1" i="0" u="none" strike="noStrike" kern="1200" baseline="0">
                        <a:solidFill>
                          <a:schemeClr val="lt1"/>
                        </a:solidFill>
                        <a:latin typeface="+mn-lt"/>
                        <a:ea typeface="+mn-ea"/>
                        <a:cs typeface="+mn-cs"/>
                      </a:defRPr>
                    </a:pPr>
                    <a:r>
                      <a:rPr lang="en-US" altLang="zh-CN"/>
                      <a:t>30.94</a:t>
                    </a:r>
                    <a:r>
                      <a:t>%</a:t>
                    </a:r>
                  </a:p>
                </c:rich>
              </c:tx>
              <c:dLblPos val="inEnd"/>
              <c:showLegendKey val="0"/>
              <c:showVal val="0"/>
              <c:showCatName val="0"/>
              <c:showSerName val="0"/>
              <c:showPercent val="1"/>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412.98</c:v>
                </c:pt>
                <c:pt idx="1">
                  <c:v>185</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75000"/>
                    <a:lumOff val="25000"/>
                  </a:schemeClr>
                </a:solidFill>
                <a:latin typeface="+mn-lt"/>
                <a:ea typeface="+mn-ea"/>
                <a:cs typeface="+mn-cs"/>
              </a:defRPr>
            </a:pPr>
            <a:r>
              <a:t>财政拨款收、支决算总体变动情况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收入</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610.74</c:v>
                </c:pt>
                <c:pt idx="1">
                  <c:v>597.98</c:v>
                </c:pt>
              </c:numCache>
            </c:numRef>
          </c:val>
        </c:ser>
        <c:ser>
          <c:idx val="1"/>
          <c:order val="1"/>
          <c:tx>
            <c:strRef>
              <c:f>Sheet1!$C$1</c:f>
              <c:strCache>
                <c:ptCount val="1"/>
                <c:pt idx="0">
                  <c:v>支出</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Sheet1!$C$2:$C$3</c:f>
              <c:numCache>
                <c:formatCode>General</c:formatCode>
                <c:ptCount val="2"/>
                <c:pt idx="0">
                  <c:v>610.74</c:v>
                </c:pt>
                <c:pt idx="1">
                  <c:v>597.98</c:v>
                </c:pt>
              </c:numCache>
            </c:numRef>
          </c:val>
        </c:ser>
        <c:dLbls>
          <c:showLegendKey val="0"/>
          <c:showVal val="1"/>
          <c:showCatName val="0"/>
          <c:showSerName val="0"/>
          <c:showPercent val="0"/>
          <c:showBubbleSize val="0"/>
        </c:dLbls>
        <c:gapWidth val="65"/>
        <c:overlap val="0"/>
        <c:axId val="876838378"/>
        <c:axId val="616419667"/>
      </c:barChart>
      <c:catAx>
        <c:axId val="876838378"/>
        <c:scaling>
          <c:orientation val="minMax"/>
        </c:scaling>
        <c:delete val="0"/>
        <c:axPos val="b"/>
        <c:majorTickMark val="none"/>
        <c:minorTickMark val="none"/>
        <c:tickLblPos val="nextTo"/>
        <c:spPr>
          <a:noFill/>
          <a:ln w="19050" cap="flat" cmpd="sng" algn="ctr">
            <a:solidFill>
              <a:schemeClr val="dk1">
                <a:lumMod val="75000"/>
                <a:lumOff val="25000"/>
              </a:schemeClr>
            </a:solidFill>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616419667"/>
        <c:crosses val="autoZero"/>
        <c:auto val="1"/>
        <c:lblAlgn val="ctr"/>
        <c:lblOffset val="100"/>
        <c:noMultiLvlLbl val="0"/>
      </c:catAx>
      <c:valAx>
        <c:axId val="616419667"/>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876838378"/>
        <c:crosses val="autoZero"/>
        <c:crossBetween val="between"/>
      </c:valAx>
      <c:spPr>
        <a:noFill/>
        <a:ln>
          <a:noFill/>
        </a:ln>
        <a:effectLst/>
      </c:spPr>
    </c:plotArea>
    <c:legend>
      <c:legendPos val="b"/>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dk1">
                    <a:lumMod val="65000"/>
                    <a:lumOff val="35000"/>
                  </a:schemeClr>
                </a:solidFill>
                <a:effectLst/>
                <a:latin typeface="+mn-lt"/>
                <a:ea typeface="+mn-ea"/>
                <a:cs typeface="+mn-cs"/>
              </a:defRPr>
            </a:pPr>
            <a:r>
              <a:rPr sz="1400" b="1"/>
              <a:t>一般公共预算财政拨款支出决算变动情况</a:t>
            </a:r>
            <a:endParaRPr sz="1400" b="1"/>
          </a:p>
        </c:rich>
      </c:tx>
      <c:layout>
        <c:manualLayout>
          <c:xMode val="edge"/>
          <c:yMode val="edge"/>
          <c:x val="0.193"/>
          <c:y val="0.0358470525756771"/>
        </c:manualLayout>
      </c:layout>
      <c:overlay val="0"/>
      <c:spPr>
        <a:noFill/>
        <a:ln>
          <a:noFill/>
        </a:ln>
        <a:effectLst/>
      </c:spPr>
    </c:title>
    <c:autoTitleDeleted val="0"/>
    <c:plotArea>
      <c:layout/>
      <c:barChart>
        <c:barDir val="col"/>
        <c:grouping val="clustered"/>
        <c:varyColors val="0"/>
        <c:ser>
          <c:idx val="0"/>
          <c:order val="0"/>
          <c:tx>
            <c:strRef>
              <c:f>Sheet1!$B$1</c:f>
              <c:strCache>
                <c:ptCount val="1"/>
                <c:pt idx="0">
                  <c:v>一般公共预算财政拨款支出</c:v>
                </c:pt>
              </c:strCache>
            </c:strRef>
          </c:tx>
          <c:spPr>
            <a:gradFill>
              <a:gsLst>
                <a:gs pos="0">
                  <a:schemeClr val="accent1"/>
                </a:gs>
                <a:gs pos="100000">
                  <a:schemeClr val="accent1">
                    <a:lumMod val="84000"/>
                  </a:schemeClr>
                </a:gs>
              </a:gsLst>
              <a:lin ang="5400000" scaled="1"/>
            </a:gradFill>
            <a:ln>
              <a:noFill/>
            </a:ln>
            <a:effectLst>
              <a:outerShdw blurRad="76200" dir="18900000" sy="23000" kx="-1200000" algn="bl" rotWithShape="0">
                <a:prstClr val="black">
                  <a:alpha val="20000"/>
                </a:prstClr>
              </a:outerShdw>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610.74</c:v>
                </c:pt>
                <c:pt idx="1">
                  <c:v>597.98</c:v>
                </c:pt>
              </c:numCache>
            </c:numRef>
          </c:val>
        </c:ser>
        <c:dLbls>
          <c:showLegendKey val="0"/>
          <c:showVal val="1"/>
          <c:showCatName val="0"/>
          <c:showSerName val="0"/>
          <c:showPercent val="0"/>
          <c:showBubbleSize val="0"/>
        </c:dLbls>
        <c:gapWidth val="41"/>
        <c:overlap val="0"/>
        <c:axId val="134079981"/>
        <c:axId val="758071448"/>
      </c:barChart>
      <c:catAx>
        <c:axId val="134079981"/>
        <c:scaling>
          <c:orientation val="minMax"/>
        </c:scaling>
        <c:delete val="0"/>
        <c:axPos val="b"/>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dk1">
                    <a:lumMod val="65000"/>
                    <a:lumOff val="35000"/>
                  </a:schemeClr>
                </a:solidFill>
                <a:effectLst/>
                <a:latin typeface="+mn-lt"/>
                <a:ea typeface="+mn-ea"/>
                <a:cs typeface="+mn-cs"/>
              </a:defRPr>
            </a:pPr>
          </a:p>
        </c:txPr>
        <c:crossAx val="758071448"/>
        <c:crosses val="autoZero"/>
        <c:auto val="1"/>
        <c:lblAlgn val="ctr"/>
        <c:lblOffset val="100"/>
        <c:noMultiLvlLbl val="0"/>
      </c:catAx>
      <c:valAx>
        <c:axId val="758071448"/>
        <c:scaling>
          <c:orientation val="minMax"/>
        </c:scaling>
        <c:delete val="1"/>
        <c:axPos val="l"/>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crossAx val="134079981"/>
        <c:crosses val="autoZero"/>
        <c:crossBetween val="between"/>
      </c:valAx>
      <c:spPr>
        <a:noFill/>
        <a:ln>
          <a:noFill/>
        </a:ln>
        <a:effectLst/>
      </c:spPr>
    </c:plotArea>
    <c:legend>
      <c:legendPos val="t"/>
      <c:legendEntry>
        <c:idx val="0"/>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Entry>
      <c:layout>
        <c:manualLayout>
          <c:xMode val="edge"/>
          <c:yMode val="edge"/>
          <c:x val="0.346625"/>
          <c:y val="0.199150292087095"/>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chart>
  <c:spPr>
    <a:gradFill flip="none" rotWithShape="1">
      <a:gsLst>
        <a:gs pos="0">
          <a:schemeClr val="lt1"/>
        </a:gs>
        <a:gs pos="68000">
          <a:schemeClr val="lt1">
            <a:lumMod val="85000"/>
          </a:schemeClr>
        </a:gs>
        <a:gs pos="100000">
          <a:schemeClr val="lt1"/>
        </a:gs>
      </a:gsLst>
      <a:lin ang="5400000" scaled="1"/>
    </a:gradFill>
    <a:ln w="9525" cap="flat" cmpd="sng" algn="ctr">
      <a:solidFill>
        <a:schemeClr val="dk1">
          <a:lumMod val="15000"/>
          <a:lumOff val="85000"/>
        </a:schemeClr>
      </a:solidFill>
      <a:round/>
    </a:ln>
    <a:effectLst/>
  </c:spPr>
  <c:txPr>
    <a:bodyPr/>
    <a:lstStyle/>
    <a:p>
      <a:pPr>
        <a:defRPr lang="zh-CN" sz="900"/>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65000"/>
                    <a:lumOff val="35000"/>
                  </a:schemeClr>
                </a:solidFill>
                <a:latin typeface="+mn-lt"/>
                <a:ea typeface="+mn-ea"/>
                <a:cs typeface="+mn-cs"/>
              </a:defRPr>
            </a:pPr>
            <a:r>
              <a:t>一般公共预算财政拨款支出决算结构</a:t>
            </a:r>
          </a:p>
        </c:rich>
      </c:tx>
      <c:layout/>
      <c:overlay val="0"/>
      <c:spPr>
        <a:noFill/>
        <a:ln>
          <a:noFill/>
        </a:ln>
        <a:effectLst/>
      </c:spPr>
    </c:title>
    <c:autoTitleDeleted val="0"/>
    <c:plotArea>
      <c:layout/>
      <c:pieChart>
        <c:varyColors val="1"/>
        <c:ser>
          <c:idx val="0"/>
          <c:order val="0"/>
          <c:tx>
            <c:strRef>
              <c:f>Sheet1!$B$1</c:f>
              <c:strCache>
                <c:ptCount val="1"/>
                <c:pt idx="0">
                  <c:v>占比</c:v>
                </c:pt>
              </c:strCache>
            </c:strRef>
          </c:tx>
          <c:spPr/>
          <c:explosion val="0"/>
          <c:dPt>
            <c:idx val="0"/>
            <c:bubble3D val="0"/>
            <c:spPr>
              <a:solidFill>
                <a:schemeClr val="accent1"/>
              </a:solidFill>
              <a:ln>
                <a:noFill/>
              </a:ln>
              <a:effectLst>
                <a:outerShdw blurRad="317500" algn="ctr" rotWithShape="0">
                  <a:prstClr val="black">
                    <a:alpha val="25000"/>
                  </a:prstClr>
                </a:outerShdw>
              </a:effectLst>
            </c:spPr>
          </c:dPt>
          <c:dLbls>
            <c:dLbl>
              <c:idx val="0"/>
              <c:layout>
                <c:manualLayout>
                  <c:x val="-0.0378752423434636"/>
                  <c:y val="-0.29683773584861"/>
                </c:manualLayout>
              </c:layout>
              <c:tx>
                <c:rich>
                  <a:bodyPr rot="0" spcFirstLastPara="0" vertOverflow="ellipsis" vert="horz" wrap="square" lIns="38100" tIns="19050" rIns="38100" bIns="19050" anchor="ctr" anchorCtr="1"/>
                  <a:lstStyle/>
                  <a:p>
                    <a:pPr defTabSz="914400">
                      <a:defRPr lang="zh-CN" sz="900" b="1" i="0" u="none" strike="noStrike" kern="1200" baseline="0">
                        <a:solidFill>
                          <a:schemeClr val="lt1"/>
                        </a:solidFill>
                        <a:latin typeface="+mn-lt"/>
                        <a:ea typeface="+mn-ea"/>
                        <a:cs typeface="+mn-cs"/>
                      </a:defRPr>
                    </a:pPr>
                    <a:r>
                      <a:rPr lang="en-US" altLang="zh-CN"/>
                      <a:t>100</a:t>
                    </a:r>
                    <a:r>
                      <a:t>%</a:t>
                    </a:r>
                  </a:p>
                </c:rich>
              </c:tx>
              <c:dLblPos val="bestFit"/>
              <c:showLegendKey val="0"/>
              <c:showVal val="0"/>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教育支出（类）</c:v>
                </c:pt>
              </c:strCache>
            </c:strRef>
          </c:cat>
          <c:val>
            <c:numRef>
              <c:f>Sheet1!$B$2</c:f>
              <c:numCache>
                <c:formatCode>General</c:formatCode>
                <c:ptCount val="1"/>
                <c:pt idx="0">
                  <c:v>100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ayout/>
      <c:overlay val="0"/>
      <c:spPr>
        <a:solidFill>
          <a:schemeClr val="lt1">
            <a:alpha val="78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2"/>
                </a:solidFill>
                <a:latin typeface="+mn-lt"/>
                <a:ea typeface="+mn-ea"/>
                <a:cs typeface="+mn-cs"/>
              </a:defRPr>
            </a:pPr>
            <a:r>
              <a:t>“三公”经费财政拨款支出结构</a:t>
            </a:r>
          </a:p>
        </c:rich>
      </c:tx>
      <c:layout/>
      <c:overlay val="0"/>
      <c:spPr>
        <a:noFill/>
        <a:ln>
          <a:noFill/>
        </a:ln>
        <a:effectLst/>
      </c:spPr>
    </c:title>
    <c:autoTitleDeleted val="0"/>
    <c:plotArea>
      <c:layout/>
      <c:pieChart>
        <c:varyColors val="1"/>
        <c:ser>
          <c:idx val="0"/>
          <c:order val="0"/>
          <c:tx>
            <c:strRef>
              <c:f>Sheet1!$B$1</c:f>
              <c:strCache>
                <c:ptCount val="1"/>
                <c:pt idx="0">
                  <c:v>占比</c:v>
                </c:pt>
              </c:strCache>
            </c:strRef>
          </c:tx>
          <c:spPr/>
          <c:explosion val="0"/>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dPt>
          <c:dPt>
            <c:idx val="1"/>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dPt>
          <c:dPt>
            <c:idx val="2"/>
            <c:bubble3D val="0"/>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c:spPr>
          </c:dPt>
          <c:dLbls>
            <c:dLbl>
              <c:idx val="0"/>
              <c:delete val="1"/>
            </c:dLbl>
            <c:dLbl>
              <c:idx val="1"/>
              <c:delete val="1"/>
            </c:dLbl>
            <c:dLbl>
              <c:idx val="2"/>
              <c:layout>
                <c:manualLayout>
                  <c:x val="0.00187439869773377"/>
                  <c:y val="-0.326576072262015"/>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2"/>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a:solidFill>
                        <a:schemeClr val="tx2">
                          <a:lumMod val="35000"/>
                          <a:lumOff val="65000"/>
                        </a:schemeClr>
                      </a:solidFill>
                    </a:ln>
                    <a:effectLst/>
                  </c:spPr>
                </c15:leaderLines>
              </c:ext>
            </c:extLst>
          </c:dLbls>
          <c:cat>
            <c:strRef>
              <c:f>Sheet1!$A$2:$A$4</c:f>
              <c:strCache>
                <c:ptCount val="3"/>
                <c:pt idx="0">
                  <c:v>因公出国（境）费支出</c:v>
                </c:pt>
                <c:pt idx="1">
                  <c:v>公务用车购置及运行维护费支出</c:v>
                </c:pt>
                <c:pt idx="2">
                  <c:v>公务接待费支出</c:v>
                </c:pt>
              </c:strCache>
            </c:strRef>
          </c:cat>
          <c:val>
            <c:numRef>
              <c:f>Sheet1!$B$2:$B$4</c:f>
              <c:numCache>
                <c:formatCode>0%</c:formatCode>
                <c:ptCount val="3"/>
                <c:pt idx="0">
                  <c:v>0</c:v>
                </c:pt>
                <c:pt idx="1">
                  <c:v>0</c:v>
                </c:pt>
                <c:pt idx="2">
                  <c:v>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2"/>
              </a:solidFill>
              <a:latin typeface="+mn-lt"/>
              <a:ea typeface="+mn-ea"/>
              <a:cs typeface="+mn-cs"/>
            </a:defRPr>
          </a:pPr>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344">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3.xml><?xml version="1.0" encoding="utf-8"?>
<cs:chartStyle xmlns:cs="http://schemas.microsoft.com/office/drawing/2012/chartStyle" xmlns:a="http://schemas.openxmlformats.org/drawingml/2006/main" id="258">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900" b="1"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a:scene3d>
        <a:camera prst="orthographicFront"/>
        <a:lightRig rig="brightRoom" dir="t"/>
      </a:scene3d>
      <a:sp3d prstMaterial="flat">
        <a:bevelT w="50800" h="101600" prst="angle"/>
        <a:contourClr>
          <a:srgbClr val="000000"/>
        </a:contourClr>
      </a:sp3d>
    </cs:spPr>
  </cs:dataPoint>
  <cs:dataPoint3D>
    <cs:lnRef idx="0"/>
    <cs:fillRef idx="0">
      <cs:styleClr val="auto"/>
    </cs:fillRef>
    <cs:effectRef idx="0"/>
    <cs:fontRef idx="minor">
      <a:schemeClr val="tx1"/>
    </cs:fontRef>
    <cs:spPr>
      <a:solidFill>
        <a:schemeClr val="phClr"/>
      </a:solidFill>
      <a:ln w="1905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1" i="0" kern="1200" cap="all" spc="50"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204">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defRPr sz="900" kern="1200">
      <a:effectLst/>
    </cs:defRPr>
  </cs:categoryAxis>
  <cs:chartArea>
    <cs:lnRef idx="0"/>
    <cs:fillRef idx="0"/>
    <cs:effectRef idx="0"/>
    <cs:fontRef idx="minor">
      <a:schemeClr val="dk1"/>
    </cs:fontRef>
    <cs:spPr>
      <a:gradFill flip="none" rotWithShape="1">
        <a:gsLst>
          <a:gs pos="0">
            <a:schemeClr val="lt1"/>
          </a:gs>
          <a:gs pos="68000">
            <a:schemeClr val="lt1">
              <a:lumMod val="85000"/>
            </a:schemeClr>
          </a:gs>
          <a:gs pos="100000">
            <a:schemeClr val="lt1"/>
          </a:gs>
        </a:gsLst>
        <a:lin ang="5400000" scaled="1"/>
      </a:gradFill>
      <a:ln w="9525" cap="flat" cmpd="sng" algn="ctr">
        <a:solidFill>
          <a:schemeClr val="dk1">
            <a:lumMod val="15000"/>
            <a:lumOff val="85000"/>
          </a:schemeClr>
        </a:solidFill>
        <a:round/>
      </a:ln>
    </cs:spPr>
    <cs:defRPr sz="1000" kern="1200"/>
  </cs:chartArea>
  <cs:dataLabel>
    <cs:lnRef idx="0"/>
    <cs:fillRef idx="0"/>
    <cs:effectRef idx="0"/>
    <cs:fontRef idx="minor">
      <a:schemeClr val="lt1"/>
    </cs:fontRef>
    <cs:defRPr sz="10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1000" b="1"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
  <cs:dataPoint3D>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3D>
  <cs:dataPointLine>
    <cs:lnRef idx="0">
      <cs:styleClr val="auto"/>
    </cs:lnRef>
    <cs:fillRef idx="0"/>
    <cs:effectRef idx="0"/>
    <cs:fontRef idx="minor">
      <a:schemeClr val="dk1"/>
    </cs:fontRef>
    <cs:spPr>
      <a:ln w="28575" cap="rnd">
        <a:gradFill>
          <a:gsLst>
            <a:gs pos="0">
              <a:schemeClr val="phClr"/>
            </a:gs>
            <a:gs pos="100000">
              <a:schemeClr val="phClr">
                <a:lumMod val="84000"/>
              </a:schemeClr>
            </a:gs>
          </a:gsLst>
          <a:lin ang="5400000" scaled="1"/>
        </a:gradFill>
        <a:round/>
      </a:ln>
    </cs:spPr>
  </cs:dataPointLine>
  <cs:dataPointMarker>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35000"/>
          <a:lumOff val="65000"/>
        </a:schemeClr>
      </a:solidFill>
      <a:ln w="9525">
        <a:solidFill>
          <a:schemeClr val="dk1">
            <a:lumMod val="50000"/>
            <a:lumOff val="50000"/>
          </a:schemeClr>
        </a:solidFill>
      </a:ln>
    </cs:spPr>
  </cs:downBar>
  <cs:dropLine>
    <cs:lnRef idx="0"/>
    <cs:fillRef idx="0"/>
    <cs:effectRef idx="0"/>
    <cs:fontRef idx="minor">
      <a:schemeClr val="dk1"/>
    </cs:fontRef>
    <cs:spPr>
      <a:ln w="9525">
        <a:solidFill>
          <a:schemeClr val="dk1">
            <a:lumMod val="50000"/>
            <a:lumOff val="50000"/>
          </a:schemeClr>
        </a:solidFill>
        <a:round/>
      </a:ln>
    </cs:spPr>
  </cs:dropLine>
  <cs:errorBar>
    <cs:lnRef idx="0"/>
    <cs:fillRef idx="0"/>
    <cs:effectRef idx="0"/>
    <cs:fontRef idx="minor">
      <a:schemeClr val="dk1"/>
    </cs:fontRef>
    <cs:spPr>
      <a:ln w="9525">
        <a:solidFill>
          <a:schemeClr val="dk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50000"/>
            <a:lumOff val="50000"/>
          </a:schemeClr>
        </a:solidFill>
        <a:round/>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65000"/>
        <a:lumOff val="35000"/>
      </a:schemeClr>
    </cs:fontRef>
    <cs:defRPr kern="1200">
      <a:effectLst/>
    </cs:defRPr>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lumMod val="95000"/>
        </a:schemeClr>
      </a:solidFill>
      <a:ln w="9525">
        <a:solidFill>
          <a:schemeClr val="dk1">
            <a:lumMod val="15000"/>
            <a:lumOff val="85000"/>
          </a:schemeClr>
        </a:solidFill>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6.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7.xml><?xml version="1.0" encoding="utf-8"?>
<cs:chartStyle xmlns:cs="http://schemas.microsoft.com/office/drawing/2012/chartStyle" xmlns:a="http://schemas.openxmlformats.org/drawingml/2006/main" id="255">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四川省财政厅</Company>
  <Pages>19</Pages>
  <Words>6291</Words>
  <Characters>6716</Characters>
  <Lines>47</Lines>
  <Paragraphs>13</Paragraphs>
  <TotalTime>1</TotalTime>
  <ScaleCrop>false</ScaleCrop>
  <LinksUpToDate>false</LinksUpToDate>
  <CharactersWithSpaces>6786</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king</cp:lastModifiedBy>
  <cp:lastPrinted>2022-09-27T03:56:00Z</cp:lastPrinted>
  <dcterms:modified xsi:type="dcterms:W3CDTF">2022-09-30T14:33:36Z</dcterms:modified>
  <dc:title>四川省***</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DB83FF4682C443DF864DAFBB55C3CE09</vt:lpwstr>
  </property>
</Properties>
</file>