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06249">
      <w:pPr>
        <w:spacing w:line="600" w:lineRule="exact"/>
        <w:jc w:val="center"/>
        <w:outlineLvl w:val="0"/>
        <w:rPr>
          <w:rFonts w:ascii="方正小标宋简体" w:hAnsi="宋体" w:eastAsia="方正小标宋简体"/>
          <w:color w:val="auto"/>
          <w:sz w:val="72"/>
          <w:szCs w:val="72"/>
          <w:highlight w:val="none"/>
        </w:rPr>
      </w:pPr>
      <w:bookmarkStart w:id="0" w:name="_Toc15306267"/>
    </w:p>
    <w:p w14:paraId="30BD45C8">
      <w:pPr>
        <w:spacing w:line="600" w:lineRule="exact"/>
        <w:jc w:val="center"/>
        <w:outlineLvl w:val="0"/>
        <w:rPr>
          <w:rFonts w:ascii="方正小标宋简体" w:hAnsi="宋体" w:eastAsia="方正小标宋简体"/>
          <w:color w:val="auto"/>
          <w:sz w:val="72"/>
          <w:szCs w:val="72"/>
          <w:highlight w:val="none"/>
        </w:rPr>
      </w:pPr>
    </w:p>
    <w:p w14:paraId="04F4E153">
      <w:pPr>
        <w:spacing w:line="600" w:lineRule="exact"/>
        <w:jc w:val="center"/>
        <w:outlineLvl w:val="0"/>
        <w:rPr>
          <w:rFonts w:ascii="方正小标宋简体" w:hAnsi="宋体" w:eastAsia="方正小标宋简体"/>
          <w:color w:val="auto"/>
          <w:sz w:val="72"/>
          <w:szCs w:val="72"/>
          <w:highlight w:val="none"/>
        </w:rPr>
      </w:pPr>
    </w:p>
    <w:p w14:paraId="489D0A93">
      <w:pPr>
        <w:spacing w:line="600" w:lineRule="exact"/>
        <w:jc w:val="center"/>
        <w:outlineLvl w:val="0"/>
        <w:rPr>
          <w:rFonts w:ascii="方正小标宋简体" w:hAnsi="宋体" w:eastAsia="方正小标宋简体"/>
          <w:color w:val="auto"/>
          <w:sz w:val="72"/>
          <w:szCs w:val="72"/>
          <w:highlight w:val="none"/>
        </w:rPr>
      </w:pPr>
    </w:p>
    <w:p w14:paraId="7290CA0D">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681"/>
      <w:bookmarkStart w:id="2" w:name="_Toc15396597"/>
      <w:bookmarkStart w:id="3" w:name="_Toc15377425"/>
      <w:bookmarkStart w:id="4" w:name="_Toc15377193"/>
      <w:bookmarkStart w:id="5" w:name="_Toc23980"/>
      <w:bookmarkStart w:id="6" w:name="_Toc15396475"/>
      <w:bookmarkStart w:id="7" w:name="_Toc15378441"/>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p>
    <w:p w14:paraId="0FB7D0D6">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8" w:name="_Toc17433"/>
      <w:bookmarkStart w:id="9" w:name="_Toc1473"/>
      <w:bookmarkStart w:id="10" w:name="_Toc15377194"/>
      <w:bookmarkStart w:id="11" w:name="_Toc15377426"/>
      <w:bookmarkStart w:id="12" w:name="_Toc15396598"/>
      <w:bookmarkStart w:id="13" w:name="_Toc15378442"/>
      <w:bookmarkStart w:id="14" w:name="_Toc15396476"/>
      <w:r>
        <w:rPr>
          <w:rFonts w:hint="eastAsia" w:ascii="方正小标宋_GBK" w:hAnsi="方正小标宋_GBK" w:eastAsia="方正小标宋_GBK" w:cs="方正小标宋_GBK"/>
          <w:color w:val="auto"/>
          <w:sz w:val="72"/>
          <w:szCs w:val="72"/>
          <w:highlight w:val="none"/>
        </w:rPr>
        <w:t>四川省</w:t>
      </w:r>
      <w:bookmarkEnd w:id="0"/>
      <w:bookmarkStart w:id="15" w:name="_Toc15306268"/>
      <w:r>
        <w:rPr>
          <w:rFonts w:hint="eastAsia" w:ascii="方正小标宋_GBK" w:hAnsi="方正小标宋_GBK" w:eastAsia="方正小标宋_GBK" w:cs="方正小标宋_GBK"/>
          <w:color w:val="auto"/>
          <w:sz w:val="72"/>
          <w:szCs w:val="72"/>
          <w:highlight w:val="none"/>
        </w:rPr>
        <w:t>广元市昭化区</w:t>
      </w:r>
      <w:bookmarkEnd w:id="8"/>
      <w:bookmarkEnd w:id="9"/>
    </w:p>
    <w:p w14:paraId="46AE005D">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6" w:name="_Toc9679"/>
      <w:bookmarkStart w:id="17" w:name="_Toc2341"/>
      <w:r>
        <w:rPr>
          <w:rFonts w:hint="eastAsia" w:ascii="方正小标宋_GBK" w:hAnsi="方正小标宋_GBK" w:eastAsia="方正小标宋_GBK" w:cs="方正小标宋_GBK"/>
          <w:color w:val="auto"/>
          <w:sz w:val="72"/>
          <w:szCs w:val="72"/>
          <w:highlight w:val="none"/>
          <w:lang w:val="en-US" w:eastAsia="zh-CN"/>
        </w:rPr>
        <w:t>卫子镇小学</w:t>
      </w:r>
      <w:r>
        <w:rPr>
          <w:rFonts w:hint="eastAsia" w:ascii="方正小标宋_GBK" w:hAnsi="方正小标宋_GBK" w:eastAsia="方正小标宋_GBK" w:cs="方正小标宋_GBK"/>
          <w:color w:val="auto"/>
          <w:sz w:val="72"/>
          <w:szCs w:val="72"/>
          <w:highlight w:val="none"/>
        </w:rPr>
        <w:t>单位决算</w:t>
      </w:r>
      <w:bookmarkEnd w:id="10"/>
      <w:bookmarkEnd w:id="11"/>
      <w:bookmarkEnd w:id="12"/>
      <w:bookmarkEnd w:id="13"/>
      <w:bookmarkEnd w:id="14"/>
      <w:bookmarkEnd w:id="15"/>
      <w:bookmarkEnd w:id="16"/>
      <w:bookmarkEnd w:id="17"/>
    </w:p>
    <w:p w14:paraId="54E3ADEC">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5DF7A687">
      <w:pPr>
        <w:pStyle w:val="13"/>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TOC \o "1-2" \h \u </w:instrText>
      </w:r>
      <w:r>
        <w:rPr>
          <w:rFonts w:hint="eastAsia" w:ascii="仿宋" w:hAnsi="仿宋" w:eastAsia="仿宋" w:cs="仿宋"/>
          <w:color w:val="auto"/>
          <w:sz w:val="24"/>
          <w:szCs w:val="24"/>
          <w:highlight w:val="none"/>
        </w:rPr>
        <w:fldChar w:fldCharType="separate"/>
      </w:r>
    </w:p>
    <w:p w14:paraId="2A87C744">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_Toc17785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_Toc17785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CC65D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_Toc7404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_Toc7404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7862A60">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_Toc4463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_Toc4463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979D8C0">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_Toc10437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_Toc10437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4225B3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_Toc5075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9CFCCD2">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_Toc11923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_Toc11923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D41F8CA">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83A034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_Toc12678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_Toc12678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8DCB168">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AE9F89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_Toc23757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_Toc23757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5F6066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_Toc16373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_Toc16373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2D29F46">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_Toc29438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_Toc29438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C04E49A">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_Toc4818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_Toc4818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98EB7D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_Toc23871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_Toc23871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2B7773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_Toc16944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_Toc16944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0136881">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_Toc16610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_Toc16610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E003026">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_Toc3498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_Toc3498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0C0EC5D">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_Toc6245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_Toc6245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84594D">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22AB57E">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_Toc20829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_Toc20829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E3A1C6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8C0D87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_Toc32481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_Toc32481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2B886B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_Toc16282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_Toc16282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2038C81">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_Toc27698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_Toc27698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940C07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9881E81">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_Toc31149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_Toc31149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CF70DC6">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_Toc2969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_Toc2969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4A3BEB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_Toc15951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_Toc15951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A859678">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_Toc26411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_Toc26411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D0E2D06">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2C6DED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_Toc26015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_Toc26015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9785B9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_Toc2980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_Toc2980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279ED0F">
      <w:pPr>
        <w:pStyle w:val="1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end"/>
      </w:r>
    </w:p>
    <w:p w14:paraId="3E8754C5">
      <w:pPr>
        <w:rPr>
          <w:color w:val="auto"/>
          <w:highlight w:val="none"/>
        </w:rPr>
      </w:pPr>
    </w:p>
    <w:p w14:paraId="116F9E5E">
      <w:pPr>
        <w:pStyle w:val="3"/>
        <w:bidi w:val="0"/>
        <w:rPr>
          <w:color w:val="auto"/>
          <w:highlight w:val="none"/>
        </w:rPr>
      </w:pPr>
      <w:bookmarkStart w:id="18" w:name="_Toc15396599"/>
      <w:bookmarkStart w:id="19" w:name="_Toc15377196"/>
      <w:bookmarkStart w:id="20" w:name="_Toc17785"/>
      <w:r>
        <w:rPr>
          <w:rFonts w:hint="eastAsia"/>
          <w:color w:val="auto"/>
          <w:highlight w:val="none"/>
        </w:rPr>
        <w:t>第一部分 单位概况</w:t>
      </w:r>
      <w:bookmarkEnd w:id="18"/>
      <w:bookmarkEnd w:id="19"/>
      <w:bookmarkEnd w:id="20"/>
    </w:p>
    <w:p w14:paraId="045D5547">
      <w:pPr>
        <w:widowControl/>
        <w:jc w:val="left"/>
        <w:rPr>
          <w:rFonts w:ascii="黑体" w:eastAsia="黑体"/>
          <w:color w:val="auto"/>
          <w:sz w:val="32"/>
          <w:szCs w:val="32"/>
          <w:highlight w:val="none"/>
        </w:rPr>
      </w:pPr>
    </w:p>
    <w:p w14:paraId="2BF8EAEC">
      <w:pPr>
        <w:pStyle w:val="4"/>
        <w:numPr>
          <w:ilvl w:val="0"/>
          <w:numId w:val="1"/>
        </w:numPr>
        <w:bidi w:val="0"/>
        <w:rPr>
          <w:rFonts w:hint="eastAsia" w:ascii="仿宋" w:hAnsi="仿宋" w:eastAsia="仿宋" w:cs="仿宋"/>
          <w:color w:val="auto"/>
          <w:highlight w:val="none"/>
        </w:rPr>
      </w:pPr>
      <w:bookmarkStart w:id="21" w:name="_Toc7404"/>
      <w:bookmarkStart w:id="22" w:name="_Toc15377197"/>
      <w:bookmarkStart w:id="23" w:name="_Toc15396600"/>
      <w:r>
        <w:rPr>
          <w:rFonts w:hint="eastAsia" w:ascii="仿宋" w:hAnsi="仿宋" w:eastAsia="仿宋" w:cs="仿宋"/>
          <w:color w:val="auto"/>
          <w:highlight w:val="none"/>
        </w:rPr>
        <w:t>职能简介</w:t>
      </w:r>
      <w:bookmarkEnd w:id="21"/>
    </w:p>
    <w:p w14:paraId="58E56D53">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14:paraId="365DE89A">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14:paraId="7B304BD1">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14:paraId="12AC69C0">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14:paraId="364368BF">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14:paraId="242B9EE3">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14:paraId="5C498F76">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14:paraId="724E3985">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14:paraId="5287334E">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14:paraId="576480E3">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14:paraId="210D6641">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14:paraId="3AF7FF19">
      <w:pPr>
        <w:pStyle w:val="4"/>
        <w:bidi w:val="0"/>
        <w:rPr>
          <w:rFonts w:hint="eastAsia" w:ascii="仿宋" w:hAnsi="仿宋" w:eastAsia="仿宋" w:cs="仿宋"/>
          <w:color w:val="auto"/>
          <w:highlight w:val="none"/>
        </w:rPr>
      </w:pPr>
      <w:bookmarkStart w:id="24" w:name="_Toc4463"/>
      <w:r>
        <w:rPr>
          <w:rFonts w:hint="eastAsia" w:ascii="仿宋" w:hAnsi="仿宋" w:eastAsia="仿宋" w:cs="仿宋"/>
          <w:color w:val="auto"/>
          <w:highlight w:val="none"/>
        </w:rPr>
        <w:t>二、2021年重点工作</w:t>
      </w:r>
      <w:bookmarkEnd w:id="22"/>
      <w:bookmarkEnd w:id="23"/>
      <w:r>
        <w:rPr>
          <w:rFonts w:hint="eastAsia" w:ascii="仿宋" w:hAnsi="仿宋" w:eastAsia="仿宋" w:cs="仿宋"/>
          <w:color w:val="auto"/>
          <w:highlight w:val="none"/>
        </w:rPr>
        <w:t>完成情况</w:t>
      </w:r>
      <w:bookmarkEnd w:id="24"/>
    </w:p>
    <w:p w14:paraId="2A5847C9">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1、</w:t>
      </w:r>
      <w:r>
        <w:rPr>
          <w:rFonts w:hint="eastAsia" w:ascii="仿宋" w:hAnsi="仿宋" w:eastAsia="仿宋"/>
          <w:color w:val="auto"/>
          <w:sz w:val="32"/>
          <w:szCs w:val="32"/>
          <w:highlight w:val="none"/>
          <w:lang w:eastAsia="zh-CN"/>
        </w:rPr>
        <w:t>继续</w:t>
      </w:r>
      <w:r>
        <w:rPr>
          <w:rFonts w:hint="eastAsia" w:ascii="仿宋" w:hAnsi="仿宋" w:eastAsia="仿宋"/>
          <w:color w:val="auto"/>
          <w:sz w:val="32"/>
          <w:szCs w:val="32"/>
          <w:highlight w:val="none"/>
        </w:rPr>
        <w:t>坚持党建工作常态化，凸显战斗堡垒作用。始终在政治立场、政治方向、政治原则、政治道路上</w:t>
      </w:r>
      <w:r>
        <w:rPr>
          <w:rFonts w:hint="eastAsia" w:ascii="仿宋" w:hAnsi="仿宋" w:eastAsia="仿宋"/>
          <w:color w:val="auto"/>
          <w:sz w:val="32"/>
          <w:szCs w:val="32"/>
          <w:highlight w:val="none"/>
          <w:lang w:eastAsia="zh-CN"/>
        </w:rPr>
        <w:t>同以习近平同志为核心的党中央保持高度一致</w:t>
      </w:r>
      <w:r>
        <w:rPr>
          <w:rFonts w:hint="eastAsia" w:ascii="仿宋" w:hAnsi="仿宋" w:eastAsia="仿宋"/>
          <w:color w:val="auto"/>
          <w:sz w:val="32"/>
          <w:szCs w:val="32"/>
          <w:highlight w:val="none"/>
        </w:rPr>
        <w:t>。</w:t>
      </w:r>
    </w:p>
    <w:p w14:paraId="1519FE8D">
      <w:pPr>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w:t>
      </w:r>
      <w:r>
        <w:rPr>
          <w:rFonts w:hint="eastAsia" w:ascii="仿宋" w:hAnsi="仿宋" w:eastAsia="仿宋"/>
          <w:color w:val="auto"/>
          <w:sz w:val="32"/>
          <w:szCs w:val="32"/>
          <w:highlight w:val="none"/>
          <w:lang w:eastAsia="zh-CN"/>
        </w:rPr>
        <w:t>继续</w:t>
      </w:r>
      <w:r>
        <w:rPr>
          <w:rFonts w:hint="eastAsia" w:ascii="仿宋" w:hAnsi="仿宋" w:eastAsia="仿宋"/>
          <w:color w:val="auto"/>
          <w:sz w:val="32"/>
          <w:szCs w:val="32"/>
          <w:highlight w:val="none"/>
        </w:rPr>
        <w:t>坚持师德建设常态化，增强内驱力向心力。加强师德建设的组织领导，书记、校长亲自抓，纪检委员具体抓，工会主席协同抓，强化师德建设的管理力量；坚持师德建设没</w:t>
      </w:r>
      <w:bookmarkStart w:id="111" w:name="_GoBack"/>
      <w:bookmarkEnd w:id="111"/>
      <w:r>
        <w:rPr>
          <w:rFonts w:hint="eastAsia" w:ascii="仿宋" w:hAnsi="仿宋" w:eastAsia="仿宋"/>
          <w:color w:val="auto"/>
          <w:sz w:val="32"/>
          <w:szCs w:val="32"/>
          <w:highlight w:val="none"/>
        </w:rPr>
        <w:t>有终点，没有特例，逢会必讲，违规必究；健全师德考核制度建设，夯实党员教师“两学一做”、“学习强国”活动，做实师德承诺书签订活动；完善师德建设活动资料，建好各类台账。</w:t>
      </w:r>
    </w:p>
    <w:p w14:paraId="54EBE21E">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3、</w:t>
      </w:r>
      <w:r>
        <w:rPr>
          <w:rFonts w:hint="eastAsia" w:ascii="仿宋" w:hAnsi="仿宋" w:eastAsia="仿宋"/>
          <w:color w:val="auto"/>
          <w:sz w:val="32"/>
          <w:szCs w:val="32"/>
          <w:highlight w:val="none"/>
          <w:lang w:eastAsia="zh-CN"/>
        </w:rPr>
        <w:t>继续</w:t>
      </w:r>
      <w:r>
        <w:rPr>
          <w:rFonts w:hint="eastAsia" w:ascii="仿宋" w:hAnsi="仿宋" w:eastAsia="仿宋"/>
          <w:color w:val="auto"/>
          <w:sz w:val="32"/>
          <w:szCs w:val="32"/>
          <w:highlight w:val="none"/>
        </w:rPr>
        <w:t>坚持安全教育常态化，提升平安校园内涵。坚持“党政同责、一岗双责、失职追责”工作机制；坚持“预防为主，排查先行”基本思想，切实落实安全管理“四个一”制度（每期一演练，每月一排查，每周一主题，每日一教育。</w:t>
      </w:r>
    </w:p>
    <w:p w14:paraId="15E59C57">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4、</w:t>
      </w:r>
      <w:r>
        <w:rPr>
          <w:rFonts w:hint="eastAsia" w:ascii="仿宋" w:hAnsi="仿宋" w:eastAsia="仿宋"/>
          <w:color w:val="auto"/>
          <w:sz w:val="32"/>
          <w:szCs w:val="32"/>
          <w:highlight w:val="none"/>
          <w:lang w:eastAsia="zh-CN"/>
        </w:rPr>
        <w:t>继续</w:t>
      </w:r>
      <w:r>
        <w:rPr>
          <w:rFonts w:hint="eastAsia" w:ascii="仿宋" w:hAnsi="仿宋" w:eastAsia="仿宋"/>
          <w:color w:val="auto"/>
          <w:sz w:val="32"/>
          <w:szCs w:val="32"/>
          <w:highlight w:val="none"/>
        </w:rPr>
        <w:t>坚持法治教育常态化，增强知法守法意识。继续以“三养”模式及854工作法为主导，全面落实“五到位”（规章制度完善到位，法制副校长、辅导员、法律顾问配备到位，法律进课堂到位，法制宣传阵地到位</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w:t>
      </w:r>
    </w:p>
    <w:p w14:paraId="5402FEC0">
      <w:pPr>
        <w:pStyle w:val="16"/>
        <w:ind w:left="0" w:leftChars="0" w:firstLine="640" w:firstLineChars="200"/>
        <w:rPr>
          <w:rFonts w:hint="eastAsia" w:ascii="仿宋" w:hAnsi="仿宋" w:eastAsia="仿宋" w:cs="仿宋"/>
          <w:color w:val="auto"/>
          <w:highlight w:val="none"/>
        </w:rPr>
      </w:pPr>
      <w:r>
        <w:rPr>
          <w:rFonts w:hint="eastAsia" w:ascii="仿宋" w:hAnsi="仿宋" w:eastAsia="仿宋"/>
          <w:color w:val="auto"/>
          <w:sz w:val="32"/>
          <w:szCs w:val="32"/>
          <w:highlight w:val="none"/>
        </w:rPr>
        <w:t>5、</w:t>
      </w:r>
      <w:r>
        <w:rPr>
          <w:rFonts w:hint="eastAsia" w:ascii="仿宋" w:hAnsi="仿宋" w:eastAsia="仿宋"/>
          <w:color w:val="auto"/>
          <w:sz w:val="32"/>
          <w:szCs w:val="32"/>
          <w:highlight w:val="none"/>
          <w:lang w:eastAsia="zh-CN"/>
        </w:rPr>
        <w:t>继续</w:t>
      </w:r>
      <w:r>
        <w:rPr>
          <w:rFonts w:hint="eastAsia" w:ascii="仿宋" w:hAnsi="仿宋" w:eastAsia="仿宋"/>
          <w:color w:val="auto"/>
          <w:sz w:val="32"/>
          <w:szCs w:val="32"/>
          <w:highlight w:val="none"/>
        </w:rPr>
        <w:t>坚持教学科研常态化，规范行为提升素质。加强对“五项管理”和“双减”工作的执行情况和教学行为规范情况的检查；狠抓教学常规，规范教学行为；明确“走出去、请进来、共发展”教师培养思路，设立“常规听课日”（每周周四）和“主题教研周”（每月第三周），开展教师课堂教学大比武活动，坚持“说—讲—评—教后反思”模式，进一步提升教师驾驭课堂能力；做实课后服务，让不同的孩子得到不同的发展。</w:t>
      </w:r>
    </w:p>
    <w:p w14:paraId="7B1113BC">
      <w:pPr>
        <w:rPr>
          <w:rFonts w:hint="eastAsia" w:ascii="仿宋" w:hAnsi="仿宋" w:eastAsia="仿宋" w:cs="仿宋"/>
          <w:b w:val="0"/>
          <w:color w:val="auto"/>
          <w:highlight w:val="none"/>
        </w:rPr>
      </w:pPr>
      <w:bookmarkStart w:id="25" w:name="_Toc15377204"/>
      <w:bookmarkStart w:id="26" w:name="_Toc15396602"/>
      <w:r>
        <w:rPr>
          <w:rFonts w:hint="eastAsia" w:ascii="仿宋" w:hAnsi="仿宋" w:eastAsia="仿宋" w:cs="仿宋"/>
          <w:b w:val="0"/>
          <w:color w:val="auto"/>
          <w:highlight w:val="none"/>
        </w:rPr>
        <w:br w:type="page"/>
      </w:r>
    </w:p>
    <w:p w14:paraId="709EECC2">
      <w:pPr>
        <w:pStyle w:val="3"/>
        <w:bidi w:val="0"/>
        <w:rPr>
          <w:rFonts w:hint="eastAsia" w:ascii="仿宋" w:hAnsi="仿宋" w:eastAsia="仿宋" w:cs="仿宋"/>
          <w:color w:val="auto"/>
          <w:highlight w:val="none"/>
        </w:rPr>
      </w:pPr>
      <w:bookmarkStart w:id="27" w:name="_Toc10437"/>
      <w:r>
        <w:rPr>
          <w:rFonts w:hint="eastAsia" w:ascii="仿宋" w:hAnsi="仿宋" w:eastAsia="仿宋" w:cs="仿宋"/>
          <w:color w:val="auto"/>
          <w:highlight w:val="none"/>
        </w:rPr>
        <w:t>第二部分 2021年度单位决算情况说明</w:t>
      </w:r>
      <w:bookmarkEnd w:id="25"/>
      <w:bookmarkEnd w:id="26"/>
      <w:bookmarkEnd w:id="27"/>
    </w:p>
    <w:p w14:paraId="428B9E92">
      <w:pPr>
        <w:rPr>
          <w:rFonts w:hint="eastAsia" w:ascii="仿宋" w:hAnsi="仿宋" w:eastAsia="仿宋" w:cs="仿宋"/>
          <w:color w:val="auto"/>
          <w:highlight w:val="none"/>
        </w:rPr>
      </w:pPr>
    </w:p>
    <w:p w14:paraId="1D6569CB">
      <w:pPr>
        <w:pStyle w:val="4"/>
        <w:numPr>
          <w:ilvl w:val="0"/>
          <w:numId w:val="2"/>
        </w:numPr>
        <w:bidi w:val="0"/>
        <w:ind w:left="0" w:leftChars="0" w:firstLine="643" w:firstLineChars="200"/>
        <w:rPr>
          <w:rFonts w:hint="eastAsia" w:ascii="仿宋" w:hAnsi="仿宋" w:eastAsia="仿宋" w:cs="仿宋"/>
          <w:color w:val="auto"/>
          <w:highlight w:val="none"/>
        </w:rPr>
      </w:pPr>
      <w:bookmarkStart w:id="28" w:name="_Toc15377205"/>
      <w:bookmarkStart w:id="29" w:name="_Toc15396603"/>
      <w:bookmarkStart w:id="30" w:name="_Toc5075"/>
      <w:r>
        <w:rPr>
          <w:rFonts w:hint="eastAsia" w:ascii="仿宋" w:hAnsi="仿宋" w:eastAsia="仿宋" w:cs="仿宋"/>
          <w:color w:val="auto"/>
          <w:highlight w:val="none"/>
        </w:rPr>
        <w:t>收入支出决算总体情况说明</w:t>
      </w:r>
      <w:bookmarkEnd w:id="28"/>
      <w:bookmarkEnd w:id="29"/>
      <w:bookmarkEnd w:id="30"/>
    </w:p>
    <w:p w14:paraId="07BAA4D2">
      <w:pPr>
        <w:spacing w:line="600" w:lineRule="exact"/>
        <w:ind w:firstLine="640" w:firstLineChars="200"/>
        <w:outlineLvl w:val="1"/>
        <w:rPr>
          <w:rFonts w:hint="eastAsia" w:ascii="仿宋" w:hAnsi="仿宋" w:eastAsia="仿宋" w:cs="仿宋"/>
          <w:color w:val="auto"/>
          <w:highlight w:val="none"/>
          <w:lang w:eastAsia="zh-CN"/>
        </w:rPr>
      </w:pPr>
      <w:bookmarkStart w:id="31" w:name="_Toc9801"/>
      <w:bookmarkStart w:id="32" w:name="_Toc20585"/>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1009.25</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40.69</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减少3.87%</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基本支出减少</w:t>
      </w:r>
      <w:r>
        <w:rPr>
          <w:rFonts w:hint="eastAsia" w:ascii="仿宋" w:hAnsi="仿宋" w:eastAsia="仿宋" w:cs="仿宋"/>
          <w:color w:val="auto"/>
          <w:sz w:val="32"/>
          <w:szCs w:val="32"/>
          <w:highlight w:val="none"/>
        </w:rPr>
        <w:t>。</w:t>
      </w:r>
      <w:bookmarkEnd w:id="31"/>
      <w:bookmarkEnd w:id="32"/>
    </w:p>
    <w:p w14:paraId="47D5ECF3">
      <w:pPr>
        <w:pStyle w:val="4"/>
        <w:numPr>
          <w:ilvl w:val="0"/>
          <w:numId w:val="2"/>
        </w:numPr>
        <w:bidi w:val="0"/>
        <w:ind w:left="0" w:leftChars="0" w:firstLine="643" w:firstLineChars="200"/>
        <w:jc w:val="left"/>
        <w:rPr>
          <w:rFonts w:hint="eastAsia" w:ascii="仿宋" w:hAnsi="仿宋" w:eastAsia="仿宋" w:cs="仿宋"/>
          <w:color w:val="auto"/>
          <w:highlight w:val="none"/>
        </w:rPr>
      </w:pPr>
      <w:bookmarkStart w:id="33" w:name="_Toc11923"/>
      <w:bookmarkStart w:id="34" w:name="_Toc15396604"/>
      <w:bookmarkStart w:id="35" w:name="_Toc15377206"/>
      <w:r>
        <w:rPr>
          <w:rFonts w:hint="eastAsia" w:ascii="仿宋" w:hAnsi="仿宋" w:eastAsia="仿宋" w:cs="仿宋"/>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s="仿宋"/>
          <w:color w:val="auto"/>
          <w:highlight w:val="none"/>
        </w:rPr>
        <w:t>收入决算情况说明</w:t>
      </w:r>
      <w:bookmarkEnd w:id="33"/>
      <w:bookmarkEnd w:id="34"/>
      <w:bookmarkEnd w:id="35"/>
    </w:p>
    <w:p w14:paraId="48C3CF63">
      <w:pPr>
        <w:spacing w:line="600" w:lineRule="exact"/>
        <w:ind w:firstLine="640" w:firstLineChars="200"/>
        <w:outlineLvl w:val="1"/>
        <w:rPr>
          <w:rFonts w:hint="eastAsia" w:ascii="仿宋" w:hAnsi="仿宋" w:eastAsia="仿宋" w:cs="仿宋"/>
          <w:color w:val="auto"/>
          <w:sz w:val="32"/>
          <w:szCs w:val="32"/>
          <w:highlight w:val="none"/>
          <w:lang w:eastAsia="zh-CN"/>
        </w:rPr>
      </w:pPr>
      <w:bookmarkStart w:id="36" w:name="_Toc32714"/>
      <w:bookmarkStart w:id="37" w:name="_Toc28868"/>
      <w:r>
        <w:rPr>
          <w:rFonts w:hint="eastAsia" w:ascii="仿宋" w:hAnsi="仿宋" w:eastAsia="仿宋" w:cs="仿宋"/>
          <w:color w:val="auto"/>
          <w:sz w:val="32"/>
          <w:szCs w:val="32"/>
          <w:highlight w:val="none"/>
        </w:rPr>
        <w:t>2021年本年收入合计</w:t>
      </w:r>
      <w:r>
        <w:rPr>
          <w:rFonts w:hint="eastAsia" w:ascii="仿宋" w:hAnsi="仿宋" w:eastAsia="仿宋" w:cs="仿宋"/>
          <w:color w:val="auto"/>
          <w:sz w:val="32"/>
          <w:szCs w:val="32"/>
          <w:highlight w:val="none"/>
          <w:lang w:val="en-US" w:eastAsia="zh-CN"/>
        </w:rPr>
        <w:t>1009.25</w:t>
      </w:r>
      <w:r>
        <w:rPr>
          <w:rFonts w:hint="eastAsia" w:ascii="仿宋" w:hAnsi="仿宋" w:eastAsia="仿宋" w:cs="仿宋"/>
          <w:color w:val="auto"/>
          <w:sz w:val="32"/>
          <w:szCs w:val="32"/>
          <w:highlight w:val="none"/>
        </w:rPr>
        <w:t>万元，其中：一般公共预算财政拨款收入</w:t>
      </w:r>
      <w:r>
        <w:rPr>
          <w:rFonts w:hint="eastAsia" w:ascii="仿宋" w:hAnsi="仿宋" w:eastAsia="仿宋" w:cs="仿宋"/>
          <w:color w:val="auto"/>
          <w:sz w:val="32"/>
          <w:szCs w:val="32"/>
          <w:highlight w:val="none"/>
          <w:lang w:val="en-US" w:eastAsia="zh-CN"/>
        </w:rPr>
        <w:t>1009.25</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bookmarkEnd w:id="36"/>
      <w:bookmarkEnd w:id="37"/>
    </w:p>
    <w:p w14:paraId="07F5DD20">
      <w:pPr>
        <w:pStyle w:val="16"/>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66FCC29B">
      <w:pPr>
        <w:pStyle w:val="4"/>
        <w:bidi w:val="0"/>
        <w:rPr>
          <w:rFonts w:hint="eastAsia" w:ascii="仿宋" w:hAnsi="仿宋" w:eastAsia="仿宋" w:cs="仿宋"/>
          <w:color w:val="auto"/>
          <w:highlight w:val="none"/>
        </w:rPr>
      </w:pPr>
      <w:bookmarkStart w:id="38" w:name="_Toc15396605"/>
      <w:bookmarkStart w:id="39" w:name="_Toc2775"/>
      <w:bookmarkStart w:id="40" w:name="_Toc15377207"/>
      <w:r>
        <w:rPr>
          <w:rFonts w:hint="eastAsia" w:ascii="仿宋" w:hAnsi="仿宋" w:eastAsia="仿宋" w:cs="仿宋"/>
          <w:color w:val="auto"/>
          <w:highlight w:val="none"/>
          <w:lang w:eastAsia="zh-CN"/>
        </w:rPr>
        <w:t>三、</w:t>
      </w:r>
      <w:r>
        <w:rPr>
          <w:rFonts w:hint="eastAsia" w:ascii="仿宋" w:hAnsi="仿宋" w:eastAsia="仿宋" w:cs="仿宋"/>
          <w:color w:val="auto"/>
          <w:highlight w:val="none"/>
        </w:rPr>
        <w:t>支出决算情况说明</w:t>
      </w:r>
      <w:bookmarkEnd w:id="38"/>
      <w:bookmarkEnd w:id="39"/>
      <w:bookmarkEnd w:id="40"/>
    </w:p>
    <w:p w14:paraId="3B06FB6D">
      <w:pPr>
        <w:spacing w:line="600" w:lineRule="exact"/>
        <w:ind w:firstLine="640" w:firstLineChars="200"/>
        <w:outlineLvl w:val="1"/>
        <w:rPr>
          <w:rFonts w:hint="eastAsia" w:ascii="仿宋" w:hAnsi="仿宋" w:eastAsia="仿宋" w:cs="仿宋"/>
          <w:color w:val="auto"/>
          <w:sz w:val="32"/>
          <w:szCs w:val="32"/>
          <w:highlight w:val="none"/>
        </w:rPr>
      </w:pPr>
      <w:bookmarkStart w:id="41" w:name="_Toc30363"/>
      <w:bookmarkStart w:id="42" w:name="_Toc6817"/>
      <w:r>
        <w:rPr>
          <w:rFonts w:hint="eastAsia" w:ascii="仿宋" w:hAnsi="仿宋" w:eastAsia="仿宋" w:cs="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s="仿宋"/>
          <w:color w:val="auto"/>
          <w:sz w:val="32"/>
          <w:szCs w:val="32"/>
          <w:highlight w:val="none"/>
        </w:rPr>
        <w:t>2021年本年支出合计</w:t>
      </w:r>
      <w:r>
        <w:rPr>
          <w:rFonts w:hint="eastAsia" w:ascii="仿宋" w:hAnsi="仿宋" w:eastAsia="仿宋" w:cs="仿宋"/>
          <w:color w:val="auto"/>
          <w:sz w:val="32"/>
          <w:szCs w:val="32"/>
          <w:highlight w:val="none"/>
          <w:lang w:eastAsia="zh-CN"/>
        </w:rPr>
        <w:t>1009.25</w:t>
      </w:r>
      <w:r>
        <w:rPr>
          <w:rFonts w:hint="eastAsia" w:ascii="仿宋" w:hAnsi="仿宋" w:eastAsia="仿宋" w:cs="仿宋"/>
          <w:color w:val="auto"/>
          <w:sz w:val="32"/>
          <w:szCs w:val="32"/>
          <w:highlight w:val="none"/>
        </w:rPr>
        <w:t>万元，其中：基本支出</w:t>
      </w:r>
      <w:r>
        <w:rPr>
          <w:rFonts w:hint="eastAsia" w:ascii="仿宋" w:hAnsi="仿宋" w:eastAsia="仿宋" w:cs="仿宋"/>
          <w:color w:val="auto"/>
          <w:sz w:val="32"/>
          <w:szCs w:val="32"/>
          <w:highlight w:val="none"/>
          <w:lang w:eastAsia="zh-CN"/>
        </w:rPr>
        <w:t>714.25</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70.77</w:t>
      </w:r>
      <w:r>
        <w:rPr>
          <w:rFonts w:hint="eastAsia" w:ascii="仿宋" w:hAnsi="仿宋" w:eastAsia="仿宋" w:cs="仿宋"/>
          <w:color w:val="auto"/>
          <w:sz w:val="32"/>
          <w:szCs w:val="32"/>
          <w:highlight w:val="none"/>
        </w:rPr>
        <w:t>%；项目支出</w:t>
      </w:r>
      <w:r>
        <w:rPr>
          <w:rFonts w:hint="eastAsia" w:ascii="仿宋" w:hAnsi="仿宋" w:eastAsia="仿宋" w:cs="仿宋"/>
          <w:color w:val="auto"/>
          <w:sz w:val="32"/>
          <w:szCs w:val="32"/>
          <w:highlight w:val="none"/>
          <w:lang w:eastAsia="zh-CN"/>
        </w:rPr>
        <w:t>295.00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29.23</w:t>
      </w:r>
      <w:r>
        <w:rPr>
          <w:rFonts w:hint="eastAsia" w:ascii="仿宋" w:hAnsi="仿宋" w:eastAsia="仿宋" w:cs="仿宋"/>
          <w:color w:val="auto"/>
          <w:sz w:val="32"/>
          <w:szCs w:val="32"/>
          <w:highlight w:val="none"/>
        </w:rPr>
        <w:t>%。</w:t>
      </w:r>
      <w:bookmarkEnd w:id="41"/>
      <w:bookmarkEnd w:id="42"/>
    </w:p>
    <w:p w14:paraId="3BA731D8">
      <w:pPr>
        <w:pStyle w:val="4"/>
        <w:bidi w:val="0"/>
        <w:rPr>
          <w:rFonts w:hint="eastAsia" w:ascii="仿宋" w:hAnsi="仿宋" w:eastAsia="仿宋" w:cs="仿宋"/>
          <w:color w:val="auto"/>
          <w:highlight w:val="none"/>
        </w:rPr>
      </w:pPr>
      <w:bookmarkStart w:id="43" w:name="_Toc15377208"/>
      <w:bookmarkStart w:id="44" w:name="_Toc12678"/>
      <w:bookmarkStart w:id="45" w:name="_Toc15396606"/>
      <w:r>
        <w:rPr>
          <w:rFonts w:hint="eastAsia" w:ascii="仿宋" w:hAnsi="仿宋" w:eastAsia="仿宋" w:cs="仿宋"/>
          <w:color w:val="auto"/>
          <w:highlight w:val="none"/>
        </w:rPr>
        <w:t>四、财政拨款收入支出决算总体情况说明</w:t>
      </w:r>
      <w:bookmarkEnd w:id="43"/>
      <w:bookmarkEnd w:id="44"/>
      <w:bookmarkEnd w:id="45"/>
    </w:p>
    <w:p w14:paraId="2FF0E45F">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2021年财政拨款收、支总计</w:t>
      </w:r>
      <w:r>
        <w:rPr>
          <w:rFonts w:hint="eastAsia" w:ascii="仿宋" w:hAnsi="仿宋" w:eastAsia="仿宋" w:cs="仿宋"/>
          <w:color w:val="auto"/>
          <w:sz w:val="32"/>
          <w:szCs w:val="32"/>
          <w:highlight w:val="none"/>
          <w:lang w:eastAsia="zh-CN"/>
        </w:rPr>
        <w:t>1009.25</w:t>
      </w:r>
      <w:r>
        <w:rPr>
          <w:rFonts w:hint="eastAsia" w:ascii="仿宋" w:hAnsi="仿宋" w:eastAsia="仿宋" w:cs="仿宋"/>
          <w:color w:val="auto"/>
          <w:sz w:val="32"/>
          <w:szCs w:val="32"/>
          <w:highlight w:val="none"/>
        </w:rPr>
        <w:t>万元。与2020年相比，财政拨款收、支总计各</w:t>
      </w:r>
      <w:r>
        <w:rPr>
          <w:rFonts w:hint="eastAsia" w:ascii="仿宋" w:hAnsi="仿宋" w:eastAsia="仿宋" w:cs="仿宋"/>
          <w:color w:val="auto"/>
          <w:sz w:val="32"/>
          <w:szCs w:val="32"/>
          <w:highlight w:val="none"/>
          <w:lang w:eastAsia="zh-CN"/>
        </w:rPr>
        <w:t>减少40.69</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减少3.87%</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基本支出减少</w:t>
      </w:r>
      <w:r>
        <w:rPr>
          <w:rFonts w:hint="eastAsia" w:ascii="仿宋" w:hAnsi="仿宋" w:eastAsia="仿宋" w:cs="仿宋"/>
          <w:color w:val="auto"/>
          <w:sz w:val="32"/>
          <w:szCs w:val="32"/>
          <w:highlight w:val="none"/>
        </w:rPr>
        <w:t>。</w:t>
      </w:r>
    </w:p>
    <w:p w14:paraId="25803786">
      <w:pPr>
        <w:pStyle w:val="16"/>
        <w:rPr>
          <w:rFonts w:hint="eastAsia" w:ascii="仿宋" w:hAnsi="仿宋" w:eastAsia="仿宋" w:cs="仿宋"/>
          <w:color w:val="auto"/>
          <w:highlight w:val="none"/>
        </w:rPr>
      </w:pPr>
      <w:r>
        <w:rPr>
          <w:rFonts w:hint="eastAsia" w:ascii="仿宋" w:hAnsi="仿宋" w:eastAsia="仿宋" w:cs="仿宋"/>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34A8AAD4">
      <w:pPr>
        <w:pStyle w:val="4"/>
        <w:bidi w:val="0"/>
        <w:rPr>
          <w:rFonts w:hint="eastAsia" w:ascii="仿宋" w:hAnsi="仿宋" w:eastAsia="仿宋" w:cs="仿宋"/>
          <w:color w:val="auto"/>
          <w:highlight w:val="none"/>
        </w:rPr>
      </w:pPr>
      <w:bookmarkStart w:id="46" w:name="_Toc15377209"/>
      <w:bookmarkStart w:id="47" w:name="_Toc16782"/>
      <w:bookmarkStart w:id="48" w:name="_Toc15396607"/>
      <w:r>
        <w:rPr>
          <w:rFonts w:hint="eastAsia" w:ascii="仿宋" w:hAnsi="仿宋" w:eastAsia="仿宋" w:cs="仿宋"/>
          <w:color w:val="auto"/>
          <w:highlight w:val="none"/>
        </w:rPr>
        <w:t>五、一般公共预算财政拨款支出决算情况说明</w:t>
      </w:r>
      <w:bookmarkEnd w:id="46"/>
      <w:bookmarkEnd w:id="47"/>
      <w:bookmarkEnd w:id="48"/>
    </w:p>
    <w:p w14:paraId="48779282">
      <w:pPr>
        <w:spacing w:line="600" w:lineRule="exact"/>
        <w:ind w:firstLine="643" w:firstLineChars="200"/>
        <w:outlineLvl w:val="2"/>
        <w:rPr>
          <w:rFonts w:hint="eastAsia" w:ascii="仿宋" w:hAnsi="仿宋" w:eastAsia="仿宋" w:cs="仿宋"/>
          <w:b/>
          <w:color w:val="auto"/>
          <w:sz w:val="32"/>
          <w:szCs w:val="32"/>
          <w:highlight w:val="none"/>
        </w:rPr>
      </w:pPr>
      <w:bookmarkStart w:id="49" w:name="_Toc15377210"/>
      <w:r>
        <w:rPr>
          <w:rFonts w:hint="eastAsia" w:ascii="仿宋" w:hAnsi="仿宋" w:eastAsia="仿宋" w:cs="仿宋"/>
          <w:b/>
          <w:color w:val="auto"/>
          <w:sz w:val="32"/>
          <w:szCs w:val="32"/>
          <w:highlight w:val="none"/>
        </w:rPr>
        <w:t>（一）一般公共预算财政拨款支出决算总体情况</w:t>
      </w:r>
      <w:bookmarkEnd w:id="49"/>
    </w:p>
    <w:p w14:paraId="3D8D5421">
      <w:pPr>
        <w:spacing w:line="600" w:lineRule="exact"/>
        <w:ind w:firstLine="640"/>
        <w:rPr>
          <w:rFonts w:hint="eastAsia" w:ascii="仿宋" w:hAnsi="仿宋" w:eastAsia="仿宋" w:cs="仿宋"/>
          <w:b/>
          <w:color w:val="auto"/>
          <w:sz w:val="32"/>
          <w:szCs w:val="32"/>
          <w:highlight w:val="none"/>
          <w:lang w:eastAsia="zh-CN"/>
        </w:rPr>
      </w:pP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eastAsia="zh-CN"/>
        </w:rPr>
        <w:t>1009.25</w:t>
      </w:r>
      <w:r>
        <w:rPr>
          <w:rFonts w:hint="eastAsia" w:ascii="仿宋" w:hAnsi="仿宋" w:eastAsia="仿宋" w:cs="仿宋"/>
          <w:color w:val="auto"/>
          <w:sz w:val="32"/>
          <w:szCs w:val="32"/>
          <w:highlight w:val="none"/>
        </w:rPr>
        <w:t>万元，占本年支出合计的</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%。与2020年</w:t>
      </w:r>
      <w:r>
        <w:rPr>
          <w:rFonts w:hint="eastAsia" w:ascii="仿宋" w:hAnsi="仿宋" w:eastAsia="仿宋" w:cs="仿宋"/>
          <w:color w:val="auto"/>
          <w:sz w:val="32"/>
          <w:szCs w:val="32"/>
          <w:highlight w:val="none"/>
          <w:lang w:val="en-US" w:eastAsia="zh-CN"/>
        </w:rPr>
        <w:t>1049.94</w:t>
      </w:r>
      <w:r>
        <w:rPr>
          <w:rFonts w:hint="eastAsia" w:ascii="仿宋" w:hAnsi="仿宋" w:eastAsia="仿宋" w:cs="仿宋"/>
          <w:color w:val="auto"/>
          <w:sz w:val="32"/>
          <w:szCs w:val="32"/>
          <w:highlight w:val="none"/>
          <w:lang w:eastAsia="zh-CN"/>
        </w:rPr>
        <w:t>万元</w:t>
      </w:r>
      <w:r>
        <w:rPr>
          <w:rFonts w:hint="eastAsia" w:ascii="仿宋" w:hAnsi="仿宋" w:eastAsia="仿宋" w:cs="仿宋"/>
          <w:color w:val="auto"/>
          <w:sz w:val="32"/>
          <w:szCs w:val="32"/>
          <w:highlight w:val="none"/>
        </w:rPr>
        <w:t>相比，一般公共预算财政拨款支出</w:t>
      </w:r>
      <w:r>
        <w:rPr>
          <w:rFonts w:hint="eastAsia" w:ascii="仿宋" w:hAnsi="仿宋" w:eastAsia="仿宋" w:cs="仿宋"/>
          <w:color w:val="auto"/>
          <w:sz w:val="32"/>
          <w:szCs w:val="32"/>
          <w:highlight w:val="none"/>
          <w:lang w:eastAsia="zh-CN"/>
        </w:rPr>
        <w:t>减少40.69</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减少3.87%</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基本支出减少</w:t>
      </w:r>
      <w:r>
        <w:rPr>
          <w:rFonts w:hint="eastAsia" w:ascii="仿宋" w:hAnsi="仿宋" w:eastAsia="仿宋" w:cs="仿宋"/>
          <w:color w:val="auto"/>
          <w:sz w:val="32"/>
          <w:szCs w:val="32"/>
          <w:highlight w:val="none"/>
        </w:rPr>
        <w:t>。</w:t>
      </w:r>
    </w:p>
    <w:p w14:paraId="33A59078">
      <w:pPr>
        <w:spacing w:line="600" w:lineRule="exact"/>
        <w:ind w:firstLine="643" w:firstLineChars="200"/>
        <w:outlineLvl w:val="2"/>
        <w:rPr>
          <w:rFonts w:hint="eastAsia" w:ascii="仿宋" w:hAnsi="仿宋" w:eastAsia="仿宋" w:cs="仿宋"/>
          <w:b/>
          <w:color w:val="auto"/>
          <w:sz w:val="32"/>
          <w:szCs w:val="32"/>
          <w:highlight w:val="none"/>
        </w:rPr>
      </w:pPr>
      <w:bookmarkStart w:id="50" w:name="_Toc15377211"/>
      <w:r>
        <w:rPr>
          <w:rFonts w:hint="eastAsia" w:ascii="仿宋" w:hAnsi="仿宋" w:eastAsia="仿宋" w:cs="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s="仿宋"/>
          <w:b/>
          <w:color w:val="auto"/>
          <w:sz w:val="32"/>
          <w:szCs w:val="32"/>
          <w:highlight w:val="none"/>
        </w:rPr>
        <w:t>（二）一般公共预算财政拨款支出决算结构情况</w:t>
      </w:r>
      <w:bookmarkEnd w:id="50"/>
    </w:p>
    <w:p w14:paraId="64597620">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val="en-US" w:eastAsia="zh-CN"/>
        </w:rPr>
        <w:t>1009.25</w:t>
      </w:r>
      <w:r>
        <w:rPr>
          <w:rFonts w:hint="eastAsia" w:ascii="仿宋" w:hAnsi="仿宋" w:eastAsia="仿宋" w:cs="仿宋"/>
          <w:color w:val="auto"/>
          <w:sz w:val="32"/>
          <w:szCs w:val="32"/>
          <w:highlight w:val="none"/>
        </w:rPr>
        <w:t>万元，主要用于以下方面:</w:t>
      </w:r>
      <w:r>
        <w:rPr>
          <w:rFonts w:hint="eastAsia" w:ascii="仿宋" w:hAnsi="仿宋" w:eastAsia="仿宋" w:cs="仿宋"/>
          <w:b/>
          <w:color w:val="auto"/>
          <w:sz w:val="32"/>
          <w:szCs w:val="32"/>
          <w:highlight w:val="none"/>
        </w:rPr>
        <w:t>教育支出（类）</w:t>
      </w:r>
      <w:r>
        <w:rPr>
          <w:rFonts w:hint="eastAsia" w:ascii="仿宋" w:hAnsi="仿宋" w:eastAsia="仿宋" w:cs="仿宋"/>
          <w:color w:val="auto"/>
          <w:sz w:val="32"/>
          <w:szCs w:val="32"/>
          <w:highlight w:val="none"/>
          <w:lang w:val="en-US" w:eastAsia="zh-CN"/>
        </w:rPr>
        <w:t>1009.25</w:t>
      </w:r>
      <w:r>
        <w:rPr>
          <w:rFonts w:hint="eastAsia" w:ascii="仿宋" w:hAnsi="仿宋" w:eastAsia="仿宋" w:cs="仿宋"/>
          <w:color w:val="auto"/>
          <w:sz w:val="32"/>
          <w:szCs w:val="32"/>
          <w:highlight w:val="none"/>
        </w:rPr>
        <w:t>万元，占100%。</w:t>
      </w:r>
    </w:p>
    <w:p w14:paraId="06862959">
      <w:pPr>
        <w:spacing w:line="600" w:lineRule="exact"/>
        <w:ind w:left="0" w:leftChars="0" w:firstLine="643" w:firstLineChars="200"/>
        <w:rPr>
          <w:rFonts w:hint="eastAsia" w:ascii="仿宋" w:hAnsi="仿宋" w:eastAsia="仿宋" w:cs="仿宋"/>
          <w:b/>
          <w:color w:val="auto"/>
          <w:sz w:val="32"/>
          <w:szCs w:val="32"/>
          <w:highlight w:val="none"/>
        </w:rPr>
      </w:pPr>
      <w:bookmarkStart w:id="51" w:name="_Toc15377212"/>
      <w:r>
        <w:rPr>
          <w:rFonts w:hint="eastAsia" w:ascii="仿宋" w:hAnsi="仿宋" w:eastAsia="仿宋" w:cs="仿宋"/>
          <w:b/>
          <w:color w:val="auto"/>
          <w:sz w:val="32"/>
          <w:szCs w:val="32"/>
          <w:highlight w:val="none"/>
        </w:rPr>
        <w:t>（三）一般公共预算财政拨款支出决算具体情况</w:t>
      </w:r>
      <w:bookmarkEnd w:id="51"/>
    </w:p>
    <w:p w14:paraId="29D79C98">
      <w:pPr>
        <w:spacing w:line="600" w:lineRule="exact"/>
        <w:ind w:firstLine="643" w:firstLineChars="200"/>
        <w:outlineLvl w:val="2"/>
        <w:rPr>
          <w:rFonts w:hint="eastAsia" w:ascii="仿宋" w:hAnsi="仿宋" w:eastAsia="仿宋" w:cs="仿宋"/>
          <w:color w:val="auto"/>
          <w:sz w:val="32"/>
          <w:szCs w:val="32"/>
          <w:highlight w:val="none"/>
        </w:rPr>
      </w:pPr>
      <w:bookmarkStart w:id="52" w:name="_Toc15377213"/>
      <w:bookmarkStart w:id="53" w:name="_Toc15378460"/>
      <w:bookmarkStart w:id="54" w:name="_Toc15377444"/>
      <w:r>
        <w:rPr>
          <w:rFonts w:hint="eastAsia" w:ascii="仿宋" w:hAnsi="仿宋" w:eastAsia="仿宋" w:cs="仿宋"/>
          <w:b/>
          <w:color w:val="auto"/>
          <w:sz w:val="32"/>
          <w:szCs w:val="32"/>
          <w:highlight w:val="none"/>
        </w:rPr>
        <w:t>2021年一般公共预算支出决算数为</w:t>
      </w:r>
      <w:r>
        <w:rPr>
          <w:rFonts w:hint="eastAsia" w:ascii="仿宋" w:hAnsi="仿宋" w:eastAsia="仿宋" w:cs="仿宋"/>
          <w:b/>
          <w:color w:val="auto"/>
          <w:sz w:val="32"/>
          <w:szCs w:val="32"/>
          <w:highlight w:val="none"/>
          <w:lang w:val="en-US" w:eastAsia="zh-CN"/>
        </w:rPr>
        <w:t>1009.25万元</w:t>
      </w:r>
      <w:r>
        <w:rPr>
          <w:rFonts w:hint="eastAsia" w:ascii="仿宋" w:hAnsi="仿宋" w:eastAsia="仿宋" w:cs="仿宋"/>
          <w:color w:val="auto"/>
          <w:sz w:val="32"/>
          <w:szCs w:val="32"/>
          <w:highlight w:val="none"/>
        </w:rPr>
        <w:t>，</w:t>
      </w:r>
      <w:r>
        <w:rPr>
          <w:rStyle w:val="19"/>
          <w:rFonts w:hint="eastAsia" w:ascii="仿宋" w:hAnsi="仿宋" w:eastAsia="仿宋" w:cs="仿宋"/>
          <w:bCs/>
          <w:color w:val="auto"/>
          <w:sz w:val="32"/>
          <w:szCs w:val="32"/>
          <w:highlight w:val="none"/>
        </w:rPr>
        <w:t>完成预算100%。其中：</w:t>
      </w:r>
      <w:bookmarkEnd w:id="52"/>
      <w:bookmarkEnd w:id="53"/>
      <w:bookmarkEnd w:id="54"/>
    </w:p>
    <w:p w14:paraId="482608B1">
      <w:pPr>
        <w:spacing w:line="600" w:lineRule="exact"/>
        <w:ind w:firstLine="643" w:firstLineChars="200"/>
        <w:rPr>
          <w:rFonts w:hint="eastAsia" w:ascii="仿宋" w:hAnsi="仿宋" w:eastAsia="仿宋" w:cs="仿宋"/>
          <w:b/>
          <w:color w:val="auto"/>
          <w:sz w:val="32"/>
          <w:szCs w:val="32"/>
          <w:highlight w:val="none"/>
        </w:rPr>
      </w:pPr>
      <w:r>
        <w:rPr>
          <w:rStyle w:val="19"/>
          <w:rFonts w:hint="eastAsia" w:ascii="仿宋" w:hAnsi="仿宋" w:eastAsia="仿宋" w:cs="仿宋"/>
          <w:bCs/>
          <w:color w:val="auto"/>
          <w:sz w:val="32"/>
          <w:szCs w:val="32"/>
          <w:highlight w:val="none"/>
        </w:rPr>
        <w:t>1.教育205（类）普通教育02（款）</w:t>
      </w:r>
      <w:r>
        <w:rPr>
          <w:rStyle w:val="19"/>
          <w:rFonts w:hint="eastAsia" w:ascii="仿宋" w:hAnsi="仿宋" w:eastAsia="仿宋" w:cs="仿宋"/>
          <w:bCs/>
          <w:color w:val="auto"/>
          <w:sz w:val="32"/>
          <w:szCs w:val="32"/>
          <w:highlight w:val="none"/>
          <w:lang w:eastAsia="zh-CN"/>
        </w:rPr>
        <w:t>小学</w:t>
      </w:r>
      <w:r>
        <w:rPr>
          <w:rStyle w:val="19"/>
          <w:rFonts w:hint="eastAsia" w:ascii="仿宋" w:hAnsi="仿宋" w:eastAsia="仿宋" w:cs="仿宋"/>
          <w:bCs/>
          <w:color w:val="auto"/>
          <w:sz w:val="32"/>
          <w:szCs w:val="32"/>
          <w:highlight w:val="none"/>
        </w:rPr>
        <w:t>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eastAsia="zh-CN"/>
        </w:rPr>
        <w:t>714.25</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14:paraId="2B2139EB">
      <w:pPr>
        <w:spacing w:line="600" w:lineRule="exact"/>
        <w:ind w:firstLine="643" w:firstLineChars="200"/>
        <w:rPr>
          <w:rStyle w:val="19"/>
          <w:rFonts w:hint="eastAsia" w:ascii="仿宋" w:hAnsi="仿宋" w:eastAsia="仿宋" w:cs="仿宋"/>
          <w:b w:val="0"/>
          <w:bCs/>
          <w:color w:val="auto"/>
          <w:sz w:val="32"/>
          <w:szCs w:val="32"/>
          <w:highlight w:val="none"/>
        </w:rPr>
      </w:pPr>
      <w:r>
        <w:rPr>
          <w:rStyle w:val="19"/>
          <w:rFonts w:hint="eastAsia" w:ascii="仿宋" w:hAnsi="仿宋" w:eastAsia="仿宋" w:cs="仿宋"/>
          <w:bCs/>
          <w:color w:val="auto"/>
          <w:sz w:val="32"/>
          <w:szCs w:val="32"/>
          <w:highlight w:val="none"/>
        </w:rPr>
        <w:t>2.教育205（类）普通教育0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（款）</w:t>
      </w:r>
      <w:r>
        <w:rPr>
          <w:rStyle w:val="19"/>
          <w:rFonts w:hint="eastAsia" w:ascii="仿宋" w:hAnsi="仿宋" w:eastAsia="仿宋" w:cs="仿宋"/>
          <w:bCs/>
          <w:color w:val="auto"/>
          <w:sz w:val="32"/>
          <w:szCs w:val="32"/>
          <w:highlight w:val="none"/>
          <w:lang w:eastAsia="zh-CN"/>
        </w:rPr>
        <w:t>其他普通教育支出</w:t>
      </w:r>
      <w:r>
        <w:rPr>
          <w:rStyle w:val="19"/>
          <w:rFonts w:hint="eastAsia" w:ascii="仿宋" w:hAnsi="仿宋" w:eastAsia="仿宋" w:cs="仿宋"/>
          <w:bCs/>
          <w:color w:val="auto"/>
          <w:sz w:val="32"/>
          <w:szCs w:val="32"/>
          <w:highlight w:val="none"/>
        </w:rPr>
        <w:t>0</w:t>
      </w:r>
      <w:r>
        <w:rPr>
          <w:rStyle w:val="19"/>
          <w:rFonts w:hint="eastAsia" w:ascii="仿宋" w:hAnsi="仿宋" w:eastAsia="仿宋" w:cs="仿宋"/>
          <w:bCs/>
          <w:color w:val="auto"/>
          <w:sz w:val="32"/>
          <w:szCs w:val="32"/>
          <w:highlight w:val="none"/>
          <w:lang w:val="en-US" w:eastAsia="zh-CN"/>
        </w:rPr>
        <w:t>9</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val="en-US" w:eastAsia="zh-CN"/>
        </w:rPr>
        <w:t>295.00</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14:paraId="6C599937">
      <w:pPr>
        <w:pStyle w:val="16"/>
        <w:rPr>
          <w:rFonts w:hint="eastAsia" w:ascii="仿宋" w:hAnsi="仿宋" w:eastAsia="仿宋" w:cs="仿宋"/>
          <w:color w:val="auto"/>
          <w:highlight w:val="none"/>
        </w:rPr>
      </w:pPr>
    </w:p>
    <w:p w14:paraId="332551BA">
      <w:pPr>
        <w:pStyle w:val="4"/>
        <w:bidi w:val="0"/>
        <w:rPr>
          <w:rFonts w:hint="eastAsia" w:ascii="仿宋" w:hAnsi="仿宋" w:eastAsia="仿宋" w:cs="仿宋"/>
          <w:color w:val="auto"/>
          <w:highlight w:val="none"/>
        </w:rPr>
      </w:pPr>
      <w:bookmarkStart w:id="55" w:name="_Toc15377214"/>
      <w:bookmarkStart w:id="56" w:name="_Toc23757"/>
      <w:bookmarkStart w:id="57" w:name="_Toc15396608"/>
      <w:r>
        <w:rPr>
          <w:rFonts w:hint="eastAsia" w:ascii="仿宋" w:hAnsi="仿宋" w:eastAsia="仿宋" w:cs="仿宋"/>
          <w:color w:val="auto"/>
          <w:highlight w:val="none"/>
        </w:rPr>
        <w:t>六、一般公共预算财政拨款基本支出决算情况说明</w:t>
      </w:r>
      <w:bookmarkEnd w:id="55"/>
      <w:bookmarkEnd w:id="56"/>
      <w:bookmarkEnd w:id="57"/>
      <w:r>
        <w:rPr>
          <w:rFonts w:hint="eastAsia" w:ascii="仿宋" w:hAnsi="仿宋" w:eastAsia="仿宋" w:cs="仿宋"/>
          <w:color w:val="auto"/>
          <w:highlight w:val="none"/>
        </w:rPr>
        <w:tab/>
      </w:r>
    </w:p>
    <w:p w14:paraId="2DE5EAE4">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2021年一般公共预算财政拨款基本支出</w:t>
      </w:r>
      <w:r>
        <w:rPr>
          <w:rFonts w:hint="eastAsia" w:ascii="仿宋" w:hAnsi="仿宋" w:eastAsia="仿宋" w:cs="仿宋"/>
          <w:color w:val="auto"/>
          <w:sz w:val="32"/>
          <w:szCs w:val="32"/>
          <w:highlight w:val="none"/>
          <w:lang w:eastAsia="zh-CN"/>
        </w:rPr>
        <w:t>714.25</w:t>
      </w:r>
      <w:r>
        <w:rPr>
          <w:rFonts w:hint="eastAsia" w:ascii="仿宋" w:hAnsi="仿宋" w:eastAsia="仿宋" w:cs="仿宋"/>
          <w:color w:val="auto"/>
          <w:sz w:val="32"/>
          <w:szCs w:val="32"/>
          <w:highlight w:val="none"/>
        </w:rPr>
        <w:t>万元，其中：</w:t>
      </w:r>
    </w:p>
    <w:p w14:paraId="7C0CFA19">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人员经费</w:t>
      </w:r>
      <w:r>
        <w:rPr>
          <w:rFonts w:hint="eastAsia" w:ascii="仿宋" w:hAnsi="仿宋" w:eastAsia="仿宋" w:cs="仿宋"/>
          <w:color w:val="auto"/>
          <w:sz w:val="32"/>
          <w:szCs w:val="32"/>
          <w:highlight w:val="none"/>
          <w:lang w:val="en-US" w:eastAsia="zh-CN"/>
        </w:rPr>
        <w:t>648.93</w:t>
      </w:r>
      <w:r>
        <w:rPr>
          <w:rFonts w:hint="eastAsia" w:ascii="仿宋" w:hAnsi="仿宋" w:eastAsia="仿宋" w:cs="仿宋"/>
          <w:color w:val="auto"/>
          <w:sz w:val="32"/>
          <w:szCs w:val="32"/>
          <w:highlight w:val="none"/>
        </w:rPr>
        <w:t>万元，主要包括：基本工资、津贴补贴、绩效工资、机关事业单位基本养老保险缴费、职工基本医疗保险缴费</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其他社会保障缴费、其他工资福利支出、生活补助、助学金</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奖励金、住房公积金</w:t>
      </w:r>
      <w:r>
        <w:rPr>
          <w:rFonts w:hint="eastAsia" w:ascii="仿宋" w:hAnsi="仿宋" w:eastAsia="仿宋" w:cs="仿宋"/>
          <w:color w:val="auto"/>
          <w:sz w:val="32"/>
          <w:szCs w:val="32"/>
          <w:highlight w:val="none"/>
          <w:lang w:eastAsia="zh-CN"/>
        </w:rPr>
        <w:t>、其他个人和家庭的补助支出</w:t>
      </w:r>
      <w:r>
        <w:rPr>
          <w:rFonts w:hint="eastAsia" w:ascii="仿宋" w:hAnsi="仿宋" w:eastAsia="仿宋" w:cs="仿宋"/>
          <w:color w:val="auto"/>
          <w:sz w:val="32"/>
          <w:szCs w:val="32"/>
          <w:highlight w:val="none"/>
        </w:rPr>
        <w:t>等。</w:t>
      </w:r>
    </w:p>
    <w:p w14:paraId="16026DEF">
      <w:pPr>
        <w:spacing w:line="600" w:lineRule="exact"/>
        <w:ind w:firstLine="645"/>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公用经费</w:t>
      </w:r>
      <w:r>
        <w:rPr>
          <w:rFonts w:hint="eastAsia" w:ascii="仿宋" w:hAnsi="仿宋" w:eastAsia="仿宋" w:cs="仿宋"/>
          <w:color w:val="auto"/>
          <w:sz w:val="32"/>
          <w:szCs w:val="32"/>
          <w:highlight w:val="none"/>
          <w:lang w:val="en-US" w:eastAsia="zh-CN"/>
        </w:rPr>
        <w:t>65.32</w:t>
      </w:r>
      <w:r>
        <w:rPr>
          <w:rFonts w:hint="eastAsia" w:ascii="仿宋" w:hAnsi="仿宋" w:eastAsia="仿宋" w:cs="仿宋"/>
          <w:color w:val="auto"/>
          <w:sz w:val="32"/>
          <w:szCs w:val="32"/>
          <w:highlight w:val="none"/>
        </w:rPr>
        <w:t>万元，主要包括：办公费、印刷费、手续费、水费、电费、邮电费、差旅费、维修（护）费、培训费、公务接待费、工会经费等。</w:t>
      </w:r>
    </w:p>
    <w:p w14:paraId="62A9D4EF">
      <w:pPr>
        <w:pStyle w:val="4"/>
        <w:bidi w:val="0"/>
        <w:rPr>
          <w:rFonts w:hint="eastAsia" w:ascii="仿宋" w:hAnsi="仿宋" w:eastAsia="仿宋" w:cs="仿宋"/>
          <w:color w:val="auto"/>
          <w:highlight w:val="none"/>
        </w:rPr>
      </w:pPr>
      <w:bookmarkStart w:id="58" w:name="_Toc16373"/>
      <w:bookmarkStart w:id="59" w:name="_Toc15377215"/>
      <w:bookmarkStart w:id="60" w:name="_Toc15396609"/>
      <w:r>
        <w:rPr>
          <w:rFonts w:hint="eastAsia" w:ascii="仿宋" w:hAnsi="仿宋" w:eastAsia="仿宋" w:cs="仿宋"/>
          <w:color w:val="auto"/>
          <w:highlight w:val="none"/>
        </w:rPr>
        <w:t>七、“三公”经费财政拨款支出决算情况说明</w:t>
      </w:r>
      <w:bookmarkEnd w:id="58"/>
      <w:bookmarkEnd w:id="59"/>
      <w:bookmarkEnd w:id="60"/>
    </w:p>
    <w:p w14:paraId="588176DF">
      <w:pPr>
        <w:spacing w:line="600" w:lineRule="exact"/>
        <w:ind w:firstLine="640"/>
        <w:outlineLvl w:val="2"/>
        <w:rPr>
          <w:rFonts w:hint="eastAsia" w:ascii="仿宋" w:hAnsi="仿宋" w:eastAsia="仿宋" w:cs="仿宋"/>
          <w:b/>
          <w:color w:val="auto"/>
          <w:sz w:val="32"/>
          <w:szCs w:val="32"/>
          <w:highlight w:val="none"/>
        </w:rPr>
      </w:pPr>
      <w:bookmarkStart w:id="61" w:name="_Toc15377216"/>
      <w:r>
        <w:rPr>
          <w:rFonts w:hint="eastAsia" w:ascii="仿宋" w:hAnsi="仿宋" w:eastAsia="仿宋" w:cs="仿宋"/>
          <w:b/>
          <w:color w:val="auto"/>
          <w:sz w:val="32"/>
          <w:szCs w:val="32"/>
          <w:highlight w:val="none"/>
        </w:rPr>
        <w:t>（一）“三公”经费财政拨款支出决算总体情况说明</w:t>
      </w:r>
      <w:bookmarkEnd w:id="61"/>
    </w:p>
    <w:p w14:paraId="31315763">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2021年“三公”经费财政拨款支出决算为</w:t>
      </w:r>
      <w:r>
        <w:rPr>
          <w:rFonts w:hint="eastAsia" w:ascii="仿宋" w:hAnsi="仿宋" w:eastAsia="仿宋" w:cs="仿宋"/>
          <w:color w:val="auto"/>
          <w:sz w:val="32"/>
          <w:szCs w:val="32"/>
          <w:highlight w:val="none"/>
          <w:lang w:val="en-US" w:eastAsia="zh-CN"/>
        </w:rPr>
        <w:t>1.22</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93.85%</w:t>
      </w:r>
      <w:r>
        <w:rPr>
          <w:rFonts w:hint="eastAsia" w:ascii="仿宋" w:hAnsi="仿宋" w:eastAsia="仿宋" w:cs="仿宋"/>
          <w:color w:val="auto"/>
          <w:sz w:val="32"/>
          <w:szCs w:val="32"/>
          <w:highlight w:val="none"/>
        </w:rPr>
        <w:t>，主要原因是</w:t>
      </w:r>
      <w:r>
        <w:rPr>
          <w:rFonts w:hint="eastAsia" w:ascii="仿宋" w:hAnsi="仿宋" w:eastAsia="仿宋" w:cs="仿宋"/>
          <w:color w:val="auto"/>
          <w:sz w:val="32"/>
          <w:szCs w:val="32"/>
          <w:highlight w:val="none"/>
          <w:lang w:eastAsia="zh-CN"/>
        </w:rPr>
        <w:t>认真贯彻落实中央八项规定精神，采取有效措施严格控制接待范围和接待标准</w:t>
      </w:r>
      <w:r>
        <w:rPr>
          <w:rFonts w:hint="eastAsia" w:ascii="仿宋" w:hAnsi="仿宋" w:eastAsia="仿宋" w:cs="仿宋"/>
          <w:color w:val="auto"/>
          <w:sz w:val="32"/>
          <w:szCs w:val="32"/>
          <w:highlight w:val="none"/>
        </w:rPr>
        <w:t>。</w:t>
      </w:r>
    </w:p>
    <w:p w14:paraId="0C61FF2E">
      <w:pPr>
        <w:spacing w:line="600" w:lineRule="exact"/>
        <w:ind w:firstLine="640"/>
        <w:outlineLvl w:val="2"/>
        <w:rPr>
          <w:rFonts w:hint="eastAsia" w:ascii="仿宋" w:hAnsi="仿宋" w:eastAsia="仿宋" w:cs="仿宋"/>
          <w:b/>
          <w:color w:val="auto"/>
          <w:sz w:val="32"/>
          <w:szCs w:val="32"/>
          <w:highlight w:val="none"/>
        </w:rPr>
      </w:pPr>
      <w:bookmarkStart w:id="62" w:name="_Toc15377217"/>
      <w:r>
        <w:rPr>
          <w:rFonts w:hint="eastAsia" w:ascii="仿宋" w:hAnsi="仿宋" w:eastAsia="仿宋" w:cs="仿宋"/>
          <w:b/>
          <w:color w:val="auto"/>
          <w:sz w:val="32"/>
          <w:szCs w:val="32"/>
          <w:highlight w:val="none"/>
        </w:rPr>
        <w:t>（二）“三公”经费财政拨款支出决算具体情况说明</w:t>
      </w:r>
      <w:bookmarkEnd w:id="62"/>
    </w:p>
    <w:p w14:paraId="75969615">
      <w:pPr>
        <w:spacing w:line="600" w:lineRule="exact"/>
        <w:ind w:firstLine="640" w:firstLineChars="200"/>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2021年“三公”经费财政拨款支出决算中，因公出国（境）费支出决算0万元，当年未安排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；公务用车购置及运行维护费支出决算0万元，当年未安排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val="en-US" w:eastAsia="zh-CN"/>
        </w:rPr>
        <w:t>1.22</w:t>
      </w:r>
      <w:r>
        <w:rPr>
          <w:rFonts w:hint="eastAsia" w:ascii="仿宋" w:hAnsi="仿宋" w:eastAsia="仿宋" w:cs="仿宋"/>
          <w:color w:val="auto"/>
          <w:sz w:val="32"/>
          <w:szCs w:val="32"/>
          <w:highlight w:val="none"/>
        </w:rPr>
        <w:t>万元，占100%。具体情况如下：</w:t>
      </w:r>
    </w:p>
    <w:p w14:paraId="183816FC">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s="仿宋"/>
          <w:b/>
          <w:bCs w:val="0"/>
          <w:color w:val="auto"/>
          <w:kern w:val="2"/>
          <w:sz w:val="32"/>
          <w:szCs w:val="32"/>
          <w:highlight w:val="none"/>
          <w:lang w:val="en-US" w:eastAsia="zh-CN" w:bidi="ar"/>
        </w:rPr>
        <w:t>1.因公出国（境）经费支出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735888E2">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b/>
          <w:bCs w:val="0"/>
          <w:color w:val="auto"/>
          <w:kern w:val="2"/>
          <w:sz w:val="32"/>
          <w:szCs w:val="32"/>
          <w:highlight w:val="none"/>
          <w:lang w:val="en-US" w:eastAsia="zh-CN" w:bidi="ar"/>
        </w:rPr>
        <w:t>2.公务用车购置及运行维护费支出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7C5B28CD">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bCs/>
          <w:color w:val="auto"/>
          <w:sz w:val="32"/>
          <w:szCs w:val="32"/>
          <w:highlight w:val="none"/>
          <w:lang w:val="en-US"/>
        </w:rPr>
      </w:pPr>
      <w:r>
        <w:rPr>
          <w:rFonts w:hint="eastAsia" w:ascii="仿宋" w:hAnsi="仿宋" w:eastAsia="仿宋" w:cs="仿宋"/>
          <w:b/>
          <w:bCs/>
          <w:color w:val="auto"/>
          <w:kern w:val="2"/>
          <w:sz w:val="32"/>
          <w:szCs w:val="32"/>
          <w:highlight w:val="none"/>
          <w:lang w:val="en-US" w:eastAsia="zh-CN" w:bidi="ar"/>
        </w:rPr>
        <w:t>其中：</w:t>
      </w:r>
      <w:r>
        <w:rPr>
          <w:rFonts w:hint="eastAsia" w:ascii="仿宋" w:hAnsi="仿宋" w:eastAsia="仿宋" w:cs="仿宋"/>
          <w:b/>
          <w:bCs w:val="0"/>
          <w:color w:val="auto"/>
          <w:kern w:val="2"/>
          <w:sz w:val="32"/>
          <w:szCs w:val="32"/>
          <w:highlight w:val="none"/>
          <w:lang w:val="en-US" w:eastAsia="zh-CN" w:bidi="ar"/>
        </w:rPr>
        <w:t>公务用车购置支出</w:t>
      </w:r>
      <w:r>
        <w:rPr>
          <w:rFonts w:hint="eastAsia" w:ascii="仿宋" w:hAnsi="仿宋" w:eastAsia="仿宋" w:cs="仿宋"/>
          <w:bCs/>
          <w:color w:val="auto"/>
          <w:kern w:val="2"/>
          <w:sz w:val="32"/>
          <w:szCs w:val="32"/>
          <w:highlight w:val="none"/>
          <w:lang w:val="en-US" w:eastAsia="zh-CN" w:bidi="ar"/>
        </w:rPr>
        <w:t>0万元。全年按规定更新购置公务用车0辆，</w:t>
      </w:r>
      <w:r>
        <w:rPr>
          <w:rFonts w:hint="eastAsia" w:ascii="仿宋" w:hAnsi="仿宋" w:eastAsia="仿宋" w:cs="仿宋"/>
          <w:color w:val="auto"/>
          <w:kern w:val="2"/>
          <w:sz w:val="32"/>
          <w:szCs w:val="32"/>
          <w:highlight w:val="none"/>
          <w:lang w:val="en-US" w:eastAsia="zh-CN" w:bidi="ar"/>
        </w:rPr>
        <w:t>主要原因是我单位未购置公务用车。</w:t>
      </w:r>
      <w:r>
        <w:rPr>
          <w:rFonts w:hint="eastAsia" w:ascii="仿宋" w:hAnsi="仿宋" w:eastAsia="仿宋" w:cs="仿宋"/>
          <w:bCs/>
          <w:color w:val="auto"/>
          <w:kern w:val="2"/>
          <w:sz w:val="32"/>
          <w:szCs w:val="32"/>
          <w:highlight w:val="none"/>
          <w:lang w:val="en-US" w:eastAsia="zh-CN" w:bidi="ar"/>
        </w:rPr>
        <w:t>截止2021年12月底，单位共有公务用车0辆。</w:t>
      </w:r>
    </w:p>
    <w:p w14:paraId="01AA97C1">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color w:val="auto"/>
          <w:highlight w:val="none"/>
        </w:rPr>
      </w:pPr>
      <w:r>
        <w:rPr>
          <w:rFonts w:hint="eastAsia" w:ascii="仿宋" w:hAnsi="仿宋" w:eastAsia="仿宋" w:cs="仿宋"/>
          <w:b/>
          <w:bCs w:val="0"/>
          <w:color w:val="auto"/>
          <w:kern w:val="2"/>
          <w:sz w:val="32"/>
          <w:szCs w:val="32"/>
          <w:highlight w:val="none"/>
          <w:lang w:val="en-US" w:eastAsia="zh-CN" w:bidi="ar"/>
        </w:rPr>
        <w:t>公务用车运行维护费支出</w:t>
      </w:r>
      <w:r>
        <w:rPr>
          <w:rFonts w:hint="eastAsia" w:ascii="仿宋" w:hAnsi="仿宋" w:eastAsia="仿宋" w:cs="仿宋"/>
          <w:color w:val="auto"/>
          <w:kern w:val="2"/>
          <w:sz w:val="32"/>
          <w:szCs w:val="32"/>
          <w:highlight w:val="none"/>
          <w:lang w:val="en-US" w:eastAsia="zh-CN" w:bidi="ar"/>
        </w:rPr>
        <w:t>0万元。主要原因是我单位无公务用车。</w:t>
      </w:r>
    </w:p>
    <w:p w14:paraId="45932BFB">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bCs w:val="0"/>
          <w:color w:val="auto"/>
          <w:sz w:val="32"/>
          <w:szCs w:val="32"/>
          <w:highlight w:val="none"/>
        </w:rPr>
        <w:t>3.公务接待费支出</w:t>
      </w:r>
      <w:r>
        <w:rPr>
          <w:rFonts w:hint="eastAsia" w:ascii="仿宋" w:hAnsi="仿宋" w:eastAsia="仿宋" w:cs="仿宋"/>
          <w:color w:val="auto"/>
          <w:sz w:val="32"/>
          <w:szCs w:val="32"/>
          <w:highlight w:val="none"/>
          <w:lang w:val="en-US" w:eastAsia="zh-CN"/>
        </w:rPr>
        <w:t>1.22</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93.85%</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0.05</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3.94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。主要原因是认真贯彻落实中央八项规定精神，采取有效措施严格控制接待范围和接待标准</w:t>
      </w:r>
      <w:r>
        <w:rPr>
          <w:rFonts w:hint="eastAsia" w:ascii="仿宋" w:hAnsi="仿宋" w:eastAsia="仿宋" w:cs="仿宋"/>
          <w:color w:val="auto"/>
          <w:sz w:val="32"/>
          <w:szCs w:val="32"/>
          <w:highlight w:val="none"/>
        </w:rPr>
        <w:t>。其中：</w:t>
      </w:r>
    </w:p>
    <w:p w14:paraId="141F6013">
      <w:pPr>
        <w:spacing w:line="600" w:lineRule="exact"/>
        <w:ind w:firstLine="640"/>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rPr>
        <w:t>国内公务接待支出</w:t>
      </w:r>
      <w:r>
        <w:rPr>
          <w:rFonts w:hint="eastAsia" w:ascii="仿宋" w:hAnsi="仿宋" w:eastAsia="仿宋" w:cs="仿宋"/>
          <w:color w:val="auto"/>
          <w:sz w:val="32"/>
          <w:szCs w:val="32"/>
          <w:highlight w:val="none"/>
          <w:lang w:val="en-US" w:eastAsia="zh-CN"/>
        </w:rPr>
        <w:t>1.22</w:t>
      </w:r>
      <w:r>
        <w:rPr>
          <w:rFonts w:hint="eastAsia" w:ascii="仿宋" w:hAnsi="仿宋" w:eastAsia="仿宋" w:cs="仿宋"/>
          <w:color w:val="auto"/>
          <w:sz w:val="32"/>
          <w:szCs w:val="32"/>
          <w:highlight w:val="none"/>
        </w:rPr>
        <w:t>万元，主要用于</w:t>
      </w:r>
      <w:r>
        <w:rPr>
          <w:rFonts w:hint="eastAsia" w:ascii="仿宋" w:hAnsi="仿宋" w:eastAsia="仿宋" w:cs="仿宋"/>
          <w:color w:val="auto"/>
          <w:sz w:val="32"/>
          <w:szCs w:val="32"/>
          <w:highlight w:val="none"/>
          <w:lang w:eastAsia="zh-CN"/>
        </w:rPr>
        <w:t>接待上级来访、</w:t>
      </w:r>
      <w:r>
        <w:rPr>
          <w:rFonts w:hint="eastAsia" w:ascii="仿宋" w:hAnsi="仿宋" w:eastAsia="仿宋" w:cs="仿宋"/>
          <w:color w:val="auto"/>
          <w:kern w:val="2"/>
          <w:sz w:val="32"/>
          <w:szCs w:val="32"/>
          <w:highlight w:val="none"/>
          <w:lang w:val="en-US" w:eastAsia="zh-CN" w:bidi="ar"/>
        </w:rPr>
        <w:t>教育教学活动交流、</w:t>
      </w:r>
      <w:r>
        <w:rPr>
          <w:rFonts w:hint="eastAsia" w:ascii="仿宋" w:hAnsi="仿宋" w:eastAsia="仿宋" w:cs="仿宋"/>
          <w:color w:val="auto"/>
          <w:sz w:val="32"/>
          <w:szCs w:val="32"/>
          <w:highlight w:val="none"/>
          <w:lang w:val="en-US" w:eastAsia="zh-CN"/>
        </w:rPr>
        <w:t>学生活动费及运动会学生用餐、交通费、体检费等</w:t>
      </w:r>
      <w:r>
        <w:rPr>
          <w:rFonts w:hint="eastAsia" w:ascii="仿宋" w:hAnsi="仿宋" w:eastAsia="仿宋" w:cs="仿宋"/>
          <w:color w:val="auto"/>
          <w:sz w:val="32"/>
          <w:szCs w:val="32"/>
          <w:highlight w:val="none"/>
        </w:rPr>
        <w:t>。国内公务接待</w:t>
      </w:r>
      <w:r>
        <w:rPr>
          <w:rFonts w:hint="eastAsia" w:ascii="仿宋" w:hAnsi="仿宋" w:eastAsia="仿宋" w:cs="仿宋"/>
          <w:color w:val="auto"/>
          <w:sz w:val="32"/>
          <w:szCs w:val="32"/>
          <w:highlight w:val="none"/>
          <w:lang w:val="en-US" w:eastAsia="zh-CN"/>
        </w:rPr>
        <w:t>71</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213</w:t>
      </w:r>
      <w:r>
        <w:rPr>
          <w:rFonts w:hint="eastAsia" w:ascii="仿宋" w:hAnsi="仿宋" w:eastAsia="仿宋" w:cs="仿宋"/>
          <w:color w:val="auto"/>
          <w:sz w:val="32"/>
          <w:szCs w:val="32"/>
          <w:highlight w:val="none"/>
        </w:rPr>
        <w:t>人次（不包括陪同人员），共计支出</w:t>
      </w:r>
      <w:r>
        <w:rPr>
          <w:rFonts w:hint="eastAsia" w:ascii="仿宋" w:hAnsi="仿宋" w:eastAsia="仿宋" w:cs="仿宋"/>
          <w:color w:val="auto"/>
          <w:sz w:val="32"/>
          <w:szCs w:val="32"/>
          <w:highlight w:val="none"/>
          <w:lang w:val="en-US" w:eastAsia="zh-CN"/>
        </w:rPr>
        <w:t>1.22</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，具体内容包括接待上级来访</w:t>
      </w:r>
      <w:r>
        <w:rPr>
          <w:rFonts w:hint="eastAsia" w:ascii="仿宋" w:hAnsi="仿宋" w:eastAsia="仿宋" w:cs="仿宋"/>
          <w:color w:val="auto"/>
          <w:sz w:val="32"/>
          <w:szCs w:val="32"/>
          <w:highlight w:val="none"/>
          <w:lang w:val="en-US" w:eastAsia="zh-CN"/>
        </w:rPr>
        <w:t>0.2万元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kern w:val="2"/>
          <w:sz w:val="32"/>
          <w:szCs w:val="32"/>
          <w:highlight w:val="none"/>
          <w:lang w:val="en-US" w:eastAsia="zh-CN" w:bidi="ar"/>
        </w:rPr>
        <w:t>教育教学活动交流0.3万元、</w:t>
      </w:r>
      <w:r>
        <w:rPr>
          <w:rFonts w:hint="eastAsia" w:ascii="仿宋" w:hAnsi="仿宋" w:eastAsia="仿宋" w:cs="仿宋"/>
          <w:color w:val="auto"/>
          <w:sz w:val="32"/>
          <w:szCs w:val="32"/>
          <w:highlight w:val="none"/>
          <w:lang w:val="en-US" w:eastAsia="zh-CN"/>
        </w:rPr>
        <w:t>学生活动费及运动会学生用餐、交通费、体检费等0.72万元。</w:t>
      </w:r>
    </w:p>
    <w:p w14:paraId="2A2174A3">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外事接待支出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人，共计支出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万元。外事接待支出</w:t>
      </w:r>
      <w:r>
        <w:rPr>
          <w:rFonts w:hint="eastAsia" w:ascii="仿宋" w:hAnsi="仿宋" w:eastAsia="仿宋" w:cs="仿宋"/>
          <w:color w:val="auto"/>
          <w:kern w:val="2"/>
          <w:sz w:val="32"/>
          <w:szCs w:val="32"/>
          <w:highlight w:val="none"/>
          <w:lang w:val="en-US" w:eastAsia="zh-CN" w:bidi="ar"/>
        </w:rPr>
        <w:t>决算与2020年持平</w:t>
      </w:r>
      <w:r>
        <w:rPr>
          <w:rFonts w:hint="eastAsia" w:ascii="仿宋" w:hAnsi="仿宋" w:eastAsia="仿宋" w:cs="仿宋"/>
          <w:color w:val="auto"/>
          <w:sz w:val="32"/>
          <w:szCs w:val="32"/>
          <w:highlight w:val="none"/>
        </w:rPr>
        <w:t>。</w:t>
      </w:r>
    </w:p>
    <w:p w14:paraId="7904954B">
      <w:pPr>
        <w:pStyle w:val="4"/>
        <w:bidi w:val="0"/>
        <w:rPr>
          <w:rFonts w:hint="eastAsia" w:ascii="仿宋" w:hAnsi="仿宋" w:eastAsia="仿宋" w:cs="仿宋"/>
          <w:color w:val="auto"/>
          <w:highlight w:val="none"/>
        </w:rPr>
      </w:pPr>
      <w:bookmarkStart w:id="63" w:name="_Toc15377218"/>
      <w:bookmarkStart w:id="64" w:name="_Toc29438"/>
      <w:bookmarkStart w:id="65" w:name="_Toc15396610"/>
      <w:r>
        <w:rPr>
          <w:rFonts w:hint="eastAsia" w:ascii="仿宋" w:hAnsi="仿宋" w:eastAsia="仿宋" w:cs="仿宋"/>
          <w:color w:val="auto"/>
          <w:highlight w:val="none"/>
        </w:rPr>
        <w:t>八、政府性基金预算支出决算情况说明</w:t>
      </w:r>
      <w:bookmarkEnd w:id="63"/>
      <w:bookmarkEnd w:id="64"/>
      <w:bookmarkEnd w:id="65"/>
    </w:p>
    <w:p w14:paraId="628405AF">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2021年政府性基金预算财政拨款支出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万元。202</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年本单位未在政府性基金预算拨款安排“三公”经费支出。</w:t>
      </w:r>
    </w:p>
    <w:p w14:paraId="4AA348DB">
      <w:pPr>
        <w:pStyle w:val="16"/>
        <w:rPr>
          <w:rFonts w:hint="eastAsia" w:ascii="仿宋" w:hAnsi="仿宋" w:eastAsia="仿宋" w:cs="仿宋"/>
          <w:color w:val="auto"/>
          <w:highlight w:val="none"/>
        </w:rPr>
      </w:pPr>
    </w:p>
    <w:p w14:paraId="74B9E417">
      <w:pPr>
        <w:pStyle w:val="4"/>
        <w:numPr>
          <w:ilvl w:val="0"/>
          <w:numId w:val="3"/>
        </w:numPr>
        <w:bidi w:val="0"/>
        <w:rPr>
          <w:rFonts w:hint="eastAsia" w:ascii="仿宋" w:hAnsi="仿宋" w:eastAsia="仿宋" w:cs="仿宋"/>
          <w:color w:val="auto"/>
          <w:highlight w:val="none"/>
        </w:rPr>
      </w:pPr>
      <w:bookmarkStart w:id="66" w:name="_Toc15377219"/>
      <w:bookmarkStart w:id="67" w:name="_Toc4818"/>
      <w:bookmarkStart w:id="68" w:name="_Toc15396611"/>
      <w:r>
        <w:rPr>
          <w:rFonts w:hint="eastAsia" w:ascii="仿宋" w:hAnsi="仿宋" w:eastAsia="仿宋" w:cs="仿宋"/>
          <w:color w:val="auto"/>
          <w:highlight w:val="none"/>
        </w:rPr>
        <w:t>国有资本经营预算支出决算情况说明</w:t>
      </w:r>
      <w:bookmarkEnd w:id="66"/>
      <w:bookmarkEnd w:id="67"/>
      <w:bookmarkEnd w:id="68"/>
    </w:p>
    <w:p w14:paraId="342731BF">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2021年国有资本经营预算财政拨款支出0万元，年初未安排预算。</w:t>
      </w:r>
    </w:p>
    <w:p w14:paraId="17D43E90">
      <w:pPr>
        <w:pStyle w:val="4"/>
        <w:numPr>
          <w:ilvl w:val="0"/>
          <w:numId w:val="3"/>
        </w:numPr>
        <w:bidi w:val="0"/>
        <w:rPr>
          <w:rFonts w:hint="eastAsia" w:ascii="仿宋" w:hAnsi="仿宋" w:eastAsia="仿宋" w:cs="仿宋"/>
          <w:color w:val="auto"/>
          <w:highlight w:val="none"/>
        </w:rPr>
      </w:pPr>
      <w:bookmarkStart w:id="69" w:name="_Toc23871"/>
      <w:bookmarkStart w:id="70" w:name="_Toc15377221"/>
      <w:bookmarkStart w:id="71" w:name="_Toc15396612"/>
      <w:r>
        <w:rPr>
          <w:rFonts w:hint="eastAsia" w:ascii="仿宋" w:hAnsi="仿宋" w:eastAsia="仿宋" w:cs="仿宋"/>
          <w:color w:val="auto"/>
          <w:highlight w:val="none"/>
        </w:rPr>
        <w:t>预算绩效管理情况</w:t>
      </w:r>
      <w:bookmarkEnd w:id="69"/>
    </w:p>
    <w:p w14:paraId="1F8AC284">
      <w:pPr>
        <w:spacing w:line="58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根据预算绩效管理要求，本单位在2021年度预算编制阶段，因无项目支出，故不涉及事前评估和项目绩效目标，预算执行过程中，</w:t>
      </w:r>
      <w:r>
        <w:rPr>
          <w:rFonts w:hint="eastAsia" w:ascii="仿宋" w:hAnsi="仿宋" w:eastAsia="仿宋" w:cs="仿宋"/>
          <w:color w:val="auto"/>
          <w:sz w:val="32"/>
          <w:szCs w:val="32"/>
          <w:highlight w:val="none"/>
          <w:lang w:eastAsia="zh-CN"/>
        </w:rPr>
        <w:t>对追加预算校舍维修项目</w:t>
      </w:r>
      <w:r>
        <w:rPr>
          <w:rFonts w:hint="eastAsia" w:ascii="仿宋" w:hAnsi="仿宋" w:eastAsia="仿宋" w:cs="仿宋"/>
          <w:color w:val="auto"/>
          <w:sz w:val="32"/>
          <w:szCs w:val="32"/>
          <w:highlight w:val="none"/>
        </w:rPr>
        <w:t>编制了绩效目标</w:t>
      </w:r>
      <w:r>
        <w:rPr>
          <w:rFonts w:hint="eastAsia" w:ascii="仿宋" w:hAnsi="仿宋" w:eastAsia="仿宋" w:cs="仿宋"/>
          <w:color w:val="auto"/>
          <w:sz w:val="32"/>
          <w:szCs w:val="32"/>
          <w:highlight w:val="none"/>
          <w:lang w:eastAsia="zh-CN"/>
        </w:rPr>
        <w:t>，并</w:t>
      </w:r>
      <w:r>
        <w:rPr>
          <w:rFonts w:hint="eastAsia" w:ascii="仿宋" w:hAnsi="仿宋" w:eastAsia="仿宋" w:cs="仿宋"/>
          <w:color w:val="auto"/>
          <w:sz w:val="32"/>
          <w:szCs w:val="32"/>
          <w:highlight w:val="none"/>
        </w:rPr>
        <w:t>开展</w:t>
      </w:r>
      <w:r>
        <w:rPr>
          <w:rFonts w:hint="eastAsia" w:ascii="仿宋" w:hAnsi="仿宋" w:eastAsia="仿宋" w:cs="仿宋"/>
          <w:color w:val="auto"/>
          <w:sz w:val="32"/>
          <w:szCs w:val="32"/>
          <w:highlight w:val="none"/>
          <w:lang w:eastAsia="zh-CN"/>
        </w:rPr>
        <w:t>了</w:t>
      </w:r>
      <w:r>
        <w:rPr>
          <w:rFonts w:hint="eastAsia" w:ascii="仿宋" w:hAnsi="仿宋" w:eastAsia="仿宋" w:cs="仿宋"/>
          <w:color w:val="auto"/>
          <w:sz w:val="32"/>
          <w:szCs w:val="32"/>
          <w:highlight w:val="none"/>
        </w:rPr>
        <w:t>绩效</w:t>
      </w:r>
      <w:r>
        <w:rPr>
          <w:rFonts w:hint="eastAsia" w:ascii="仿宋" w:hAnsi="仿宋" w:eastAsia="仿宋" w:cs="仿宋"/>
          <w:color w:val="auto"/>
          <w:sz w:val="32"/>
          <w:szCs w:val="32"/>
          <w:highlight w:val="none"/>
          <w:lang w:eastAsia="zh-CN"/>
        </w:rPr>
        <w:t>运行</w:t>
      </w:r>
      <w:r>
        <w:rPr>
          <w:rFonts w:hint="eastAsia" w:ascii="仿宋" w:hAnsi="仿宋" w:eastAsia="仿宋" w:cs="仿宋"/>
          <w:color w:val="auto"/>
          <w:sz w:val="32"/>
          <w:szCs w:val="32"/>
          <w:highlight w:val="none"/>
        </w:rPr>
        <w:t>监控，年终执行完毕后，对</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个项目开展了绩效自评，2021年部门预算项目绩效目标自评表见附件（第四部分）。</w:t>
      </w:r>
    </w:p>
    <w:p w14:paraId="2CC707D5">
      <w:pPr>
        <w:pStyle w:val="4"/>
        <w:numPr>
          <w:ilvl w:val="0"/>
          <w:numId w:val="3"/>
        </w:numPr>
        <w:bidi w:val="0"/>
        <w:rPr>
          <w:rFonts w:hint="eastAsia" w:ascii="仿宋" w:hAnsi="仿宋" w:eastAsia="仿宋" w:cs="仿宋"/>
          <w:color w:val="auto"/>
          <w:highlight w:val="none"/>
        </w:rPr>
      </w:pPr>
      <w:bookmarkStart w:id="72" w:name="_Toc16944"/>
      <w:r>
        <w:rPr>
          <w:rFonts w:hint="eastAsia" w:ascii="仿宋" w:hAnsi="仿宋" w:eastAsia="仿宋" w:cs="仿宋"/>
          <w:color w:val="auto"/>
          <w:highlight w:val="none"/>
        </w:rPr>
        <w:t>其他重要事项的情况说明</w:t>
      </w:r>
      <w:bookmarkEnd w:id="70"/>
      <w:bookmarkEnd w:id="71"/>
      <w:bookmarkEnd w:id="72"/>
    </w:p>
    <w:p w14:paraId="0F97B2CF">
      <w:pPr>
        <w:spacing w:line="600" w:lineRule="exact"/>
        <w:ind w:firstLine="643" w:firstLineChars="200"/>
        <w:outlineLvl w:val="2"/>
        <w:rPr>
          <w:rFonts w:hint="eastAsia" w:ascii="仿宋" w:hAnsi="仿宋" w:eastAsia="仿宋" w:cs="仿宋"/>
          <w:color w:val="auto"/>
          <w:sz w:val="32"/>
          <w:szCs w:val="32"/>
          <w:highlight w:val="none"/>
        </w:rPr>
      </w:pPr>
      <w:bookmarkStart w:id="73" w:name="_Toc15377222"/>
      <w:r>
        <w:rPr>
          <w:rFonts w:hint="eastAsia" w:ascii="仿宋" w:hAnsi="仿宋" w:eastAsia="仿宋" w:cs="仿宋"/>
          <w:b/>
          <w:color w:val="auto"/>
          <w:sz w:val="32"/>
          <w:szCs w:val="32"/>
          <w:highlight w:val="none"/>
        </w:rPr>
        <w:t>（一）机关运行经费支出情况</w:t>
      </w:r>
      <w:bookmarkEnd w:id="73"/>
    </w:p>
    <w:p w14:paraId="1A4AA66B">
      <w:pPr>
        <w:keepNext w:val="0"/>
        <w:keepLines w:val="0"/>
        <w:widowControl w:val="0"/>
        <w:suppressLineNumbers w:val="0"/>
        <w:spacing w:before="0" w:beforeAutospacing="0" w:after="0" w:afterAutospacing="0" w:line="600" w:lineRule="exact"/>
        <w:ind w:left="0" w:right="0" w:firstLine="640"/>
        <w:jc w:val="both"/>
        <w:rPr>
          <w:rFonts w:hint="eastAsia" w:ascii="仿宋" w:hAnsi="仿宋" w:eastAsia="仿宋" w:cs="仿宋"/>
          <w:color w:val="auto"/>
          <w:sz w:val="32"/>
          <w:szCs w:val="32"/>
          <w:highlight w:val="none"/>
          <w:lang w:val="en-US"/>
        </w:rPr>
      </w:pPr>
      <w:bookmarkStart w:id="74" w:name="_Toc15377223"/>
      <w:r>
        <w:rPr>
          <w:rFonts w:hint="eastAsia" w:ascii="仿宋" w:hAnsi="仿宋" w:eastAsia="仿宋" w:cs="仿宋"/>
          <w:color w:val="auto"/>
          <w:kern w:val="2"/>
          <w:sz w:val="32"/>
          <w:szCs w:val="32"/>
          <w:highlight w:val="none"/>
          <w:lang w:val="en-US" w:eastAsia="zh-CN" w:bidi="ar"/>
        </w:rPr>
        <w:t>2021年，我部门机关运行经费支出0元，与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。主要原因是本单位为事业单位，未发生机关运行经费支出。</w:t>
      </w:r>
    </w:p>
    <w:p w14:paraId="3B2A0620">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（二）政府采购支出情况</w:t>
      </w:r>
      <w:bookmarkEnd w:id="74"/>
    </w:p>
    <w:p w14:paraId="53065FBC">
      <w:pPr>
        <w:spacing w:line="60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2021年，我单位政府采购支出</w:t>
      </w:r>
      <w:r>
        <w:rPr>
          <w:rFonts w:hint="eastAsia" w:ascii="仿宋" w:hAnsi="仿宋" w:eastAsia="仿宋" w:cs="仿宋"/>
          <w:color w:val="auto"/>
          <w:sz w:val="32"/>
          <w:szCs w:val="32"/>
          <w:highlight w:val="none"/>
          <w:lang w:eastAsia="zh-CN"/>
        </w:rPr>
        <w:t>年初未预算采购经费，</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kern w:val="2"/>
          <w:sz w:val="32"/>
          <w:szCs w:val="32"/>
          <w:highlight w:val="none"/>
          <w:lang w:val="en-US" w:eastAsia="zh-CN" w:bidi="ar"/>
        </w:rPr>
        <w:t>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w:t>
      </w:r>
    </w:p>
    <w:p w14:paraId="1985BFBF">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75" w:name="_Toc15377224"/>
      <w:r>
        <w:rPr>
          <w:rFonts w:hint="eastAsia" w:ascii="仿宋" w:hAnsi="仿宋" w:eastAsia="仿宋" w:cs="仿宋"/>
          <w:b/>
          <w:color w:val="auto"/>
          <w:sz w:val="32"/>
          <w:szCs w:val="32"/>
          <w:highlight w:val="none"/>
        </w:rPr>
        <w:t>（三）国有资产占有使用情况</w:t>
      </w:r>
      <w:bookmarkEnd w:id="75"/>
    </w:p>
    <w:p w14:paraId="2235E9CA">
      <w:pPr>
        <w:autoSpaceDE w:val="0"/>
        <w:autoSpaceDN w:val="0"/>
        <w:adjustRightInd w:val="0"/>
        <w:spacing w:line="60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eastAsia="zh-CN"/>
        </w:rPr>
        <w:t>我单位</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辆，其中：主要领导干部用车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辆、机要通信用车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辆、其他用车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单价50万元以上通用设备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14:paraId="4D2DD9FE">
      <w:pPr>
        <w:pStyle w:val="2"/>
        <w:spacing w:before="93"/>
        <w:rPr>
          <w:rFonts w:hint="eastAsia" w:ascii="仿宋" w:hAnsi="仿宋" w:eastAsia="仿宋" w:cs="仿宋"/>
          <w:color w:val="auto"/>
          <w:highlight w:val="none"/>
        </w:rPr>
      </w:pPr>
    </w:p>
    <w:p w14:paraId="268F47EB">
      <w:pPr>
        <w:widowControl/>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4F1FE44F">
      <w:pPr>
        <w:pStyle w:val="3"/>
        <w:numPr>
          <w:ilvl w:val="0"/>
          <w:numId w:val="4"/>
        </w:numPr>
        <w:bidi w:val="0"/>
        <w:rPr>
          <w:rFonts w:hint="eastAsia" w:ascii="仿宋" w:hAnsi="仿宋" w:eastAsia="仿宋" w:cs="仿宋"/>
          <w:color w:val="auto"/>
          <w:highlight w:val="none"/>
        </w:rPr>
      </w:pPr>
      <w:bookmarkStart w:id="76" w:name="_Toc15377225"/>
      <w:bookmarkStart w:id="77" w:name="_Toc16610"/>
      <w:bookmarkStart w:id="78" w:name="_Toc15396613"/>
      <w:r>
        <w:rPr>
          <w:rFonts w:hint="eastAsia" w:ascii="仿宋" w:hAnsi="仿宋" w:eastAsia="仿宋" w:cs="仿宋"/>
          <w:color w:val="auto"/>
          <w:highlight w:val="none"/>
        </w:rPr>
        <w:t>名词解释</w:t>
      </w:r>
      <w:bookmarkEnd w:id="76"/>
      <w:bookmarkEnd w:id="77"/>
      <w:bookmarkEnd w:id="78"/>
    </w:p>
    <w:p w14:paraId="4A847B19">
      <w:pPr>
        <w:spacing w:line="600" w:lineRule="exact"/>
        <w:jc w:val="left"/>
        <w:rPr>
          <w:rFonts w:hint="eastAsia" w:ascii="仿宋" w:hAnsi="仿宋" w:eastAsia="仿宋" w:cs="仿宋"/>
          <w:b/>
          <w:color w:val="auto"/>
          <w:sz w:val="44"/>
          <w:szCs w:val="44"/>
          <w:highlight w:val="none"/>
        </w:rPr>
      </w:pPr>
    </w:p>
    <w:p w14:paraId="36B4F29B">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1.财政拨款收入：指单位从同级财政部门取得的财政预算资金。</w:t>
      </w:r>
    </w:p>
    <w:p w14:paraId="68B9DD75">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2.使用非财政拨款结余：指事业单位使用以前年度积累的非财政拨款结余弥补当年收支差额的金额。 </w:t>
      </w:r>
    </w:p>
    <w:p w14:paraId="5C8B2A11">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3.年初结转和结余：指以前年度尚未完成、结转到本年按有关规定继续使用的资金。 </w:t>
      </w:r>
    </w:p>
    <w:p w14:paraId="59DEA979">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4.结余分配：指事业单位按照会计制度规定缴纳的所得税、提取的专用结余以及转入非财政拨款结余的金额等。</w:t>
      </w:r>
    </w:p>
    <w:p w14:paraId="0104CEE5">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年末结转和结余：指单位按有关规定结转到下年或以后年度继续使用的资金。</w:t>
      </w:r>
    </w:p>
    <w:p w14:paraId="450FA62C">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6.教育（类）普通教育（款）</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教育（项）：指</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w:t>
      </w:r>
    </w:p>
    <w:p w14:paraId="1C4CE85B">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7.教育（类）普通教育（款）</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（项）：</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w:t>
      </w:r>
    </w:p>
    <w:p w14:paraId="78283964">
      <w:pPr>
        <w:numPr>
          <w:ilvl w:val="0"/>
          <w:numId w:val="0"/>
        </w:numPr>
        <w:spacing w:line="600" w:lineRule="exact"/>
        <w:ind w:firstLine="640" w:firstLineChars="200"/>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14:paraId="32D57EBF">
      <w:pPr>
        <w:pStyle w:val="16"/>
        <w:ind w:left="0" w:leftChars="0" w:firstLine="640" w:firstLineChars="200"/>
        <w:rPr>
          <w:rFonts w:hint="eastAsia" w:ascii="仿宋" w:hAnsi="仿宋" w:eastAsia="仿宋" w:cs="仿宋"/>
          <w:color w:val="auto"/>
          <w:highlight w:val="none"/>
          <w:lang w:val="en-US" w:eastAsia="zh-CN"/>
        </w:rPr>
      </w:pPr>
      <w:r>
        <w:rPr>
          <w:rFonts w:hint="eastAsia" w:ascii="仿宋" w:hAnsi="仿宋" w:eastAsia="仿宋"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14:paraId="48EEDD7C">
      <w:pPr>
        <w:pStyle w:val="2"/>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10.卫生健康（类）行政事业单位医疗（款）事业单位医疗（项）：指财政部门安排的事业单位基本医疗保险缴费经费，未参加医疗保险的事业单位的公费医疗经费，按国家规定享受离休人员待遇的医疗保险。</w:t>
      </w:r>
    </w:p>
    <w:p w14:paraId="75821E13">
      <w:pPr>
        <w:pStyle w:val="2"/>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11.住房保障支出（类）住房改革支出（款）住房公积金（项）：指行政事业单位按人力资源和社会保障部、财政部规定的基本工资和津贴补贴以及规定比例为职工缴纳的住房公积金。</w:t>
      </w:r>
    </w:p>
    <w:p w14:paraId="719D3BD0">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12</w:t>
      </w:r>
      <w:r>
        <w:rPr>
          <w:rFonts w:hint="eastAsia" w:ascii="仿宋" w:hAnsi="仿宋" w:eastAsia="仿宋" w:cs="仿宋"/>
          <w:color w:val="auto"/>
          <w:sz w:val="32"/>
          <w:szCs w:val="32"/>
          <w:highlight w:val="none"/>
        </w:rPr>
        <w:t>.基本支出：指为保障机构正常运转、完成日常工作任务而发生的人员支出和公用支出。</w:t>
      </w:r>
    </w:p>
    <w:p w14:paraId="3FEF94BA">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 xml:space="preserve">.项目支出：指在基本支出之外为完成特定行政任务和事业发展目标所发生的支出。 </w:t>
      </w:r>
    </w:p>
    <w:p w14:paraId="189852AE">
      <w:pPr>
        <w:pStyle w:val="27"/>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79" w:name="_Toc15377226"/>
    </w:p>
    <w:p w14:paraId="787C2237">
      <w:pPr>
        <w:pStyle w:val="27"/>
        <w:spacing w:line="560" w:lineRule="exact"/>
        <w:ind w:firstLine="883" w:firstLineChars="200"/>
        <w:jc w:val="center"/>
        <w:rPr>
          <w:rStyle w:val="29"/>
          <w:rFonts w:hint="eastAsia" w:ascii="仿宋" w:hAnsi="仿宋" w:eastAsia="仿宋" w:cs="仿宋"/>
          <w:b w:val="0"/>
          <w:color w:val="auto"/>
          <w:highlight w:val="none"/>
        </w:rPr>
      </w:pPr>
      <w:r>
        <w:rPr>
          <w:rFonts w:hint="eastAsia" w:ascii="仿宋" w:hAnsi="仿宋" w:eastAsia="仿宋" w:cs="仿宋"/>
          <w:b/>
          <w:color w:val="auto"/>
          <w:sz w:val="44"/>
          <w:szCs w:val="44"/>
          <w:highlight w:val="none"/>
        </w:rPr>
        <w:br w:type="page"/>
      </w:r>
      <w:bookmarkStart w:id="80" w:name="_Toc15396614"/>
      <w:bookmarkStart w:id="81" w:name="_Toc3498"/>
      <w:r>
        <w:rPr>
          <w:rStyle w:val="29"/>
          <w:rFonts w:hint="eastAsia" w:ascii="仿宋" w:hAnsi="仿宋" w:eastAsia="仿宋" w:cs="仿宋"/>
          <w:color w:val="auto"/>
          <w:highlight w:val="none"/>
        </w:rPr>
        <w:t>第四部分 附件</w:t>
      </w:r>
      <w:bookmarkEnd w:id="80"/>
    </w:p>
    <w:bookmarkEnd w:id="81"/>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4CD8B32E">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796CA7A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bookmarkStart w:id="82" w:name="_Toc15396618"/>
            <w:bookmarkStart w:id="83" w:name="_Toc6245"/>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（校舍维修）</w:t>
            </w:r>
          </w:p>
        </w:tc>
        <w:tc>
          <w:tcPr>
            <w:tcW w:w="236" w:type="dxa"/>
            <w:tcBorders>
              <w:top w:val="nil"/>
              <w:left w:val="nil"/>
              <w:bottom w:val="nil"/>
              <w:right w:val="nil"/>
            </w:tcBorders>
            <w:shd w:val="clear" w:color="auto" w:fill="auto"/>
            <w:vAlign w:val="center"/>
          </w:tcPr>
          <w:p w14:paraId="4215F0C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14:paraId="674CA4F7">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5771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828F92">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360317</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1A6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B4257">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广元市昭化区卫子镇小学</w:t>
            </w:r>
          </w:p>
        </w:tc>
      </w:tr>
      <w:tr w14:paraId="5A7AAA39">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0DDDA9">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14:paraId="7DA4971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14:paraId="341F8189">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A5C12">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1A73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295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2A60C">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7A49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295</w:t>
            </w:r>
          </w:p>
        </w:tc>
      </w:tr>
      <w:tr w14:paraId="3D53B93D">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F16B5">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11DA">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47E92506">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BFAE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295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3330E">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4165E1D7">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846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295</w:t>
            </w:r>
          </w:p>
        </w:tc>
      </w:tr>
      <w:tr w14:paraId="2771A268">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6640C">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417E5">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775B7">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F802">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7E28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14:paraId="0C11E2D0">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94236">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14:paraId="2BD2153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0F8992">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989B8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14:paraId="26A1394C">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AF119">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0AACD2AE">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校舍</w:t>
            </w:r>
            <w:r>
              <w:rPr>
                <w:rFonts w:hint="eastAsia" w:ascii="仿宋" w:hAnsi="仿宋" w:eastAsia="仿宋" w:cs="仿宋"/>
                <w:color w:val="auto"/>
                <w:sz w:val="22"/>
                <w:szCs w:val="22"/>
                <w:highlight w:val="none"/>
                <w:lang w:eastAsia="zh-CN"/>
              </w:rPr>
              <w:t>维修面积</w:t>
            </w:r>
            <w:r>
              <w:rPr>
                <w:rFonts w:hint="eastAsia" w:ascii="仿宋" w:hAnsi="仿宋" w:eastAsia="仿宋" w:cs="仿宋"/>
                <w:color w:val="auto"/>
                <w:sz w:val="22"/>
                <w:szCs w:val="22"/>
                <w:highlight w:val="none"/>
                <w:lang w:val="en-US" w:eastAsia="zh-CN"/>
              </w:rPr>
              <w:t>3720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11A60E3A">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3720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的校舍维修，</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14:paraId="5EFA8197">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2F0ED2C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1A0F6C49">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14:paraId="42F24D0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FB11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14:paraId="5708A89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D372B">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14:paraId="5E27D5E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78C2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31FE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14:paraId="6E886E5A">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255088A3">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25D47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14:paraId="6DB1422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342F784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296E">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5426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3720m²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4758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3720m²</w:t>
            </w:r>
          </w:p>
        </w:tc>
      </w:tr>
      <w:tr w14:paraId="6E12BB90">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1E21FCA5">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14:paraId="6E827B8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39FFC9F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42DD5">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6654B">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375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14430">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375</w:t>
            </w:r>
          </w:p>
        </w:tc>
      </w:tr>
      <w:tr w14:paraId="31CD42CE">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14:paraId="07A33ECD">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A4E40">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273B210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37F22">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w:t>
            </w: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05E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10356">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14:paraId="02D9366F">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14:paraId="2B883343">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341A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0317A50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59E56">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673CE">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9CD74">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07C3A895">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14:paraId="285EA60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FB51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5FA9BC8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6D21E">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B8BC6">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9010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175DE1C6">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14:paraId="0E9631BE">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DB169">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4F29416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8F405">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93331">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F8129">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14:paraId="69F1DB1F">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14:paraId="531D169A">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52D4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27B2A25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3B13D">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E2BFF">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EAEFA">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10个月</w:t>
            </w:r>
          </w:p>
        </w:tc>
      </w:tr>
      <w:tr w14:paraId="405BAEC1">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14:paraId="3962FF8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2B12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20B8FEF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5AA26">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0A5FE">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C77E7">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793元</w:t>
            </w:r>
          </w:p>
        </w:tc>
      </w:tr>
      <w:tr w14:paraId="66E4791A">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4E731F9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3898CB1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14:paraId="17DC033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2418189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64471D26">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878A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9D77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5373A021">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2E128D03">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14:paraId="45755B6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21A6767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14:paraId="66161CE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141A99BD">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E029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8FDB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134EEA51">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6BECBB9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19B8BE45">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5CF7C4B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66A16D59">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872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7C0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14:paraId="4A928D66">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2249F7C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356FC75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14:paraId="338351A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5C537D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14:paraId="3DA9EB6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F642A">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BA98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4821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14:paraId="5BFAE6DC">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1EBE037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408A4AB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DE92A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FB6FB">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2865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67E1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14:paraId="6AA72815">
      <w:pPr>
        <w:pStyle w:val="3"/>
        <w:bidi w:val="0"/>
        <w:rPr>
          <w:rFonts w:hint="eastAsia" w:ascii="仿宋" w:hAnsi="仿宋" w:eastAsia="仿宋" w:cs="仿宋"/>
          <w:color w:val="auto"/>
          <w:highlight w:val="none"/>
        </w:rPr>
      </w:pPr>
      <w:r>
        <w:rPr>
          <w:rFonts w:hint="eastAsia" w:ascii="仿宋" w:hAnsi="仿宋" w:eastAsia="仿宋" w:cs="仿宋"/>
          <w:color w:val="auto"/>
          <w:highlight w:val="none"/>
        </w:rPr>
        <w:t>第五部分 附表</w:t>
      </w:r>
      <w:bookmarkEnd w:id="79"/>
      <w:bookmarkEnd w:id="82"/>
      <w:bookmarkEnd w:id="83"/>
      <w:bookmarkStart w:id="84" w:name="_Toc15396619"/>
    </w:p>
    <w:p w14:paraId="3E415059">
      <w:pPr>
        <w:pStyle w:val="4"/>
        <w:bidi w:val="0"/>
        <w:rPr>
          <w:rFonts w:hint="eastAsia" w:ascii="仿宋" w:hAnsi="仿宋" w:eastAsia="仿宋" w:cs="仿宋"/>
          <w:color w:val="auto"/>
          <w:highlight w:val="none"/>
        </w:rPr>
      </w:pPr>
      <w:bookmarkStart w:id="85" w:name="_Toc492"/>
      <w:r>
        <w:rPr>
          <w:rFonts w:hint="eastAsia" w:ascii="仿宋" w:hAnsi="仿宋" w:eastAsia="仿宋" w:cs="仿宋"/>
          <w:color w:val="auto"/>
          <w:highlight w:val="none"/>
        </w:rPr>
        <w:t>一、收入支出决算总表</w:t>
      </w:r>
      <w:bookmarkEnd w:id="84"/>
      <w:bookmarkEnd w:id="85"/>
    </w:p>
    <w:p w14:paraId="3FA4E06C">
      <w:pPr>
        <w:pStyle w:val="4"/>
        <w:bidi w:val="0"/>
        <w:rPr>
          <w:rFonts w:hint="eastAsia" w:ascii="仿宋" w:hAnsi="仿宋" w:eastAsia="仿宋" w:cs="仿宋"/>
          <w:color w:val="auto"/>
          <w:highlight w:val="none"/>
        </w:rPr>
      </w:pPr>
      <w:bookmarkStart w:id="86" w:name="_Toc20829"/>
      <w:bookmarkStart w:id="87" w:name="_Toc15396620"/>
      <w:r>
        <w:rPr>
          <w:rFonts w:hint="eastAsia" w:ascii="仿宋" w:hAnsi="仿宋" w:eastAsia="仿宋" w:cs="仿宋"/>
          <w:color w:val="auto"/>
          <w:highlight w:val="none"/>
        </w:rPr>
        <w:t>二、收入决算表</w:t>
      </w:r>
      <w:bookmarkEnd w:id="86"/>
      <w:bookmarkEnd w:id="87"/>
    </w:p>
    <w:p w14:paraId="2AA258DC">
      <w:pPr>
        <w:pStyle w:val="4"/>
        <w:bidi w:val="0"/>
        <w:rPr>
          <w:rFonts w:hint="eastAsia" w:ascii="仿宋" w:hAnsi="仿宋" w:eastAsia="仿宋" w:cs="仿宋"/>
          <w:color w:val="auto"/>
          <w:highlight w:val="none"/>
        </w:rPr>
      </w:pPr>
      <w:bookmarkStart w:id="88" w:name="_Toc15396621"/>
      <w:bookmarkStart w:id="89" w:name="_Toc872"/>
      <w:r>
        <w:rPr>
          <w:rFonts w:hint="eastAsia" w:ascii="仿宋" w:hAnsi="仿宋" w:eastAsia="仿宋" w:cs="仿宋"/>
          <w:color w:val="auto"/>
          <w:highlight w:val="none"/>
        </w:rPr>
        <w:t>三、支出决算表</w:t>
      </w:r>
      <w:bookmarkEnd w:id="88"/>
      <w:bookmarkEnd w:id="89"/>
    </w:p>
    <w:p w14:paraId="4AAF5FEF">
      <w:pPr>
        <w:pStyle w:val="4"/>
        <w:bidi w:val="0"/>
        <w:rPr>
          <w:rFonts w:hint="eastAsia" w:ascii="仿宋" w:hAnsi="仿宋" w:eastAsia="仿宋" w:cs="仿宋"/>
          <w:color w:val="auto"/>
          <w:highlight w:val="none"/>
        </w:rPr>
      </w:pPr>
      <w:bookmarkStart w:id="90" w:name="_Toc15396622"/>
      <w:bookmarkStart w:id="91" w:name="_Toc32481"/>
      <w:r>
        <w:rPr>
          <w:rFonts w:hint="eastAsia" w:ascii="仿宋" w:hAnsi="仿宋" w:eastAsia="仿宋" w:cs="仿宋"/>
          <w:color w:val="auto"/>
          <w:highlight w:val="none"/>
        </w:rPr>
        <w:t>四、财政拨款收入支出决算总表</w:t>
      </w:r>
      <w:bookmarkEnd w:id="90"/>
      <w:bookmarkEnd w:id="91"/>
    </w:p>
    <w:p w14:paraId="729D2C11">
      <w:pPr>
        <w:pStyle w:val="4"/>
        <w:bidi w:val="0"/>
        <w:rPr>
          <w:rFonts w:hint="eastAsia" w:ascii="仿宋" w:hAnsi="仿宋" w:eastAsia="仿宋" w:cs="仿宋"/>
          <w:color w:val="auto"/>
          <w:highlight w:val="none"/>
        </w:rPr>
      </w:pPr>
      <w:bookmarkStart w:id="92" w:name="_Toc16282"/>
      <w:bookmarkStart w:id="93" w:name="_Toc15396623"/>
      <w:r>
        <w:rPr>
          <w:rFonts w:hint="eastAsia" w:ascii="仿宋" w:hAnsi="仿宋" w:eastAsia="仿宋" w:cs="仿宋"/>
          <w:color w:val="auto"/>
          <w:highlight w:val="none"/>
        </w:rPr>
        <w:t>五、财政拨款支出决算明细表</w:t>
      </w:r>
      <w:bookmarkEnd w:id="92"/>
      <w:bookmarkEnd w:id="93"/>
      <w:bookmarkStart w:id="94" w:name="_Toc15396624"/>
    </w:p>
    <w:p w14:paraId="33F3F309">
      <w:pPr>
        <w:pStyle w:val="4"/>
        <w:bidi w:val="0"/>
        <w:rPr>
          <w:rFonts w:hint="eastAsia" w:ascii="仿宋" w:hAnsi="仿宋" w:eastAsia="仿宋" w:cs="仿宋"/>
          <w:color w:val="auto"/>
          <w:highlight w:val="none"/>
        </w:rPr>
      </w:pPr>
      <w:bookmarkStart w:id="95" w:name="_Toc27698"/>
      <w:r>
        <w:rPr>
          <w:rFonts w:hint="eastAsia" w:ascii="仿宋" w:hAnsi="仿宋" w:eastAsia="仿宋" w:cs="仿宋"/>
          <w:color w:val="auto"/>
          <w:highlight w:val="none"/>
        </w:rPr>
        <w:t>六、一般公共预算财政拨款支出决算表</w:t>
      </w:r>
      <w:bookmarkEnd w:id="94"/>
      <w:bookmarkEnd w:id="95"/>
    </w:p>
    <w:p w14:paraId="2D55956B">
      <w:pPr>
        <w:pStyle w:val="4"/>
        <w:bidi w:val="0"/>
        <w:rPr>
          <w:rFonts w:hint="eastAsia" w:ascii="仿宋" w:hAnsi="仿宋" w:eastAsia="仿宋" w:cs="仿宋"/>
          <w:color w:val="auto"/>
          <w:highlight w:val="none"/>
        </w:rPr>
      </w:pPr>
      <w:bookmarkStart w:id="96" w:name="_Toc16786"/>
      <w:bookmarkStart w:id="97" w:name="_Toc15396625"/>
      <w:r>
        <w:rPr>
          <w:rFonts w:hint="eastAsia" w:ascii="仿宋" w:hAnsi="仿宋" w:eastAsia="仿宋" w:cs="仿宋"/>
          <w:color w:val="auto"/>
          <w:highlight w:val="none"/>
        </w:rPr>
        <w:t>七、一般公共预算财政拨款支出决算明细表</w:t>
      </w:r>
      <w:bookmarkEnd w:id="96"/>
      <w:bookmarkEnd w:id="97"/>
    </w:p>
    <w:p w14:paraId="799F8E86">
      <w:pPr>
        <w:pStyle w:val="4"/>
        <w:bidi w:val="0"/>
        <w:rPr>
          <w:rFonts w:hint="eastAsia" w:ascii="仿宋" w:hAnsi="仿宋" w:eastAsia="仿宋" w:cs="仿宋"/>
          <w:color w:val="auto"/>
          <w:highlight w:val="none"/>
        </w:rPr>
      </w:pPr>
      <w:bookmarkStart w:id="98" w:name="_Toc15396626"/>
      <w:bookmarkStart w:id="99" w:name="_Toc31149"/>
      <w:r>
        <w:rPr>
          <w:rFonts w:hint="eastAsia" w:ascii="仿宋" w:hAnsi="仿宋" w:eastAsia="仿宋" w:cs="仿宋"/>
          <w:color w:val="auto"/>
          <w:highlight w:val="none"/>
        </w:rPr>
        <w:t>八、一般公共预算财政拨款基本支出决算表</w:t>
      </w:r>
      <w:bookmarkEnd w:id="98"/>
      <w:bookmarkEnd w:id="99"/>
    </w:p>
    <w:p w14:paraId="1D59BD4E">
      <w:pPr>
        <w:pStyle w:val="4"/>
        <w:bidi w:val="0"/>
        <w:rPr>
          <w:rFonts w:hint="eastAsia" w:ascii="仿宋" w:hAnsi="仿宋" w:eastAsia="仿宋" w:cs="仿宋"/>
          <w:color w:val="auto"/>
          <w:highlight w:val="none"/>
        </w:rPr>
      </w:pPr>
      <w:bookmarkStart w:id="100" w:name="_Toc15396627"/>
      <w:bookmarkStart w:id="101" w:name="_Toc2969"/>
      <w:r>
        <w:rPr>
          <w:rFonts w:hint="eastAsia" w:ascii="仿宋" w:hAnsi="仿宋" w:eastAsia="仿宋" w:cs="仿宋"/>
          <w:color w:val="auto"/>
          <w:highlight w:val="none"/>
        </w:rPr>
        <w:t>九、一般公共预算财政拨款项目支出决算表</w:t>
      </w:r>
      <w:bookmarkEnd w:id="100"/>
      <w:bookmarkEnd w:id="101"/>
    </w:p>
    <w:p w14:paraId="20D687CA">
      <w:pPr>
        <w:pStyle w:val="4"/>
        <w:bidi w:val="0"/>
        <w:rPr>
          <w:rFonts w:hint="eastAsia" w:ascii="仿宋" w:hAnsi="仿宋" w:eastAsia="仿宋" w:cs="仿宋"/>
          <w:color w:val="auto"/>
          <w:highlight w:val="none"/>
        </w:rPr>
      </w:pPr>
      <w:bookmarkStart w:id="102" w:name="_Toc15396628"/>
      <w:bookmarkStart w:id="103" w:name="_Toc15951"/>
      <w:r>
        <w:rPr>
          <w:rFonts w:hint="eastAsia" w:ascii="仿宋" w:hAnsi="仿宋" w:eastAsia="仿宋" w:cs="仿宋"/>
          <w:color w:val="auto"/>
          <w:highlight w:val="none"/>
        </w:rPr>
        <w:t>十、一般公共预算财政拨款“三公”经费支出决算表</w:t>
      </w:r>
      <w:bookmarkEnd w:id="102"/>
      <w:bookmarkEnd w:id="103"/>
    </w:p>
    <w:p w14:paraId="0E169FD0">
      <w:pPr>
        <w:pStyle w:val="4"/>
        <w:bidi w:val="0"/>
        <w:rPr>
          <w:rFonts w:hint="eastAsia" w:ascii="仿宋" w:hAnsi="仿宋" w:eastAsia="仿宋" w:cs="仿宋"/>
          <w:color w:val="auto"/>
          <w:highlight w:val="none"/>
        </w:rPr>
      </w:pPr>
      <w:bookmarkStart w:id="104" w:name="_Toc15396629"/>
      <w:bookmarkStart w:id="105" w:name="_Toc26411"/>
      <w:r>
        <w:rPr>
          <w:rFonts w:hint="eastAsia" w:ascii="仿宋" w:hAnsi="仿宋" w:eastAsia="仿宋" w:cs="仿宋"/>
          <w:color w:val="auto"/>
          <w:highlight w:val="none"/>
        </w:rPr>
        <w:t>十一、政府性基金预算财政拨款收入支出决算表</w:t>
      </w:r>
      <w:bookmarkEnd w:id="104"/>
      <w:bookmarkEnd w:id="105"/>
    </w:p>
    <w:p w14:paraId="78A80C13">
      <w:pPr>
        <w:pStyle w:val="4"/>
        <w:bidi w:val="0"/>
        <w:rPr>
          <w:rFonts w:hint="eastAsia" w:ascii="仿宋" w:hAnsi="仿宋" w:eastAsia="仿宋" w:cs="仿宋"/>
          <w:color w:val="auto"/>
          <w:highlight w:val="none"/>
        </w:rPr>
      </w:pPr>
      <w:bookmarkStart w:id="106" w:name="_Toc31313"/>
      <w:bookmarkStart w:id="107" w:name="_Toc15396630"/>
      <w:r>
        <w:rPr>
          <w:rFonts w:hint="eastAsia" w:ascii="仿宋" w:hAnsi="仿宋" w:eastAsia="仿宋" w:cs="仿宋"/>
          <w:color w:val="auto"/>
          <w:highlight w:val="none"/>
        </w:rPr>
        <w:t>十二、政府性基金预算财政拨款“三公”经费支出决算表</w:t>
      </w:r>
      <w:bookmarkEnd w:id="106"/>
      <w:bookmarkEnd w:id="107"/>
    </w:p>
    <w:p w14:paraId="4EA38F9F">
      <w:pPr>
        <w:pStyle w:val="4"/>
        <w:bidi w:val="0"/>
        <w:rPr>
          <w:rFonts w:hint="eastAsia" w:ascii="仿宋" w:hAnsi="仿宋" w:eastAsia="仿宋" w:cs="仿宋"/>
          <w:color w:val="auto"/>
          <w:highlight w:val="none"/>
        </w:rPr>
      </w:pPr>
      <w:bookmarkStart w:id="108" w:name="_Toc26015"/>
      <w:bookmarkStart w:id="109" w:name="_Toc15396631"/>
      <w:r>
        <w:rPr>
          <w:rFonts w:hint="eastAsia" w:ascii="仿宋" w:hAnsi="仿宋" w:eastAsia="仿宋" w:cs="仿宋"/>
          <w:color w:val="auto"/>
          <w:highlight w:val="none"/>
        </w:rPr>
        <w:t>十三、国有资本经营预算财政拨款收入支出决算表</w:t>
      </w:r>
      <w:bookmarkEnd w:id="108"/>
      <w:bookmarkEnd w:id="109"/>
    </w:p>
    <w:p w14:paraId="6782B5C9">
      <w:pPr>
        <w:pStyle w:val="4"/>
        <w:bidi w:val="0"/>
        <w:rPr>
          <w:rFonts w:hint="eastAsia" w:ascii="仿宋" w:hAnsi="仿宋" w:eastAsia="仿宋" w:cs="仿宋"/>
          <w:color w:val="auto"/>
          <w:highlight w:val="none"/>
        </w:rPr>
      </w:pPr>
      <w:bookmarkStart w:id="110" w:name="_Toc2980"/>
      <w:r>
        <w:rPr>
          <w:rFonts w:hint="eastAsia" w:ascii="仿宋" w:hAnsi="仿宋" w:eastAsia="仿宋" w:cs="仿宋"/>
          <w:color w:val="auto"/>
          <w:highlight w:val="none"/>
        </w:rPr>
        <w:t>十四、国有资本经营预算财政拨款支出决算表</w:t>
      </w:r>
      <w:bookmarkEnd w:id="110"/>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79474A-869C-4CF5-A8FC-EFD6B7FD97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2" w:fontKey="{5143FFA0-1E5E-4740-8A6D-DB8EF506FC16}"/>
  </w:font>
  <w:font w:name="仿宋_GB2312">
    <w:altName w:val="仿宋"/>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3" w:fontKey="{3D731C5B-97C9-4FAB-A17A-58F80E07DC8C}"/>
  </w:font>
  <w:font w:name="方正小标宋_GBK">
    <w:panose1 w:val="02000000000000000000"/>
    <w:charset w:val="86"/>
    <w:family w:val="auto"/>
    <w:pitch w:val="default"/>
    <w:sig w:usb0="A00002BF" w:usb1="38CF7CFA" w:usb2="00082016" w:usb3="00000000" w:csb0="00040001" w:csb1="00000000"/>
    <w:embedRegular r:id="rId4" w:fontKey="{BDC13784-F2E1-4B2E-8A40-987BFCC3495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7AD0602F">
        <w:pPr>
          <w:pStyle w:val="11"/>
          <w:jc w:val="center"/>
        </w:pPr>
        <w:r>
          <w:fldChar w:fldCharType="begin"/>
        </w:r>
        <w:r>
          <w:instrText xml:space="preserve">PAGE   \* MERGEFORMAT</w:instrText>
        </w:r>
        <w:r>
          <w:fldChar w:fldCharType="separate"/>
        </w:r>
        <w:r>
          <w:rPr>
            <w:lang w:val="zh-CN"/>
          </w:rPr>
          <w:t>12</w:t>
        </w:r>
        <w:r>
          <w:fldChar w:fldCharType="end"/>
        </w:r>
      </w:p>
    </w:sdtContent>
  </w:sdt>
  <w:p w14:paraId="782585F1">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1BFE1">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jYzYzZmU5OWQ3NzgwYmRjMzI1YjU5NDZkMjc5OT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7C4AC0"/>
    <w:rsid w:val="066606B5"/>
    <w:rsid w:val="066D6250"/>
    <w:rsid w:val="092807EB"/>
    <w:rsid w:val="0A2032A3"/>
    <w:rsid w:val="0B8A37D8"/>
    <w:rsid w:val="0DA65670"/>
    <w:rsid w:val="0EC71F0D"/>
    <w:rsid w:val="10C055FF"/>
    <w:rsid w:val="112C7A85"/>
    <w:rsid w:val="118107EC"/>
    <w:rsid w:val="11DD6519"/>
    <w:rsid w:val="12910332"/>
    <w:rsid w:val="157E27B0"/>
    <w:rsid w:val="16BB723D"/>
    <w:rsid w:val="175404DE"/>
    <w:rsid w:val="177D300F"/>
    <w:rsid w:val="18015F3F"/>
    <w:rsid w:val="1BE8440E"/>
    <w:rsid w:val="1D155CEE"/>
    <w:rsid w:val="1F046865"/>
    <w:rsid w:val="20F57F95"/>
    <w:rsid w:val="23066A21"/>
    <w:rsid w:val="240371BF"/>
    <w:rsid w:val="2446347C"/>
    <w:rsid w:val="24D54B4E"/>
    <w:rsid w:val="25C741E6"/>
    <w:rsid w:val="27842671"/>
    <w:rsid w:val="29FD04D3"/>
    <w:rsid w:val="2ABE7A3E"/>
    <w:rsid w:val="2BAE4DE0"/>
    <w:rsid w:val="2C0D4D5A"/>
    <w:rsid w:val="2EFA178C"/>
    <w:rsid w:val="30B46D73"/>
    <w:rsid w:val="319F7F4E"/>
    <w:rsid w:val="32E05DEF"/>
    <w:rsid w:val="353C0D20"/>
    <w:rsid w:val="39AE70AB"/>
    <w:rsid w:val="3C0C0783"/>
    <w:rsid w:val="3F795B0E"/>
    <w:rsid w:val="3F9F3A96"/>
    <w:rsid w:val="3FB02072"/>
    <w:rsid w:val="3FCF6A2D"/>
    <w:rsid w:val="437E6B78"/>
    <w:rsid w:val="493C27E9"/>
    <w:rsid w:val="496F39ED"/>
    <w:rsid w:val="49FF41D3"/>
    <w:rsid w:val="4A185DC8"/>
    <w:rsid w:val="4BE068DB"/>
    <w:rsid w:val="4BF6002B"/>
    <w:rsid w:val="4ECE2238"/>
    <w:rsid w:val="4F301641"/>
    <w:rsid w:val="4FA63C97"/>
    <w:rsid w:val="4FD61684"/>
    <w:rsid w:val="503645ED"/>
    <w:rsid w:val="508F3649"/>
    <w:rsid w:val="51DB4B86"/>
    <w:rsid w:val="52FB5859"/>
    <w:rsid w:val="53241EFD"/>
    <w:rsid w:val="55333C3E"/>
    <w:rsid w:val="55DA5EAD"/>
    <w:rsid w:val="58737E60"/>
    <w:rsid w:val="5CB52B4C"/>
    <w:rsid w:val="5EEF25B2"/>
    <w:rsid w:val="64A80084"/>
    <w:rsid w:val="64CA39A1"/>
    <w:rsid w:val="65B126BB"/>
    <w:rsid w:val="69F768F0"/>
    <w:rsid w:val="6C4A05C8"/>
    <w:rsid w:val="6C6E6699"/>
    <w:rsid w:val="6EDA0CDC"/>
    <w:rsid w:val="70DD3752"/>
    <w:rsid w:val="72734D90"/>
    <w:rsid w:val="727D7081"/>
    <w:rsid w:val="72E456B5"/>
    <w:rsid w:val="744F4926"/>
    <w:rsid w:val="74E366CA"/>
    <w:rsid w:val="75B253D7"/>
    <w:rsid w:val="79E7B28D"/>
    <w:rsid w:val="7AC82E51"/>
    <w:rsid w:val="7BFA24EA"/>
    <w:rsid w:val="7CAB154F"/>
    <w:rsid w:val="7DB56BE2"/>
    <w:rsid w:val="7F8518D8"/>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jc w:val="center"/>
      <w:outlineLvl w:val="0"/>
    </w:pPr>
    <w:rPr>
      <w:rFonts w:ascii="Times New Roman" w:hAnsi="Times New Roman" w:eastAsia="宋体"/>
      <w:b/>
      <w:bCs/>
      <w:kern w:val="44"/>
      <w:sz w:val="44"/>
      <w:szCs w:val="44"/>
    </w:rPr>
  </w:style>
  <w:style w:type="paragraph" w:styleId="4">
    <w:name w:val="heading 2"/>
    <w:basedOn w:val="1"/>
    <w:next w:val="1"/>
    <w:link w:val="40"/>
    <w:unhideWhenUsed/>
    <w:qFormat/>
    <w:uiPriority w:val="9"/>
    <w:pPr>
      <w:keepNext/>
      <w:keepLines/>
      <w:spacing w:before="260" w:after="260" w:line="416" w:lineRule="auto"/>
      <w:ind w:firstLine="1440" w:firstLineChars="200"/>
      <w:outlineLvl w:val="1"/>
    </w:pPr>
    <w:rPr>
      <w:rFonts w:cs="仿宋" w:asciiTheme="majorAscii" w:hAnsiTheme="majorAscii" w:eastAsiaTheme="majorEastAsia"/>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eastAsia="宋体"/>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cs="仿宋" w:asciiTheme="majorAscii" w:hAnsiTheme="majorAscii" w:eastAsiaTheme="majorEastAs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1049.94</c:v>
                </c:pt>
                <c:pt idx="1">
                  <c:v>1009.25</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1049.94</c:v>
                </c:pt>
                <c:pt idx="1">
                  <c:v>1009.25</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95f8f6a1-eb59-4385-9aca-346e8cd689af}"/>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5e3270d-2998-4022-b0f3-a1b04a33461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70.77</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29.23</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714.25</c:v>
                </c:pt>
                <c:pt idx="1">
                  <c:v>295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4f66c1a0-f5d0-4905-a652-d4387016b87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1049.94</c:v>
                </c:pt>
                <c:pt idx="1">
                  <c:v>1009.25</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1049.94</c:v>
                </c:pt>
                <c:pt idx="1">
                  <c:v>1009.25</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c868b744-5405-4362-bd98-5197c6ec0f90}"/>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1049.94</c:v>
                </c:pt>
                <c:pt idx="1">
                  <c:v>1009.25</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07aaea8-2143-473b-acdf-a9293382ffd0}"/>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f83b0823-822e-4681-9d95-632582602935}"/>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72931301-7260-4f35-938d-4895648942f9}"/>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7.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17</Pages>
  <Words>4993</Words>
  <Characters>5409</Characters>
  <Lines>47</Lines>
  <Paragraphs>13</Paragraphs>
  <TotalTime>1</TotalTime>
  <ScaleCrop>false</ScaleCrop>
  <LinksUpToDate>false</LinksUpToDate>
  <CharactersWithSpaces>5475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2025-01-06T04:27:49Z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DAF09B3A57224917A2101561C70D43D4</vt:lpwstr>
  </property>
  <property fmtid="{D5CDD505-2E9C-101B-9397-08002B2CF9AE}" pid="4" name="KSOTemplateDocerSaveRecord">
    <vt:lpwstr>eyJoZGlkIjoiMGVhYTg4NGNkZWJkODFjNzcyZDRjM2M4Y2UzNjI5ZmUiLCJ1c2VySWQiOiI2MTE2MzEwMDYifQ==</vt:lpwstr>
  </property>
</Properties>
</file>