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bookmarkStart w:id="67" w:name="_GoBack"/>
      <w:bookmarkEnd w:id="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5396475"/>
      <w:bookmarkStart w:id="3" w:name="_Toc15377425"/>
      <w:bookmarkStart w:id="4" w:name="_Toc15396597"/>
      <w:bookmarkStart w:id="5" w:name="_Toc15378441"/>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7426"/>
      <w:bookmarkStart w:id="7" w:name="_Toc15396598"/>
      <w:bookmarkStart w:id="8" w:name="_Toc15378442"/>
      <w:bookmarkStart w:id="9" w:name="_Toc15396476"/>
      <w:bookmarkStart w:id="10" w:name="_Toc15377194"/>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lang w:eastAsia="zh-CN"/>
        </w:rPr>
        <w:t>王家镇晋贤小学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4"/>
        <w:jc w:val="both"/>
        <w:rPr>
          <w:color w:val="auto"/>
          <w:highlight w:val="none"/>
        </w:rPr>
      </w:pPr>
    </w:p>
    <w:p>
      <w:pPr>
        <w:rPr>
          <w:color w:val="auto"/>
          <w:highlight w:val="none"/>
        </w:rPr>
      </w:pP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77196"/>
      <w:bookmarkStart w:id="13" w:name="_Toc15396599"/>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5"/>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5"/>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4"/>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5"/>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5"/>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15</w:t>
      </w:r>
    </w:p>
    <w:p>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19</w:t>
      </w:r>
    </w:p>
    <w:p>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5"/>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r>
        <w:rPr>
          <w:rFonts w:ascii="仿宋" w:hAnsi="仿宋" w:eastAsia="仿宋"/>
          <w:b/>
          <w:color w:val="auto"/>
          <w:sz w:val="24"/>
          <w:highlight w:val="none"/>
        </w:rPr>
        <w:br w:type="page"/>
      </w:r>
    </w:p>
    <w:p>
      <w:pPr>
        <w:pStyle w:val="4"/>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5"/>
        <w:numPr>
          <w:ilvl w:val="0"/>
          <w:numId w:val="1"/>
        </w:numPr>
        <w:rPr>
          <w:rStyle w:val="30"/>
          <w:rFonts w:ascii="黑体" w:hAnsi="黑体" w:eastAsia="黑体"/>
          <w:b w:val="0"/>
          <w:bCs w:val="0"/>
          <w:color w:val="auto"/>
          <w:highlight w:val="none"/>
        </w:rPr>
      </w:pPr>
      <w:bookmarkStart w:id="14" w:name="_Toc15377197"/>
      <w:bookmarkStart w:id="15" w:name="_Toc15396600"/>
      <w:r>
        <w:rPr>
          <w:rStyle w:val="30"/>
          <w:rFonts w:hint="eastAsia" w:ascii="黑体" w:hAnsi="黑体" w:eastAsia="黑体"/>
          <w:b w:val="0"/>
          <w:bCs w:val="0"/>
          <w:color w:val="auto"/>
          <w:highlight w:val="none"/>
        </w:rPr>
        <w:t>职能简介</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w:t>
      </w:r>
      <w:r>
        <w:rPr>
          <w:rFonts w:hint="eastAsia" w:ascii="仿宋" w:hAnsi="仿宋" w:eastAsia="仿宋" w:cs="仿宋"/>
          <w:color w:val="auto"/>
          <w:sz w:val="32"/>
          <w:szCs w:val="32"/>
          <w:highlight w:val="none"/>
        </w:rPr>
        <w:t>在内的具体管理活动。</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5"/>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lang w:val="en-US" w:eastAsia="zh-CN"/>
        </w:rPr>
        <w:t>加强党建，铸就思魂，示范引领。</w:t>
      </w:r>
      <w:r>
        <w:rPr>
          <w:rFonts w:hint="eastAsia" w:ascii="仿宋_GB2312" w:hAnsi="仿宋_GB2312" w:eastAsia="仿宋_GB2312" w:cs="仿宋_GB2312"/>
          <w:color w:val="auto"/>
          <w:sz w:val="32"/>
          <w:szCs w:val="32"/>
          <w:highlight w:val="none"/>
          <w:lang w:val="en-US" w:eastAsia="zh-CN"/>
        </w:rPr>
        <w:t>一年来，在区教育党工委及局党组的正确领导下，全面加强党的组织、思想和作风建设。</w:t>
      </w:r>
      <w:r>
        <w:rPr>
          <w:rFonts w:hint="eastAsia" w:ascii="仿宋_GB2312" w:hAnsi="仿宋_GB2312" w:eastAsia="仿宋_GB2312" w:cs="仿宋_GB2312"/>
          <w:b/>
          <w:bCs/>
          <w:color w:val="auto"/>
          <w:sz w:val="32"/>
          <w:szCs w:val="32"/>
          <w:highlight w:val="none"/>
          <w:lang w:val="en-US" w:eastAsia="zh-CN"/>
        </w:rPr>
        <w:t>一是</w:t>
      </w:r>
      <w:r>
        <w:rPr>
          <w:rFonts w:hint="eastAsia" w:ascii="仿宋_GB2312" w:hAnsi="仿宋_GB2312" w:eastAsia="仿宋_GB2312" w:cs="仿宋_GB2312"/>
          <w:color w:val="auto"/>
          <w:sz w:val="32"/>
          <w:szCs w:val="32"/>
          <w:highlight w:val="none"/>
        </w:rPr>
        <w:t>认真</w:t>
      </w:r>
      <w:r>
        <w:rPr>
          <w:rFonts w:hint="eastAsia" w:ascii="仿宋_GB2312" w:hAnsi="仿宋_GB2312" w:eastAsia="仿宋_GB2312" w:cs="仿宋_GB2312"/>
          <w:color w:val="auto"/>
          <w:sz w:val="32"/>
          <w:szCs w:val="32"/>
          <w:highlight w:val="none"/>
          <w:lang w:eastAsia="zh-CN"/>
        </w:rPr>
        <w:t>履行党组织领导下的“校长负责制”。</w:t>
      </w:r>
      <w:r>
        <w:rPr>
          <w:rFonts w:hint="eastAsia" w:ascii="仿宋_GB2312" w:hAnsi="仿宋_GB2312" w:eastAsia="仿宋_GB2312" w:cs="仿宋_GB2312"/>
          <w:color w:val="auto"/>
          <w:sz w:val="32"/>
          <w:szCs w:val="32"/>
          <w:highlight w:val="none"/>
          <w:lang w:val="en-US" w:eastAsia="zh-CN"/>
        </w:rPr>
        <w:t>在“三重一大”管理过程中，我们始终坚持“三条线”。即：一条上报线。由部门负责人提出学校需要完成的重大事项，上报学校支部。一条审核线。支部收到报告后，由书记组织召开支委会，对部门上报事项认真审核，确定是否同意。一条执行线。支部审核同意重大事项后，部门负责实施，支部负责监督与管理。三条线的执行，将党组织领导下的校长负责制落地、落实。</w:t>
      </w:r>
      <w:r>
        <w:rPr>
          <w:rFonts w:hint="eastAsia" w:ascii="仿宋_GB2312" w:hAnsi="仿宋_GB2312" w:eastAsia="仿宋_GB2312" w:cs="仿宋_GB2312"/>
          <w:b/>
          <w:bCs/>
          <w:color w:val="auto"/>
          <w:sz w:val="32"/>
          <w:szCs w:val="32"/>
          <w:highlight w:val="none"/>
          <w:lang w:val="en-US" w:eastAsia="zh-CN"/>
        </w:rPr>
        <w:t>二是</w:t>
      </w:r>
      <w:r>
        <w:rPr>
          <w:rFonts w:hint="eastAsia" w:ascii="仿宋_GB2312" w:hAnsi="仿宋_GB2312" w:eastAsia="仿宋_GB2312" w:cs="仿宋_GB2312"/>
          <w:color w:val="auto"/>
          <w:sz w:val="32"/>
          <w:szCs w:val="32"/>
          <w:highlight w:val="none"/>
          <w:lang w:eastAsia="zh-CN"/>
        </w:rPr>
        <w:t>扎扎实实开展了干部作风纪律整顿及“以案促改”活动，深入地进行了学习、剖析。作风纪律整顿共查摆问题</w:t>
      </w:r>
      <w:r>
        <w:rPr>
          <w:rFonts w:hint="eastAsia" w:ascii="仿宋_GB2312" w:hAnsi="仿宋_GB2312" w:eastAsia="仿宋_GB2312" w:cs="仿宋_GB2312"/>
          <w:color w:val="auto"/>
          <w:sz w:val="32"/>
          <w:szCs w:val="32"/>
          <w:highlight w:val="none"/>
          <w:lang w:val="en-US" w:eastAsia="zh-CN"/>
        </w:rPr>
        <w:t>5个方面，以案促改问题1个方面，17人次，全部按时按要求整改完毕。</w:t>
      </w:r>
      <w:r>
        <w:rPr>
          <w:rFonts w:hint="eastAsia" w:ascii="仿宋_GB2312" w:hAnsi="仿宋_GB2312" w:eastAsia="仿宋_GB2312" w:cs="仿宋_GB2312"/>
          <w:color w:val="auto"/>
          <w:sz w:val="32"/>
          <w:szCs w:val="32"/>
          <w:highlight w:val="none"/>
          <w:lang w:eastAsia="zh-CN"/>
        </w:rPr>
        <w:t>认真开好民主生活会，</w:t>
      </w:r>
      <w:r>
        <w:rPr>
          <w:rFonts w:hint="eastAsia" w:ascii="仿宋_GB2312" w:hAnsi="仿宋_GB2312" w:eastAsia="仿宋_GB2312" w:cs="仿宋_GB2312"/>
          <w:color w:val="auto"/>
          <w:sz w:val="32"/>
          <w:szCs w:val="32"/>
          <w:highlight w:val="none"/>
        </w:rPr>
        <w:t>加强</w:t>
      </w:r>
      <w:r>
        <w:rPr>
          <w:rFonts w:hint="eastAsia" w:ascii="仿宋_GB2312" w:hAnsi="仿宋_GB2312" w:eastAsia="仿宋_GB2312" w:cs="仿宋_GB2312"/>
          <w:color w:val="auto"/>
          <w:sz w:val="32"/>
          <w:szCs w:val="32"/>
          <w:highlight w:val="none"/>
          <w:lang w:eastAsia="zh-CN"/>
        </w:rPr>
        <w:t>党员及</w:t>
      </w:r>
      <w:r>
        <w:rPr>
          <w:rFonts w:hint="eastAsia" w:ascii="仿宋_GB2312" w:hAnsi="仿宋_GB2312" w:eastAsia="仿宋_GB2312" w:cs="仿宋_GB2312"/>
          <w:color w:val="auto"/>
          <w:sz w:val="32"/>
          <w:szCs w:val="32"/>
          <w:highlight w:val="none"/>
        </w:rPr>
        <w:t>教师</w:t>
      </w:r>
      <w:r>
        <w:rPr>
          <w:rFonts w:hint="eastAsia" w:ascii="仿宋_GB2312" w:hAnsi="仿宋_GB2312" w:eastAsia="仿宋_GB2312" w:cs="仿宋_GB2312"/>
          <w:color w:val="auto"/>
          <w:sz w:val="32"/>
          <w:szCs w:val="32"/>
          <w:highlight w:val="none"/>
          <w:lang w:eastAsia="zh-CN"/>
        </w:rPr>
        <w:t>“党内法规”“四史”大学习，认真“对标对表找差距”。</w:t>
      </w:r>
      <w:r>
        <w:rPr>
          <w:rFonts w:hint="eastAsia" w:ascii="仿宋_GB2312" w:hAnsi="仿宋_GB2312" w:eastAsia="仿宋_GB2312" w:cs="仿宋_GB2312"/>
          <w:b/>
          <w:bCs/>
          <w:color w:val="auto"/>
          <w:sz w:val="32"/>
          <w:szCs w:val="32"/>
          <w:highlight w:val="none"/>
          <w:lang w:eastAsia="zh-CN"/>
        </w:rPr>
        <w:t>三是</w:t>
      </w:r>
      <w:r>
        <w:rPr>
          <w:rFonts w:hint="eastAsia" w:ascii="仿宋_GB2312" w:hAnsi="仿宋_GB2312" w:eastAsia="仿宋_GB2312" w:cs="仿宋_GB2312"/>
          <w:color w:val="auto"/>
          <w:sz w:val="32"/>
          <w:szCs w:val="32"/>
          <w:highlight w:val="none"/>
          <w:lang w:eastAsia="zh-CN"/>
        </w:rPr>
        <w:t>加强</w:t>
      </w:r>
      <w:r>
        <w:rPr>
          <w:rFonts w:hint="eastAsia" w:ascii="仿宋_GB2312" w:hAnsi="仿宋_GB2312" w:eastAsia="仿宋_GB2312" w:cs="仿宋_GB2312"/>
          <w:color w:val="auto"/>
          <w:sz w:val="32"/>
          <w:szCs w:val="32"/>
          <w:highlight w:val="none"/>
        </w:rPr>
        <w:t>师德师风建设，</w:t>
      </w:r>
      <w:r>
        <w:rPr>
          <w:rFonts w:hint="eastAsia" w:ascii="仿宋_GB2312" w:hAnsi="仿宋_GB2312" w:eastAsia="仿宋_GB2312" w:cs="仿宋_GB2312"/>
          <w:color w:val="auto"/>
          <w:sz w:val="32"/>
          <w:szCs w:val="32"/>
          <w:highlight w:val="none"/>
          <w:lang w:eastAsia="zh-CN"/>
        </w:rPr>
        <w:t>党风廉政教育。层层签订目标责任书，做到勤政为校、廉洁奉公，</w:t>
      </w:r>
      <w:r>
        <w:rPr>
          <w:rFonts w:hint="eastAsia" w:ascii="仿宋_GB2312" w:hAnsi="仿宋_GB2312" w:eastAsia="仿宋_GB2312" w:cs="仿宋_GB2312"/>
          <w:color w:val="auto"/>
          <w:sz w:val="32"/>
          <w:szCs w:val="32"/>
          <w:highlight w:val="none"/>
        </w:rPr>
        <w:t>让学校</w:t>
      </w:r>
      <w:r>
        <w:rPr>
          <w:rFonts w:hint="eastAsia" w:ascii="仿宋_GB2312" w:hAnsi="仿宋_GB2312" w:eastAsia="仿宋_GB2312" w:cs="仿宋_GB2312"/>
          <w:color w:val="auto"/>
          <w:sz w:val="32"/>
          <w:szCs w:val="32"/>
          <w:highlight w:val="none"/>
          <w:lang w:eastAsia="zh-CN"/>
        </w:rPr>
        <w:t>形成了风清气正的良好局面。</w:t>
      </w:r>
      <w:r>
        <w:rPr>
          <w:rFonts w:hint="eastAsia" w:ascii="仿宋_GB2312" w:hAnsi="仿宋_GB2312" w:eastAsia="仿宋_GB2312" w:cs="仿宋_GB2312"/>
          <w:b/>
          <w:bCs/>
          <w:color w:val="auto"/>
          <w:sz w:val="32"/>
          <w:szCs w:val="32"/>
          <w:highlight w:val="none"/>
          <w:lang w:eastAsia="zh-CN"/>
        </w:rPr>
        <w:t>四是</w:t>
      </w:r>
      <w:r>
        <w:rPr>
          <w:rFonts w:hint="eastAsia" w:ascii="仿宋_GB2312" w:hAnsi="仿宋_GB2312" w:eastAsia="仿宋_GB2312" w:cs="仿宋_GB2312"/>
          <w:color w:val="auto"/>
          <w:sz w:val="32"/>
          <w:szCs w:val="32"/>
          <w:highlight w:val="none"/>
          <w:lang w:eastAsia="zh-CN"/>
        </w:rPr>
        <w:t>党员教师</w:t>
      </w:r>
      <w:r>
        <w:rPr>
          <w:rFonts w:hint="eastAsia" w:ascii="仿宋_GB2312" w:hAnsi="仿宋_GB2312" w:eastAsia="仿宋_GB2312" w:cs="仿宋_GB2312"/>
          <w:color w:val="auto"/>
          <w:sz w:val="32"/>
          <w:szCs w:val="32"/>
          <w:highlight w:val="none"/>
          <w:lang w:val="en-US" w:eastAsia="zh-CN"/>
        </w:rPr>
        <w:t>在教学上勇挑重担，积极参加学校教研活动，课题研究，业务学习等。在教学中，起到了很好地示范引领作用。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（二）文化引领，活动育人，内涵发展。</w:t>
      </w:r>
      <w:r>
        <w:rPr>
          <w:rFonts w:hint="eastAsia" w:ascii="仿宋_GB2312" w:hAnsi="仿宋_GB2312" w:eastAsia="仿宋_GB2312" w:cs="仿宋_GB2312"/>
          <w:color w:val="auto"/>
          <w:sz w:val="32"/>
          <w:szCs w:val="32"/>
          <w:highlight w:val="none"/>
          <w:lang w:val="en-US" w:eastAsia="zh-CN"/>
        </w:rPr>
        <w:t>文化是学校内涵发展的动力，我们始终坚持以文化引领人的发展，持续打造学校“贤文化”。</w:t>
      </w:r>
      <w:r>
        <w:rPr>
          <w:rFonts w:hint="eastAsia" w:ascii="仿宋_GB2312" w:hAnsi="仿宋_GB2312" w:eastAsia="仿宋_GB2312" w:cs="仿宋_GB2312"/>
          <w:b/>
          <w:bCs/>
          <w:color w:val="auto"/>
          <w:sz w:val="32"/>
          <w:szCs w:val="32"/>
          <w:highlight w:val="none"/>
          <w:lang w:val="en-US" w:eastAsia="zh-CN"/>
        </w:rPr>
        <w:t>一是持续开展“三贤”活动。</w:t>
      </w:r>
      <w:r>
        <w:rPr>
          <w:rFonts w:hint="eastAsia" w:ascii="仿宋_GB2312" w:hAnsi="仿宋_GB2312" w:eastAsia="仿宋_GB2312" w:cs="仿宋_GB2312"/>
          <w:color w:val="auto"/>
          <w:sz w:val="32"/>
          <w:szCs w:val="32"/>
          <w:highlight w:val="none"/>
          <w:lang w:val="en-US" w:eastAsia="zh-CN"/>
        </w:rPr>
        <w:t>首先是“敬贤人”。在学生中，以“名人故事我来讲”“好书分享”“传承贤文化 我来诵经典”等内容，广泛开展“读贤书”、“知贤人”的活动。其次是“明贤德”。在学生中广泛开展“学习圣贤美德”活动，开展“学圣贤美德”个人评比。再次是“做贤事”。“勿以善小而不为，勿以恶小而为之”。在学生的平常管理中，让他们以圣贤为榜样，一言一行都有礼有节。</w:t>
      </w:r>
      <w:r>
        <w:rPr>
          <w:rFonts w:hint="eastAsia" w:ascii="仿宋_GB2312" w:hAnsi="仿宋_GB2312" w:eastAsia="仿宋_GB2312" w:cs="仿宋_GB2312"/>
          <w:b/>
          <w:bCs/>
          <w:color w:val="auto"/>
          <w:sz w:val="32"/>
          <w:szCs w:val="32"/>
          <w:highlight w:val="none"/>
          <w:lang w:val="en-US" w:eastAsia="zh-CN"/>
        </w:rPr>
        <w:t>二是持续建设“三贤”团队。</w:t>
      </w:r>
      <w:r>
        <w:rPr>
          <w:rFonts w:hint="eastAsia" w:ascii="仿宋_GB2312" w:hAnsi="仿宋_GB2312" w:eastAsia="仿宋_GB2312" w:cs="仿宋_GB2312"/>
          <w:color w:val="auto"/>
          <w:sz w:val="32"/>
          <w:szCs w:val="32"/>
          <w:highlight w:val="none"/>
          <w:lang w:val="en-US" w:eastAsia="zh-CN"/>
        </w:rPr>
        <w:t>“贤美管理团队”建设让学校管理做到扁平化，建立事业、学习、命运的共同体。“贤美教师团队”建设让教师的方向感、成就感、获得感、归宿感日益明显。“贤美学生团队”让学生人人得到关注、人人得到发展、人人得到快乐。</w:t>
      </w:r>
      <w:r>
        <w:rPr>
          <w:rFonts w:hint="eastAsia" w:ascii="仿宋_GB2312" w:hAnsi="仿宋_GB2312" w:eastAsia="仿宋_GB2312" w:cs="仿宋_GB2312"/>
          <w:b/>
          <w:bCs/>
          <w:color w:val="auto"/>
          <w:sz w:val="32"/>
          <w:szCs w:val="32"/>
          <w:highlight w:val="none"/>
          <w:lang w:val="en-US" w:eastAsia="zh-CN"/>
        </w:rPr>
        <w:t>三是持续打造醉美环境。</w:t>
      </w:r>
      <w:r>
        <w:rPr>
          <w:rFonts w:hint="eastAsia" w:ascii="仿宋_GB2312" w:hAnsi="仿宋_GB2312" w:eastAsia="仿宋_GB2312" w:cs="仿宋_GB2312"/>
          <w:color w:val="auto"/>
          <w:sz w:val="32"/>
          <w:szCs w:val="32"/>
          <w:highlight w:val="none"/>
          <w:lang w:val="en-US" w:eastAsia="zh-CN"/>
        </w:rPr>
        <w:t>学校持续美丽校园建设，开设校园文化读本《尚贤》，开办“贤文化诗词诵析”社团。</w:t>
      </w:r>
      <w:r>
        <w:rPr>
          <w:rFonts w:hint="eastAsia" w:ascii="仿宋_GB2312" w:hAnsi="仿宋_GB2312" w:eastAsia="仿宋_GB2312" w:cs="仿宋_GB2312"/>
          <w:color w:val="auto"/>
          <w:sz w:val="32"/>
          <w:szCs w:val="32"/>
          <w:highlight w:val="none"/>
          <w:lang w:val="en-US" w:eastAsia="zh-CN"/>
        </w:rPr>
        <w:t>本年度，师生参加省市区各级各类比赛，以及作文竞赛，共有70余人次获奖。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（二）常态防控，落实责任，安全保障。一是常态化疫情防控。</w:t>
      </w:r>
      <w:r>
        <w:rPr>
          <w:rFonts w:hint="eastAsia" w:ascii="仿宋_GB2312" w:hAnsi="仿宋_GB2312" w:eastAsia="仿宋_GB2312" w:cs="仿宋_GB2312"/>
          <w:b w:val="0"/>
          <w:bCs w:val="0"/>
          <w:color w:val="auto"/>
          <w:sz w:val="32"/>
          <w:szCs w:val="32"/>
          <w:highlight w:val="none"/>
          <w:lang w:val="en-US" w:eastAsia="zh-CN"/>
        </w:rPr>
        <w:t>面对今年突发的“新冠疫情”，学校成立了相应工作小组。按照区教育局对新冠疫情的防控要求。严格执行错时错峰上学、放学、就餐等。严格通风、消杀、缺勤追踪等工作，严格实行校园封闭式管理，做到“一扫、二测、三登记、四询问”。</w:t>
      </w:r>
      <w:r>
        <w:rPr>
          <w:rFonts w:hint="eastAsia" w:ascii="仿宋_GB2312" w:hAnsi="仿宋_GB2312" w:eastAsia="仿宋_GB2312" w:cs="仿宋_GB2312"/>
          <w:b/>
          <w:bCs/>
          <w:color w:val="auto"/>
          <w:sz w:val="32"/>
          <w:szCs w:val="32"/>
          <w:highlight w:val="none"/>
          <w:lang w:val="en-US" w:eastAsia="zh-CN"/>
        </w:rPr>
        <w:t>二是教育扶贫有保障。</w:t>
      </w:r>
      <w:r>
        <w:rPr>
          <w:rFonts w:hint="eastAsia" w:ascii="仿宋_GB2312" w:hAnsi="仿宋_GB2312" w:eastAsia="仿宋_GB2312" w:cs="仿宋_GB2312"/>
          <w:color w:val="auto"/>
          <w:sz w:val="32"/>
          <w:szCs w:val="32"/>
          <w:highlight w:val="none"/>
          <w:lang w:val="en-US" w:eastAsia="zh-CN"/>
        </w:rPr>
        <w:t>在全乡的教育扶贫工作中，进行了政策宣传，做到“三个到位”：即适龄儿童就学逐个到位，建卡学生资助到位，送教上门落实到位。</w:t>
      </w:r>
      <w:r>
        <w:rPr>
          <w:rFonts w:hint="eastAsia" w:ascii="仿宋_GB2312" w:hAnsi="仿宋_GB2312" w:eastAsia="仿宋_GB2312" w:cs="仿宋_GB2312"/>
          <w:b/>
          <w:bCs/>
          <w:color w:val="auto"/>
          <w:sz w:val="32"/>
          <w:szCs w:val="32"/>
          <w:highlight w:val="none"/>
          <w:lang w:val="en-US" w:eastAsia="zh-CN"/>
        </w:rPr>
        <w:t>三是安全工作有保障。</w:t>
      </w:r>
      <w:r>
        <w:rPr>
          <w:rFonts w:hint="eastAsia" w:ascii="仿宋_GB2312" w:hAnsi="仿宋_GB2312" w:eastAsia="仿宋_GB2312" w:cs="仿宋_GB2312"/>
          <w:b w:val="0"/>
          <w:bCs w:val="0"/>
          <w:color w:val="auto"/>
          <w:sz w:val="32"/>
          <w:szCs w:val="32"/>
          <w:highlight w:val="none"/>
          <w:lang w:val="en-US" w:eastAsia="zh-CN"/>
        </w:rPr>
        <w:t>一如既往做好安全管理工作。</w:t>
      </w:r>
      <w:r>
        <w:rPr>
          <w:rFonts w:hint="eastAsia" w:ascii="仿宋_GB2312" w:hAnsi="仿宋_GB2312" w:eastAsia="仿宋_GB2312" w:cs="仿宋_GB2312"/>
          <w:color w:val="auto"/>
          <w:sz w:val="32"/>
          <w:szCs w:val="32"/>
          <w:highlight w:val="none"/>
          <w:lang w:val="en-US" w:eastAsia="zh-CN"/>
        </w:rPr>
        <w:t>建立起安全双预警机制。对校园各个风险点，落实到人头，对安全隐患，进行了大排查，大整改，确保校园师生平安。</w:t>
      </w:r>
      <w:r>
        <w:rPr>
          <w:rFonts w:hint="eastAsia" w:ascii="仿宋_GB2312" w:hAnsi="仿宋_GB2312" w:eastAsia="仿宋_GB2312" w:cs="仿宋_GB2312"/>
          <w:b/>
          <w:bCs/>
          <w:color w:val="auto"/>
          <w:sz w:val="32"/>
          <w:szCs w:val="32"/>
          <w:highlight w:val="none"/>
          <w:lang w:val="en-US" w:eastAsia="zh-CN"/>
        </w:rPr>
        <w:t>四是后勤服务有保障。</w:t>
      </w:r>
      <w:r>
        <w:rPr>
          <w:rFonts w:hint="eastAsia" w:ascii="仿宋_GB2312" w:hAnsi="仿宋_GB2312" w:eastAsia="仿宋_GB2312" w:cs="仿宋_GB2312"/>
          <w:color w:val="auto"/>
          <w:sz w:val="32"/>
          <w:szCs w:val="32"/>
          <w:highlight w:val="none"/>
          <w:lang w:val="en-US" w:eastAsia="zh-CN"/>
        </w:rPr>
        <w:t>严格落实义务教育阶段学生的配送工作，严格落实陪餐制度。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（三）改革机制，多元发展，提升质量。一是改革工作评价机制。</w:t>
      </w:r>
      <w:r>
        <w:rPr>
          <w:rFonts w:hint="eastAsia" w:ascii="仿宋_GB2312" w:hAnsi="仿宋_GB2312" w:eastAsia="仿宋_GB2312" w:cs="仿宋_GB2312"/>
          <w:b w:val="0"/>
          <w:bCs w:val="0"/>
          <w:color w:val="auto"/>
          <w:sz w:val="32"/>
          <w:szCs w:val="32"/>
          <w:highlight w:val="none"/>
          <w:lang w:val="en-US" w:eastAsia="zh-CN"/>
        </w:rPr>
        <w:t>对教师教育教学工作的评价，将原来的“扣分制”变为“挣分制”，由此催生教师内心动力。变“惩”为“奖”，切实提高了教</w:t>
      </w:r>
      <w:r>
        <w:rPr>
          <w:rFonts w:hint="eastAsia" w:ascii="仿宋_GB2312" w:hAnsi="仿宋_GB2312" w:eastAsia="仿宋_GB2312" w:cs="仿宋_GB2312"/>
          <w:color w:val="auto"/>
          <w:sz w:val="32"/>
          <w:szCs w:val="32"/>
          <w:highlight w:val="none"/>
          <w:lang w:val="en-US" w:eastAsia="zh-CN"/>
        </w:rPr>
        <w:t>师工作的积极性与主动性。加强青年教师的培养力度，实施“青蓝结对工程”，新入职教师“见面课”“月课”“半期课”“期末课”“年课”五堂课磨课活动，促使青年教师迅速成长。</w:t>
      </w:r>
      <w:r>
        <w:rPr>
          <w:rFonts w:hint="eastAsia" w:ascii="仿宋_GB2312" w:hAnsi="仿宋_GB2312" w:eastAsia="仿宋_GB2312" w:cs="仿宋_GB2312"/>
          <w:b/>
          <w:bCs/>
          <w:color w:val="auto"/>
          <w:sz w:val="32"/>
          <w:szCs w:val="32"/>
          <w:highlight w:val="none"/>
          <w:lang w:val="en-US" w:eastAsia="zh-CN"/>
        </w:rPr>
        <w:t>二是多元发展学生能力。</w:t>
      </w:r>
      <w:r>
        <w:rPr>
          <w:rFonts w:hint="eastAsia" w:ascii="仿宋_GB2312" w:hAnsi="仿宋_GB2312" w:eastAsia="仿宋_GB2312" w:cs="仿宋_GB2312"/>
          <w:color w:val="auto"/>
          <w:sz w:val="32"/>
          <w:szCs w:val="32"/>
          <w:highlight w:val="none"/>
          <w:lang w:val="en-US" w:eastAsia="zh-CN"/>
        </w:rPr>
        <w:t>开设了适合学生发展的社团活动，借力“乡村少年宫”，使学校社团活动扎实有效，有质量的开展。</w:t>
      </w:r>
      <w:r>
        <w:rPr>
          <w:rFonts w:hint="eastAsia" w:ascii="仿宋_GB2312" w:hAnsi="仿宋_GB2312" w:eastAsia="仿宋_GB2312" w:cs="仿宋_GB2312"/>
          <w:b/>
          <w:bCs/>
          <w:color w:val="auto"/>
          <w:sz w:val="32"/>
          <w:szCs w:val="32"/>
          <w:highlight w:val="none"/>
          <w:lang w:val="en-US" w:eastAsia="zh-CN"/>
        </w:rPr>
        <w:t>三是“五管”“双减”落实落地。</w:t>
      </w:r>
      <w:r>
        <w:rPr>
          <w:rFonts w:hint="eastAsia" w:ascii="仿宋_GB2312" w:hAnsi="仿宋_GB2312" w:eastAsia="仿宋_GB2312" w:cs="仿宋_GB2312"/>
          <w:b w:val="0"/>
          <w:bCs w:val="0"/>
          <w:color w:val="auto"/>
          <w:sz w:val="32"/>
          <w:szCs w:val="32"/>
          <w:highlight w:val="none"/>
          <w:lang w:val="en-US" w:eastAsia="zh-CN"/>
        </w:rPr>
        <w:t>按照上级有关要求，制定学校“五项管理”相关规定，严格学生睡眠、体质、读物、手机、作业的管理。严格执行“双减”下，“5+2”课后延时服务，加强各学段学生作业管理，做到按规定减少数量，不减弱质量的相关要求。</w:t>
      </w:r>
    </w:p>
    <w:p>
      <w:pPr>
        <w:widowControl/>
        <w:ind w:firstLine="643" w:firstLineChars="200"/>
        <w:jc w:val="left"/>
        <w:rPr>
          <w:rFonts w:ascii="仿宋" w:hAnsi="仿宋" w:eastAsia="仿宋"/>
          <w:color w:val="auto"/>
          <w:kern w:val="0"/>
          <w:sz w:val="32"/>
          <w:szCs w:val="32"/>
          <w:highlight w:val="none"/>
        </w:rPr>
      </w:pPr>
      <w:r>
        <w:rPr>
          <w:rFonts w:hint="eastAsia" w:ascii="仿宋_GB2312" w:hAnsi="仿宋_GB2312" w:eastAsia="仿宋_GB2312" w:cs="仿宋_GB2312"/>
          <w:b/>
          <w:bCs/>
          <w:color w:val="auto"/>
          <w:sz w:val="32"/>
          <w:szCs w:val="32"/>
          <w:highlight w:val="none"/>
          <w:lang w:val="en-US" w:eastAsia="zh-CN"/>
        </w:rPr>
        <w:t>（四）关爱师生，注重仪式，温度教育。一是工会组织。</w:t>
      </w:r>
      <w:r>
        <w:rPr>
          <w:rFonts w:hint="eastAsia" w:ascii="仿宋_GB2312" w:hAnsi="仿宋_GB2312" w:eastAsia="仿宋_GB2312" w:cs="仿宋_GB2312"/>
          <w:color w:val="auto"/>
          <w:sz w:val="32"/>
          <w:szCs w:val="32"/>
          <w:highlight w:val="none"/>
          <w:lang w:val="en-US" w:eastAsia="zh-CN"/>
        </w:rPr>
        <w:t>学校给老师集体过生日，为新教师举行入职第一个教师节座谈会，让老师们感受到学校这个大家庭的温暖。</w:t>
      </w:r>
      <w:r>
        <w:rPr>
          <w:rFonts w:hint="eastAsia" w:ascii="仿宋_GB2312" w:hAnsi="仿宋_GB2312" w:eastAsia="仿宋_GB2312" w:cs="仿宋_GB2312"/>
          <w:b/>
          <w:bCs/>
          <w:color w:val="auto"/>
          <w:sz w:val="32"/>
          <w:szCs w:val="32"/>
          <w:highlight w:val="none"/>
          <w:lang w:val="en-US" w:eastAsia="zh-CN"/>
        </w:rPr>
        <w:t>二是关爱留守。</w:t>
      </w:r>
      <w:r>
        <w:rPr>
          <w:rFonts w:hint="eastAsia" w:ascii="仿宋_GB2312" w:hAnsi="仿宋_GB2312" w:eastAsia="仿宋_GB2312" w:cs="仿宋_GB2312"/>
          <w:b w:val="0"/>
          <w:bCs w:val="0"/>
          <w:color w:val="auto"/>
          <w:sz w:val="32"/>
          <w:szCs w:val="32"/>
          <w:highlight w:val="none"/>
          <w:lang w:val="en-US" w:eastAsia="zh-CN"/>
        </w:rPr>
        <w:t>利用亲情卡，让留守儿童能够及时与父母沟通，情感交流。老师们对留守儿童关爱有加，让孩子们真正体会到了“老师如父母”，让他们心里充满温暖，健康成长。</w:t>
      </w:r>
    </w:p>
    <w:p>
      <w:pPr>
        <w:pStyle w:val="2"/>
        <w:rPr>
          <w:color w:val="auto"/>
          <w:highlight w:val="none"/>
        </w:rPr>
      </w:pPr>
    </w:p>
    <w:p>
      <w:pPr>
        <w:rPr>
          <w:rFonts w:hint="eastAsia" w:ascii="黑体" w:hAnsi="黑体" w:eastAsia="黑体"/>
          <w:b w:val="0"/>
          <w:color w:val="auto"/>
          <w:highlight w:val="none"/>
        </w:rPr>
      </w:pPr>
      <w:bookmarkStart w:id="16" w:name="_Toc15396602"/>
      <w:bookmarkStart w:id="17" w:name="_Toc15377204"/>
      <w:r>
        <w:rPr>
          <w:rFonts w:hint="eastAsia" w:ascii="黑体" w:hAnsi="黑体" w:eastAsia="黑体"/>
          <w:b w:val="0"/>
          <w:color w:val="auto"/>
          <w:highlight w:val="none"/>
        </w:rPr>
        <w:br w:type="page"/>
      </w:r>
    </w:p>
    <w:p>
      <w:pPr>
        <w:pStyle w:val="4"/>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pPr>
        <w:rPr>
          <w:color w:val="auto"/>
          <w:highlight w:val="none"/>
        </w:rPr>
      </w:pP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634.38</w:t>
      </w:r>
      <w:r>
        <w:rPr>
          <w:rFonts w:hint="eastAsia" w:ascii="仿宋" w:hAnsi="仿宋" w:eastAsia="仿宋"/>
          <w:color w:val="auto"/>
          <w:sz w:val="32"/>
          <w:szCs w:val="32"/>
          <w:highlight w:val="none"/>
        </w:rPr>
        <w:t>万元。与2020年相比，收、支总计各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2.23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0.35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人员减少</w:t>
      </w:r>
      <w:r>
        <w:rPr>
          <w:rFonts w:hint="eastAsia" w:ascii="仿宋" w:hAnsi="仿宋" w:eastAsia="仿宋"/>
          <w:color w:val="auto"/>
          <w:sz w:val="32"/>
          <w:szCs w:val="32"/>
          <w:highlight w:val="none"/>
        </w:rPr>
        <w:t>。</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59264" behindDoc="0" locked="0" layoutInCell="1" allowOverlap="1">
            <wp:simplePos x="0" y="0"/>
            <wp:positionH relativeFrom="column">
              <wp:posOffset>52705</wp:posOffset>
            </wp:positionH>
            <wp:positionV relativeFrom="paragraph">
              <wp:posOffset>22860</wp:posOffset>
            </wp:positionV>
            <wp:extent cx="5241290" cy="2096770"/>
            <wp:effectExtent l="4445" t="4445" r="12065" b="1333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634.38</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634.38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-38100</wp:posOffset>
            </wp:positionH>
            <wp:positionV relativeFrom="paragraph">
              <wp:posOffset>27305</wp:posOffset>
            </wp:positionV>
            <wp:extent cx="5584825" cy="2684780"/>
            <wp:effectExtent l="5080" t="4445" r="10795" b="1587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
        <w:ind w:left="0" w:leftChars="0" w:firstLine="640" w:firstLineChars="200"/>
        <w:rPr>
          <w:rStyle w:val="30"/>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634.38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367.90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76.49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266.48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23.51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4" w:name="_Toc15396606"/>
      <w:bookmarkStart w:id="25" w:name="_Toc15377208"/>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23495</wp:posOffset>
            </wp:positionH>
            <wp:positionV relativeFrom="paragraph">
              <wp:posOffset>189230</wp:posOffset>
            </wp:positionV>
            <wp:extent cx="5080000" cy="2781300"/>
            <wp:effectExtent l="4445" t="4445" r="20955" b="1460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pPr>
        <w:spacing w:line="600" w:lineRule="exact"/>
        <w:ind w:firstLine="420" w:firstLineChars="200"/>
        <w:outlineLvl w:val="1"/>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-14605</wp:posOffset>
            </wp:positionH>
            <wp:positionV relativeFrom="paragraph">
              <wp:posOffset>1256030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634.38</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2.23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0.35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人员减少</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632.90</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99.77</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636.61</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3.711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0.58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人员减少</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3360"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632.90</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632.90</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8460"/>
      <w:bookmarkStart w:id="32" w:name="_Toc15377213"/>
      <w:bookmarkStart w:id="33" w:name="_Toc15377444"/>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632.90</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366.17</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教育205（类）普通教育02（款）</w:t>
      </w:r>
      <w:r>
        <w:rPr>
          <w:rStyle w:val="19"/>
          <w:rFonts w:hint="eastAsia" w:ascii="仿宋" w:hAnsi="仿宋" w:eastAsia="仿宋"/>
          <w:bCs/>
          <w:color w:val="auto"/>
          <w:sz w:val="32"/>
          <w:szCs w:val="32"/>
          <w:highlight w:val="none"/>
          <w:lang w:eastAsia="zh-CN"/>
        </w:rPr>
        <w:t>其他普通</w:t>
      </w:r>
      <w:r>
        <w:rPr>
          <w:rStyle w:val="19"/>
          <w:rFonts w:hint="eastAsia" w:ascii="仿宋" w:hAnsi="仿宋" w:eastAsia="仿宋"/>
          <w:bCs/>
          <w:color w:val="auto"/>
          <w:sz w:val="32"/>
          <w:szCs w:val="32"/>
          <w:highlight w:val="none"/>
        </w:rPr>
        <w:t>教育</w:t>
      </w:r>
      <w:r>
        <w:rPr>
          <w:rStyle w:val="19"/>
          <w:rFonts w:hint="eastAsia" w:ascii="仿宋" w:hAnsi="仿宋" w:eastAsia="仿宋"/>
          <w:bCs/>
          <w:color w:val="auto"/>
          <w:sz w:val="32"/>
          <w:szCs w:val="32"/>
          <w:highlight w:val="none"/>
          <w:lang w:eastAsia="zh-CN"/>
        </w:rPr>
        <w:t>支出</w:t>
      </w:r>
      <w:r>
        <w:rPr>
          <w:rStyle w:val="19"/>
          <w:rFonts w:hint="eastAsia" w:ascii="仿宋" w:hAnsi="仿宋" w:eastAsia="仿宋"/>
          <w:bCs/>
          <w:color w:val="auto"/>
          <w:sz w:val="32"/>
          <w:szCs w:val="32"/>
          <w:highlight w:val="none"/>
        </w:rPr>
        <w:t>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265</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3</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社会保障和就业</w:t>
      </w:r>
      <w:r>
        <w:rPr>
          <w:rStyle w:val="19"/>
          <w:rFonts w:hint="eastAsia" w:ascii="仿宋" w:hAnsi="仿宋" w:eastAsia="仿宋"/>
          <w:bCs/>
          <w:color w:val="auto"/>
          <w:sz w:val="32"/>
          <w:szCs w:val="32"/>
          <w:highlight w:val="none"/>
        </w:rPr>
        <w:t>20</w:t>
      </w: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eastAsia="zh-CN"/>
        </w:rPr>
        <w:t>抚恤</w:t>
      </w:r>
      <w:r>
        <w:rPr>
          <w:rStyle w:val="19"/>
          <w:rFonts w:hint="eastAsia" w:ascii="仿宋" w:hAnsi="仿宋" w:eastAsia="仿宋"/>
          <w:bCs/>
          <w:color w:val="auto"/>
          <w:sz w:val="32"/>
          <w:szCs w:val="32"/>
          <w:highlight w:val="none"/>
        </w:rPr>
        <w:t>0</w:t>
      </w: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死亡抚恤</w:t>
      </w:r>
      <w:r>
        <w:rPr>
          <w:rStyle w:val="19"/>
          <w:rFonts w:hint="eastAsia" w:ascii="仿宋" w:hAnsi="仿宋" w:eastAsia="仿宋"/>
          <w:bCs/>
          <w:color w:val="auto"/>
          <w:sz w:val="32"/>
          <w:szCs w:val="32"/>
          <w:highlight w:val="none"/>
        </w:rPr>
        <w:t>0</w:t>
      </w:r>
      <w:r>
        <w:rPr>
          <w:rStyle w:val="19"/>
          <w:rFonts w:hint="eastAsia" w:ascii="仿宋" w:hAnsi="仿宋" w:eastAsia="仿宋"/>
          <w:bCs/>
          <w:color w:val="auto"/>
          <w:sz w:val="32"/>
          <w:szCs w:val="32"/>
          <w:highlight w:val="none"/>
          <w:lang w:val="en-US" w:eastAsia="zh-CN"/>
        </w:rPr>
        <w:t>1</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1.73</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2"/>
        <w:rPr>
          <w:color w:val="auto"/>
          <w:highlight w:val="none"/>
        </w:rPr>
      </w:pPr>
    </w:p>
    <w:p>
      <w:pPr>
        <w:tabs>
          <w:tab w:val="right" w:pos="8306"/>
        </w:tabs>
        <w:spacing w:line="600" w:lineRule="exact"/>
        <w:ind w:firstLine="640"/>
        <w:outlineLvl w:val="1"/>
        <w:rPr>
          <w:rStyle w:val="30"/>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367.90</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333.34</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w:t>
      </w:r>
      <w:r>
        <w:rPr>
          <w:rFonts w:hint="eastAsia" w:ascii="仿宋" w:hAnsi="仿宋" w:eastAsia="仿宋"/>
          <w:color w:val="auto"/>
          <w:sz w:val="32"/>
          <w:szCs w:val="32"/>
          <w:highlight w:val="none"/>
          <w:lang w:eastAsia="zh-CN"/>
        </w:rPr>
        <w:t>抚恤金、</w:t>
      </w:r>
      <w:r>
        <w:rPr>
          <w:rFonts w:hint="eastAsia" w:ascii="仿宋" w:hAnsi="仿宋" w:eastAsia="仿宋"/>
          <w:color w:val="auto"/>
          <w:sz w:val="32"/>
          <w:szCs w:val="32"/>
          <w:highlight w:val="none"/>
        </w:rPr>
        <w:t>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奖励金、住房公积金、其他对个人和家庭的补助支出等。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34.56</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0"/>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0.56</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3.33</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0.56</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0.56</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3.33</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0.02</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3.45</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ascii="仿宋" w:hAnsi="仿宋" w:eastAsia="仿宋"/>
          <w:color w:val="auto"/>
          <w:sz w:val="32"/>
          <w:szCs w:val="32"/>
          <w:highlight w:val="none"/>
          <w:lang w:val="en-US" w:eastAsia="zh-CN"/>
        </w:rPr>
        <w:t>0.56</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30</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116</w:t>
      </w:r>
      <w:r>
        <w:rPr>
          <w:rFonts w:hint="default" w:ascii="Times New Roman" w:hAnsi="Times New Roman" w:eastAsia="仿宋" w:cs="Times New Roman"/>
          <w:color w:val="auto"/>
          <w:sz w:val="32"/>
          <w:szCs w:val="32"/>
          <w:highlight w:val="none"/>
        </w:rPr>
        <w:t>人次（不包括陪同人员），共计支出</w:t>
      </w:r>
      <w:r>
        <w:rPr>
          <w:rFonts w:hint="eastAsia" w:ascii="仿宋" w:hAnsi="仿宋" w:eastAsia="仿宋"/>
          <w:color w:val="auto"/>
          <w:sz w:val="32"/>
          <w:szCs w:val="32"/>
          <w:highlight w:val="none"/>
          <w:lang w:val="en-US" w:eastAsia="zh-CN"/>
        </w:rPr>
        <w:t>0.560</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0.21万元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交流0.35万元</w:t>
      </w:r>
      <w:r>
        <w:rPr>
          <w:rFonts w:hint="eastAsia" w:ascii="仿宋_GB2312" w:eastAsia="仿宋_GB2312"/>
          <w:color w:val="auto"/>
          <w:sz w:val="32"/>
          <w:szCs w:val="32"/>
          <w:highlight w:val="none"/>
          <w:lang w:val="en-US" w:eastAsia="zh-CN"/>
        </w:rPr>
        <w:t>。</w:t>
      </w:r>
    </w:p>
    <w:p>
      <w:pPr>
        <w:spacing w:line="600" w:lineRule="exact"/>
        <w:ind w:firstLine="640" w:firstLineChars="200"/>
        <w:rPr>
          <w:rFonts w:ascii="黑体" w:eastAsia="黑体"/>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bookmarkStart w:id="40" w:name="_Toc15396610"/>
      <w:bookmarkStart w:id="41" w:name="_Toc15377218"/>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1.48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r>
        <w:rPr>
          <w:rFonts w:hint="eastAsia" w:ascii="仿宋_GB2312" w:eastAsia="仿宋_GB2312"/>
          <w:color w:val="auto"/>
          <w:sz w:val="32"/>
          <w:szCs w:val="32"/>
          <w:highlight w:val="none"/>
        </w:rPr>
        <w:t>。</w:t>
      </w:r>
    </w:p>
    <w:p>
      <w:pPr>
        <w:numPr>
          <w:ilvl w:val="0"/>
          <w:numId w:val="3"/>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4" w:name="_Toc15396612"/>
      <w:bookmarkStart w:id="45" w:name="_Toc15377221"/>
      <w:r>
        <w:rPr>
          <w:rStyle w:val="30"/>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w:t>
      </w:r>
      <w:r>
        <w:rPr>
          <w:rFonts w:hint="eastAsia" w:ascii="仿宋_GB2312" w:hAnsi="仿宋_GB2312" w:eastAsia="仿宋_GB2312" w:cs="仿宋_GB2312"/>
          <w:color w:val="auto"/>
          <w:sz w:val="32"/>
          <w:szCs w:val="32"/>
          <w:highlight w:val="none"/>
          <w:lang w:eastAsia="zh-CN"/>
        </w:rPr>
        <w:t>校舍安全</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w:t>
      </w:r>
      <w:r>
        <w:rPr>
          <w:color w:val="auto"/>
          <w:highlight w:val="none"/>
        </w:rPr>
        <w:commentReference w:id="0"/>
      </w:r>
      <w:r>
        <w:rPr>
          <w:rFonts w:hint="eastAsia" w:ascii="仿宋_GB2312" w:hAnsi="仿宋_GB2312" w:eastAsia="仿宋_GB2312" w:cs="仿宋_GB2312"/>
          <w:color w:val="auto"/>
          <w:sz w:val="32"/>
          <w:szCs w:val="32"/>
          <w:highlight w:val="none"/>
        </w:rPr>
        <w:t>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9"/>
        <w:spacing w:before="93"/>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w:t>
      </w:r>
      <w:r>
        <w:rPr>
          <w:rFonts w:hint="eastAsia" w:ascii="仿宋_GB2312" w:hAnsi="Times New Roman" w:eastAsia="仿宋_GB2312" w:cs="仿宋_GB2312"/>
          <w:color w:val="auto"/>
          <w:kern w:val="2"/>
          <w:sz w:val="32"/>
          <w:szCs w:val="32"/>
          <w:highlight w:val="none"/>
          <w:lang w:val="en-US" w:eastAsia="zh-CN" w:bidi="ar"/>
        </w:rPr>
        <w:t>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9"/>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9"/>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w:t>
      </w:r>
      <w:r>
        <w:rPr>
          <w:rFonts w:hint="eastAsia" w:ascii="仿宋_GB2312" w:eastAsia="仿宋_GB2312"/>
          <w:color w:val="auto"/>
          <w:sz w:val="32"/>
          <w:szCs w:val="32"/>
          <w:highlight w:val="none"/>
          <w:lang w:eastAsia="zh-CN"/>
        </w:rPr>
        <w:t>其他普通</w:t>
      </w:r>
      <w:r>
        <w:rPr>
          <w:rFonts w:hint="eastAsia" w:ascii="仿宋_GB2312" w:eastAsia="仿宋_GB2312"/>
          <w:color w:val="auto"/>
          <w:sz w:val="32"/>
          <w:szCs w:val="32"/>
          <w:highlight w:val="none"/>
        </w:rPr>
        <w:t>教育（款）</w:t>
      </w:r>
      <w:r>
        <w:rPr>
          <w:rFonts w:hint="eastAsia" w:ascii="仿宋_GB2312" w:eastAsia="仿宋_GB2312"/>
          <w:color w:val="auto"/>
          <w:sz w:val="32"/>
          <w:szCs w:val="32"/>
          <w:highlight w:val="none"/>
          <w:lang w:eastAsia="zh-CN"/>
        </w:rPr>
        <w:t>其他普通</w:t>
      </w:r>
      <w:r>
        <w:rPr>
          <w:rFonts w:hint="eastAsia" w:ascii="仿宋_GB2312" w:eastAsia="仿宋_GB2312"/>
          <w:color w:val="auto"/>
          <w:sz w:val="32"/>
          <w:szCs w:val="32"/>
          <w:highlight w:val="none"/>
        </w:rPr>
        <w:t>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（项）：其他教育费附加安排。</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w:t>
      </w:r>
      <w:r>
        <w:rPr>
          <w:rFonts w:hint="eastAsia" w:ascii="仿宋_GB2312" w:eastAsia="仿宋_GB2312"/>
          <w:color w:val="auto"/>
          <w:sz w:val="32"/>
          <w:szCs w:val="32"/>
          <w:highlight w:val="none"/>
          <w:lang w:eastAsia="zh-CN"/>
        </w:rPr>
        <w:t>社会保障和就业</w:t>
      </w:r>
      <w:r>
        <w:rPr>
          <w:rFonts w:hint="eastAsia" w:ascii="仿宋_GB2312" w:hAnsi="Calibri" w:eastAsia="仿宋_GB2312" w:cs="仿宋"/>
          <w:color w:val="auto"/>
          <w:kern w:val="0"/>
          <w:sz w:val="32"/>
          <w:szCs w:val="32"/>
          <w:highlight w:val="none"/>
          <w:lang w:val="en-US" w:eastAsia="zh-CN" w:bidi="ar-SA"/>
        </w:rPr>
        <w:t>（类）抚恤（款）死亡抚恤（项）：指</w:t>
      </w:r>
      <w:r>
        <w:rPr>
          <w:rFonts w:hint="eastAsia" w:ascii="仿宋_GB2312" w:hAnsi="Calibri" w:eastAsia="仿宋_GB2312" w:cs="仿宋"/>
          <w:color w:val="auto"/>
          <w:kern w:val="0"/>
          <w:sz w:val="32"/>
          <w:szCs w:val="32"/>
          <w:highlight w:val="none"/>
          <w:lang w:val="en-US" w:eastAsia="zh-CN"/>
        </w:rPr>
        <w:t>用于</w:t>
      </w:r>
      <w:r>
        <w:rPr>
          <w:rFonts w:hint="eastAsia" w:ascii="仿宋_GB2312" w:hAnsi="Calibri" w:eastAsia="仿宋_GB2312" w:cs="仿宋"/>
          <w:color w:val="auto"/>
          <w:kern w:val="0"/>
          <w:sz w:val="32"/>
          <w:szCs w:val="32"/>
          <w:highlight w:val="none"/>
          <w:lang w:val="en-US" w:eastAsia="zh-CN" w:bidi="ar-SA"/>
        </w:rPr>
        <w:t>死亡抚恤</w:t>
      </w:r>
      <w:r>
        <w:rPr>
          <w:rFonts w:hint="eastAsia" w:ascii="仿宋_GB2312" w:hAnsi="Calibri" w:eastAsia="仿宋_GB2312" w:cs="仿宋"/>
          <w:color w:val="auto"/>
          <w:kern w:val="0"/>
          <w:sz w:val="32"/>
          <w:szCs w:val="32"/>
          <w:highlight w:val="none"/>
          <w:lang w:val="en-US" w:eastAsia="zh-CN"/>
        </w:rPr>
        <w:t>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pPr>
        <w:pStyle w:val="2"/>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pPr>
        <w:pStyle w:val="9"/>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9"/>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（校舍安全）</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18"/>
                <w:szCs w:val="18"/>
                <w:highlight w:val="none"/>
                <w:lang w:eastAsia="zh-CN"/>
              </w:rPr>
              <w:t>广元市昭化区王家镇小学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250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250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250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250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校舍</w:t>
            </w:r>
            <w:r>
              <w:rPr>
                <w:rFonts w:hint="eastAsia" w:ascii="宋体" w:hAnsi="宋体" w:cs="宋体"/>
                <w:color w:val="auto"/>
                <w:sz w:val="22"/>
                <w:szCs w:val="22"/>
                <w:highlight w:val="none"/>
                <w:lang w:eastAsia="zh-CN"/>
              </w:rPr>
              <w:t>维修面积</w:t>
            </w:r>
            <w:r>
              <w:rPr>
                <w:rFonts w:hint="eastAsia" w:ascii="宋体" w:hAnsi="宋体" w:cs="宋体"/>
                <w:color w:val="auto"/>
                <w:sz w:val="22"/>
                <w:szCs w:val="22"/>
                <w:highlight w:val="none"/>
                <w:lang w:val="en-US" w:eastAsia="zh-CN"/>
              </w:rPr>
              <w:t>3200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完成</w:t>
            </w:r>
            <w:r>
              <w:rPr>
                <w:rFonts w:hint="eastAsia" w:ascii="宋体" w:hAnsi="宋体" w:cs="宋体"/>
                <w:color w:val="auto"/>
                <w:sz w:val="22"/>
                <w:szCs w:val="22"/>
                <w:highlight w:val="none"/>
                <w:lang w:val="en-US" w:eastAsia="zh-CN"/>
              </w:rPr>
              <w:t>3200</w:t>
            </w:r>
            <w:r>
              <w:rPr>
                <w:rFonts w:hint="default" w:ascii="宋体" w:hAnsi="宋体" w:cs="宋体"/>
                <w:color w:val="auto"/>
                <w:sz w:val="22"/>
                <w:szCs w:val="22"/>
                <w:highlight w:val="none"/>
              </w:rPr>
              <w:t>平方米</w:t>
            </w:r>
            <w:r>
              <w:rPr>
                <w:rFonts w:hint="eastAsia" w:ascii="宋体" w:hAnsi="宋体" w:cs="宋体"/>
                <w:color w:val="auto"/>
                <w:sz w:val="22"/>
                <w:szCs w:val="22"/>
                <w:highlight w:val="none"/>
                <w:lang w:eastAsia="zh-CN"/>
              </w:rPr>
              <w:t>的校舍维修，</w:t>
            </w:r>
            <w:r>
              <w:rPr>
                <w:rFonts w:hint="default" w:ascii="宋体" w:hAnsi="宋体" w:cs="宋体"/>
                <w:color w:val="auto"/>
                <w:sz w:val="22"/>
                <w:szCs w:val="22"/>
                <w:highlight w:val="none"/>
              </w:rPr>
              <w:t>改善</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学校办学条件和基础设施配套，提供</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高质量硬件设施设备，营造</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良好的学习氛围</w:t>
            </w:r>
            <w:r>
              <w:rPr>
                <w:rFonts w:hint="eastAsia" w:ascii="宋体" w:hAnsi="宋体" w:cs="宋体"/>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3200m²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3200m²</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w:t>
            </w:r>
            <w:r>
              <w:rPr>
                <w:rFonts w:hint="default" w:ascii="仿宋_GB2312" w:hAnsi="仿宋_GB2312" w:eastAsia="仿宋_GB2312" w:cs="仿宋_GB2312"/>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781元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pPr>
        <w:pStyle w:val="5"/>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pPr>
        <w:pStyle w:val="5"/>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pPr>
        <w:pStyle w:val="5"/>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pPr>
        <w:pStyle w:val="5"/>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pPr>
        <w:pStyle w:val="5"/>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pPr>
        <w:pStyle w:val="5"/>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pPr>
        <w:pStyle w:val="5"/>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pPr>
        <w:pStyle w:val="5"/>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pPr>
        <w:pStyle w:val="5"/>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pPr>
        <w:pStyle w:val="5"/>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pPr>
        <w:pStyle w:val="5"/>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pPr>
        <w:pStyle w:val="5"/>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pPr>
        <w:pStyle w:val="5"/>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佳" w:date="2022-09-27T14:40:55Z" w:initials="佳">
    <w:p w14:paraId="5DD966E9">
      <w:pPr>
        <w:pStyle w:val="7"/>
        <w:rPr>
          <w:rFonts w:hint="default" w:eastAsia="仿宋_GB2312"/>
          <w:lang w:val="en-US" w:eastAsia="zh-CN"/>
        </w:rPr>
      </w:pPr>
      <w:r>
        <w:rPr>
          <w:rFonts w:hint="eastAsia" w:ascii="仿宋_GB2312" w:hAnsi="仿宋_GB2312" w:eastAsia="仿宋_GB2312" w:cs="仿宋_GB2312"/>
          <w:sz w:val="32"/>
          <w:szCs w:val="32"/>
          <w:highlight w:val="yellow"/>
        </w:rPr>
        <w:t>根据预算绩效管理要求，本单位在2021年度预算编制阶段，</w:t>
      </w:r>
      <w:r>
        <w:rPr>
          <w:rFonts w:hint="eastAsia" w:ascii="仿宋_GB2312" w:hAnsi="仿宋_GB2312" w:eastAsia="仿宋_GB2312" w:cs="仿宋_GB2312"/>
          <w:sz w:val="32"/>
          <w:szCs w:val="32"/>
          <w:highlight w:val="yellow"/>
          <w:lang w:val="en-US" w:eastAsia="zh-CN"/>
        </w:rPr>
        <w:t>不涉及事前评估项目，对   几个（）重点基本支出）编制了绩效目标，在</w:t>
      </w:r>
      <w:r>
        <w:rPr>
          <w:rFonts w:hint="eastAsia" w:ascii="仿宋_GB2312" w:hAnsi="仿宋_GB2312" w:eastAsia="仿宋_GB2312" w:cs="仿宋_GB2312"/>
          <w:sz w:val="32"/>
          <w:szCs w:val="32"/>
          <w:highlight w:val="yellow"/>
        </w:rPr>
        <w:t>预算执行过程中，</w:t>
      </w:r>
      <w:r>
        <w:rPr>
          <w:rFonts w:hint="eastAsia" w:ascii="仿宋_GB2312" w:hAnsi="仿宋_GB2312" w:eastAsia="仿宋_GB2312" w:cs="仿宋_GB2312"/>
          <w:sz w:val="32"/>
          <w:szCs w:val="32"/>
          <w:highlight w:val="yellow"/>
          <w:lang w:val="en-US" w:eastAsia="zh-CN"/>
        </w:rPr>
        <w:t>对  开展了绩效自评，</w:t>
      </w:r>
      <w:r>
        <w:rPr>
          <w:rFonts w:hint="eastAsia" w:ascii="仿宋_GB2312" w:hAnsi="仿宋_GB2312" w:eastAsia="仿宋_GB2312" w:cs="仿宋_GB2312"/>
          <w:sz w:val="32"/>
          <w:szCs w:val="32"/>
          <w:highlight w:val="yellow"/>
        </w:rPr>
        <w:t>2021年部门预算项目绩效目标自评表见主管单位附件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DD966E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2"/>
          <w:jc w:val="center"/>
        </w:pPr>
        <w:r>
          <w:fldChar w:fldCharType="begin"/>
        </w:r>
        <w:r>
          <w:instrText xml:space="preserve">PAGE   \* MERGEFORMAT</w:instrText>
        </w:r>
        <w:r>
          <w:fldChar w:fldCharType="separate"/>
        </w:r>
        <w:r>
          <w:rPr>
            <w:lang w:val="zh-CN"/>
          </w:rPr>
          <w:t>12</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佳">
    <w15:presenceInfo w15:providerId="None" w15:userId="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2A35F7"/>
    <w:rsid w:val="0A2032A3"/>
    <w:rsid w:val="0B8A37D8"/>
    <w:rsid w:val="0EC71F0D"/>
    <w:rsid w:val="10C055FF"/>
    <w:rsid w:val="112C7A85"/>
    <w:rsid w:val="118107EC"/>
    <w:rsid w:val="11DD6519"/>
    <w:rsid w:val="12910332"/>
    <w:rsid w:val="157E27B0"/>
    <w:rsid w:val="16BB723D"/>
    <w:rsid w:val="16C509A8"/>
    <w:rsid w:val="177D300F"/>
    <w:rsid w:val="18015F3F"/>
    <w:rsid w:val="1BE8440E"/>
    <w:rsid w:val="1D155CEE"/>
    <w:rsid w:val="20F57F95"/>
    <w:rsid w:val="23066A21"/>
    <w:rsid w:val="240371BF"/>
    <w:rsid w:val="24D54B4E"/>
    <w:rsid w:val="25C741E6"/>
    <w:rsid w:val="27842671"/>
    <w:rsid w:val="291623AF"/>
    <w:rsid w:val="29FD04D3"/>
    <w:rsid w:val="2ABE7A3E"/>
    <w:rsid w:val="2BAE4DE0"/>
    <w:rsid w:val="2C0D4D5A"/>
    <w:rsid w:val="2EFA178C"/>
    <w:rsid w:val="30B46D73"/>
    <w:rsid w:val="319F7F4E"/>
    <w:rsid w:val="32E05DEF"/>
    <w:rsid w:val="353C0D20"/>
    <w:rsid w:val="39AE70AB"/>
    <w:rsid w:val="3C0C0783"/>
    <w:rsid w:val="3C6A3D54"/>
    <w:rsid w:val="3D463467"/>
    <w:rsid w:val="3F795B0E"/>
    <w:rsid w:val="3F9F3A96"/>
    <w:rsid w:val="450E426D"/>
    <w:rsid w:val="493C27E9"/>
    <w:rsid w:val="496F39ED"/>
    <w:rsid w:val="49FF41D3"/>
    <w:rsid w:val="4A185DC8"/>
    <w:rsid w:val="4BE068DB"/>
    <w:rsid w:val="4BF6002B"/>
    <w:rsid w:val="4ECE2238"/>
    <w:rsid w:val="4FD61684"/>
    <w:rsid w:val="503645ED"/>
    <w:rsid w:val="508F3649"/>
    <w:rsid w:val="51DB4B86"/>
    <w:rsid w:val="52FB5859"/>
    <w:rsid w:val="55333C3E"/>
    <w:rsid w:val="57C55C52"/>
    <w:rsid w:val="58737E60"/>
    <w:rsid w:val="5EEF25B2"/>
    <w:rsid w:val="64A80084"/>
    <w:rsid w:val="64CA39A1"/>
    <w:rsid w:val="65B126BB"/>
    <w:rsid w:val="6C4A05C8"/>
    <w:rsid w:val="6C6E6699"/>
    <w:rsid w:val="6EDA0CDC"/>
    <w:rsid w:val="72734D90"/>
    <w:rsid w:val="727D7081"/>
    <w:rsid w:val="72E456B5"/>
    <w:rsid w:val="735843A0"/>
    <w:rsid w:val="74E366CA"/>
    <w:rsid w:val="79E7B28D"/>
    <w:rsid w:val="7AC82E51"/>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link w:val="39"/>
    <w:qFormat/>
    <w:uiPriority w:val="99"/>
    <w:pPr>
      <w:ind w:firstLine="420" w:firstLineChars="200"/>
    </w:pPr>
  </w:style>
  <w:style w:type="paragraph" w:styleId="3">
    <w:name w:val="Body Text Indent"/>
    <w:basedOn w:val="1"/>
    <w:link w:val="38"/>
    <w:qFormat/>
    <w:uiPriority w:val="99"/>
    <w:pPr>
      <w:ind w:left="420" w:leftChars="200"/>
    </w:pPr>
  </w:style>
  <w:style w:type="paragraph" w:styleId="7">
    <w:name w:val="annotation text"/>
    <w:basedOn w:val="1"/>
    <w:semiHidden/>
    <w:unhideWhenUsed/>
    <w:qFormat/>
    <w:uiPriority w:val="99"/>
    <w:pPr>
      <w:jc w:val="left"/>
    </w:pPr>
  </w:style>
  <w:style w:type="paragraph" w:styleId="8">
    <w:name w:val="Salutation"/>
    <w:basedOn w:val="1"/>
    <w:next w:val="1"/>
    <w:qFormat/>
    <w:uiPriority w:val="99"/>
  </w:style>
  <w:style w:type="paragraph" w:styleId="9">
    <w:name w:val="Body Text"/>
    <w:basedOn w:val="1"/>
    <w:link w:val="37"/>
    <w:qFormat/>
    <w:uiPriority w:val="99"/>
    <w:pPr>
      <w:spacing w:beforeLines="30"/>
    </w:pPr>
    <w:rPr>
      <w:rFonts w:ascii="仿宋_GB2312" w:eastAsia="仿宋_GB2312"/>
      <w:kern w:val="0"/>
      <w:sz w:val="30"/>
    </w:r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2"/>
    <w:semiHidden/>
    <w:unhideWhenUsed/>
    <w:qFormat/>
    <w:uiPriority w:val="99"/>
    <w:rPr>
      <w:sz w:val="18"/>
      <w:szCs w:val="18"/>
    </w:rPr>
  </w:style>
  <w:style w:type="paragraph" w:styleId="12">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rPr>
      <w:sz w:val="24"/>
    </w:r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3"/>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2"/>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9"/>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4"/>
    <w:qFormat/>
    <w:uiPriority w:val="9"/>
    <w:rPr>
      <w:rFonts w:ascii="Times New Roman" w:hAnsi="Times New Roman"/>
      <w:b/>
      <w:bCs/>
      <w:kern w:val="44"/>
      <w:sz w:val="44"/>
      <w:szCs w:val="44"/>
    </w:rPr>
  </w:style>
  <w:style w:type="character" w:customStyle="1" w:styleId="30">
    <w:name w:val="标题 2 Char"/>
    <w:basedOn w:val="18"/>
    <w:link w:val="5"/>
    <w:qFormat/>
    <w:uiPriority w:val="9"/>
    <w:rPr>
      <w:rFonts w:asciiTheme="majorHAnsi" w:hAnsiTheme="majorHAnsi" w:eastAsiaTheme="majorEastAsia" w:cstheme="majorBidi"/>
      <w:b/>
      <w:bCs/>
      <w:kern w:val="2"/>
      <w:sz w:val="32"/>
      <w:szCs w:val="32"/>
    </w:rPr>
  </w:style>
  <w:style w:type="paragraph" w:customStyle="1" w:styleId="31">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1"/>
    <w:semiHidden/>
    <w:qFormat/>
    <w:uiPriority w:val="99"/>
    <w:rPr>
      <w:rFonts w:ascii="Times New Roman" w:hAnsi="Times New Roman"/>
      <w:kern w:val="2"/>
      <w:sz w:val="18"/>
      <w:szCs w:val="18"/>
    </w:rPr>
  </w:style>
  <w:style w:type="character" w:customStyle="1" w:styleId="33">
    <w:name w:val="标题 3 Char"/>
    <w:basedOn w:val="18"/>
    <w:link w:val="6"/>
    <w:qFormat/>
    <w:uiPriority w:val="9"/>
    <w:rPr>
      <w:rFonts w:ascii="Times New Roman" w:hAnsi="Times New Roman"/>
      <w:b/>
      <w:bCs/>
      <w:kern w:val="2"/>
      <w:sz w:val="32"/>
      <w:szCs w:val="32"/>
    </w:rPr>
  </w:style>
  <w:style w:type="paragraph" w:customStyle="1" w:styleId="34">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5"/>
    <w:qFormat/>
    <w:uiPriority w:val="0"/>
    <w:rPr>
      <w:rFonts w:ascii="等线 Light" w:hAnsi="等线 Light" w:eastAsia="等线 Light" w:cs="Times New Roman"/>
      <w:b/>
      <w:bCs/>
      <w:kern w:val="2"/>
      <w:sz w:val="32"/>
      <w:szCs w:val="32"/>
    </w:rPr>
  </w:style>
  <w:style w:type="character" w:customStyle="1" w:styleId="37">
    <w:name w:val="正文文本 Char1"/>
    <w:basedOn w:val="18"/>
    <w:link w:val="9"/>
    <w:qFormat/>
    <w:uiPriority w:val="0"/>
    <w:rPr>
      <w:rFonts w:hint="eastAsia" w:ascii="仿宋_GB2312" w:eastAsia="仿宋_GB2312" w:cs="仿宋_GB2312"/>
      <w:sz w:val="24"/>
    </w:rPr>
  </w:style>
  <w:style w:type="character" w:customStyle="1" w:styleId="38">
    <w:name w:val="正文文本缩进 字符"/>
    <w:basedOn w:val="18"/>
    <w:link w:val="3"/>
    <w:qFormat/>
    <w:uiPriority w:val="0"/>
    <w:rPr>
      <w:rFonts w:hint="default" w:ascii="Times New Roman" w:hAnsi="Times New Roman" w:cs="Times New Roman"/>
      <w:kern w:val="2"/>
      <w:sz w:val="21"/>
      <w:szCs w:val="24"/>
    </w:rPr>
  </w:style>
  <w:style w:type="character" w:customStyle="1" w:styleId="39">
    <w:name w:val="正文首行缩进 2 字符"/>
    <w:basedOn w:val="38"/>
    <w:link w:val="2"/>
    <w:qFormat/>
    <w:uiPriority w:val="0"/>
    <w:rPr>
      <w:rFonts w:hint="default" w:ascii="Times New Roman" w:hAnsi="Times New Roman" w:cs="Times New Roman"/>
      <w:kern w:val="2"/>
      <w:sz w:val="21"/>
      <w:szCs w:val="24"/>
    </w:rPr>
  </w:style>
  <w:style w:type="character" w:customStyle="1" w:styleId="40">
    <w:name w:val="标题 2 字符"/>
    <w:basedOn w:val="18"/>
    <w:link w:val="5"/>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636.61</c:v>
                </c:pt>
                <c:pt idx="1">
                  <c:v>634.38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636.61</c:v>
                </c:pt>
                <c:pt idx="1">
                  <c:v>634.38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manualLayout>
                  <c:x val="0.00170517395949583"/>
                  <c:y val="-0.43370394427239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万元</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Lbls>
            <c:dLbl>
              <c:idx val="0"/>
              <c:layout/>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dLbl>
              <c:idx val="1"/>
              <c:layout/>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813.53</c:v>
                </c:pt>
                <c:pt idx="1">
                  <c:v>250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636.61</c:v>
                </c:pt>
                <c:pt idx="1">
                  <c:v>634.38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636.61</c:v>
                </c:pt>
                <c:pt idx="1">
                  <c:v>634.38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636.61</c:v>
                </c:pt>
                <c:pt idx="1">
                  <c:v>632.9</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19</Pages>
  <Words>6147</Words>
  <Characters>6566</Characters>
  <Lines>47</Lines>
  <Paragraphs>13</Paragraphs>
  <TotalTime>2</TotalTime>
  <ScaleCrop>false</ScaleCrop>
  <LinksUpToDate>false</LinksUpToDate>
  <CharactersWithSpaces>6628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2022-09-30T14:25:55Z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