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079220">
      <w:pPr>
        <w:spacing w:line="600" w:lineRule="exact"/>
        <w:jc w:val="center"/>
        <w:outlineLvl w:val="0"/>
        <w:rPr>
          <w:rFonts w:ascii="方正小标宋简体" w:hAnsi="宋体" w:eastAsia="方正小标宋简体"/>
          <w:color w:val="auto"/>
          <w:sz w:val="72"/>
          <w:szCs w:val="72"/>
          <w:highlight w:val="none"/>
        </w:rPr>
      </w:pPr>
      <w:bookmarkStart w:id="0" w:name="_Toc15306267"/>
    </w:p>
    <w:p w14:paraId="1DCD4C65">
      <w:pPr>
        <w:spacing w:line="600" w:lineRule="exact"/>
        <w:jc w:val="center"/>
        <w:outlineLvl w:val="0"/>
        <w:rPr>
          <w:rFonts w:ascii="方正小标宋简体" w:hAnsi="宋体" w:eastAsia="方正小标宋简体"/>
          <w:color w:val="auto"/>
          <w:sz w:val="72"/>
          <w:szCs w:val="72"/>
          <w:highlight w:val="none"/>
        </w:rPr>
      </w:pPr>
    </w:p>
    <w:p w14:paraId="04EFC574">
      <w:pPr>
        <w:spacing w:line="600" w:lineRule="exact"/>
        <w:jc w:val="center"/>
        <w:outlineLvl w:val="0"/>
        <w:rPr>
          <w:rFonts w:ascii="方正小标宋简体" w:hAnsi="宋体" w:eastAsia="方正小标宋简体"/>
          <w:color w:val="auto"/>
          <w:sz w:val="72"/>
          <w:szCs w:val="72"/>
          <w:highlight w:val="none"/>
        </w:rPr>
      </w:pPr>
    </w:p>
    <w:p w14:paraId="77E6917E">
      <w:pPr>
        <w:spacing w:line="600" w:lineRule="exact"/>
        <w:jc w:val="center"/>
        <w:outlineLvl w:val="0"/>
        <w:rPr>
          <w:rFonts w:ascii="方正小标宋简体" w:hAnsi="宋体" w:eastAsia="方正小标宋简体"/>
          <w:color w:val="auto"/>
          <w:sz w:val="72"/>
          <w:szCs w:val="72"/>
          <w:highlight w:val="none"/>
        </w:rPr>
      </w:pPr>
    </w:p>
    <w:p w14:paraId="4BB47350">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8441"/>
      <w:bookmarkStart w:id="2" w:name="_Toc15396597"/>
      <w:bookmarkStart w:id="3" w:name="_Toc15377425"/>
      <w:bookmarkStart w:id="4" w:name="_Toc15396475"/>
      <w:bookmarkStart w:id="5" w:name="_Toc1681"/>
      <w:bookmarkStart w:id="6" w:name="_Toc23980"/>
      <w:bookmarkStart w:id="7" w:name="_Toc15377193"/>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bookmarkEnd w:id="6"/>
      <w:bookmarkEnd w:id="7"/>
    </w:p>
    <w:p w14:paraId="09BBB82D">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8" w:name="_Toc17433"/>
      <w:bookmarkStart w:id="9" w:name="_Toc1473"/>
      <w:bookmarkStart w:id="10" w:name="_Toc15396598"/>
      <w:bookmarkStart w:id="11" w:name="_Toc15396476"/>
      <w:bookmarkStart w:id="12" w:name="_Toc15377194"/>
      <w:bookmarkStart w:id="13" w:name="_Toc15377426"/>
      <w:bookmarkStart w:id="14" w:name="_Toc15378442"/>
      <w:r>
        <w:rPr>
          <w:rFonts w:hint="eastAsia" w:ascii="方正小标宋_GBK" w:hAnsi="方正小标宋_GBK" w:eastAsia="方正小标宋_GBK" w:cs="方正小标宋_GBK"/>
          <w:color w:val="auto"/>
          <w:sz w:val="72"/>
          <w:szCs w:val="72"/>
          <w:highlight w:val="none"/>
        </w:rPr>
        <w:t>四川省</w:t>
      </w:r>
      <w:bookmarkEnd w:id="0"/>
      <w:bookmarkStart w:id="15" w:name="_Toc15306268"/>
      <w:r>
        <w:rPr>
          <w:rFonts w:hint="eastAsia" w:ascii="方正小标宋_GBK" w:hAnsi="方正小标宋_GBK" w:eastAsia="方正小标宋_GBK" w:cs="方正小标宋_GBK"/>
          <w:color w:val="auto"/>
          <w:sz w:val="72"/>
          <w:szCs w:val="72"/>
          <w:highlight w:val="none"/>
        </w:rPr>
        <w:t>广元市昭化区</w:t>
      </w:r>
      <w:bookmarkEnd w:id="8"/>
      <w:bookmarkEnd w:id="9"/>
      <w:bookmarkStart w:id="16" w:name="_Toc9679"/>
      <w:bookmarkStart w:id="17" w:name="_Toc2341"/>
      <w:r>
        <w:rPr>
          <w:rFonts w:hint="eastAsia" w:ascii="方正小标宋_GBK" w:hAnsi="方正小标宋_GBK" w:eastAsia="方正小标宋_GBK" w:cs="方正小标宋_GBK"/>
          <w:color w:val="auto"/>
          <w:sz w:val="72"/>
          <w:szCs w:val="72"/>
          <w:highlight w:val="none"/>
        </w:rPr>
        <w:t>柏林沟镇文村小学单位决算</w:t>
      </w:r>
      <w:bookmarkEnd w:id="10"/>
      <w:bookmarkEnd w:id="11"/>
      <w:bookmarkEnd w:id="12"/>
      <w:bookmarkEnd w:id="13"/>
      <w:bookmarkEnd w:id="14"/>
      <w:bookmarkEnd w:id="15"/>
      <w:bookmarkEnd w:id="16"/>
      <w:bookmarkEnd w:id="17"/>
    </w:p>
    <w:p w14:paraId="0F29F14F">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14:paraId="2CB320F8">
      <w:pPr>
        <w:pStyle w:val="13"/>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TOC \o "1-2" \h \u </w:instrText>
      </w:r>
      <w:r>
        <w:rPr>
          <w:rFonts w:hint="eastAsia" w:ascii="仿宋" w:hAnsi="仿宋" w:eastAsia="仿宋" w:cs="仿宋"/>
          <w:color w:val="auto"/>
          <w:sz w:val="24"/>
          <w:szCs w:val="24"/>
          <w:highlight w:val="none"/>
        </w:rPr>
        <w:fldChar w:fldCharType="separate"/>
      </w:r>
    </w:p>
    <w:p w14:paraId="253C6C3C">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_Toc17785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第一部分 单位概况</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_Toc17785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13CEF3AE">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_Toc7404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职能简介</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_Toc7404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A905B57">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_Toc4463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二、2021年重点工作完成情况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_Toc4463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5385402E">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_Toc10437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第二部分 2021年度单位决算情况说明</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_Toc10437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719F61E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_Toc5075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 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_Toc5075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8C5856C">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_Toc11923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 收入决算情况说明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_Toc11923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CFFCCBB">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_Toc2775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lang w:eastAsia="zh-CN"/>
        </w:rPr>
        <w:t>三、</w:t>
      </w:r>
      <w:r>
        <w:rPr>
          <w:rFonts w:hint="eastAsia" w:ascii="仿宋" w:hAnsi="仿宋" w:eastAsia="仿宋" w:cs="仿宋"/>
          <w:color w:val="auto"/>
          <w:sz w:val="24"/>
          <w:szCs w:val="24"/>
          <w:highlight w:val="none"/>
        </w:rPr>
        <w:t>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_Toc2775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472EEAC">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_Toc12678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四、财政拨款收入支出决算总体情况说明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_Toc12678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5EFDC17">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_Toc16782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五、一般公共预算财政拨款支出决算情况说明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_Toc16782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888CBE9">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_Toc23757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六、一般公共预算财政拨款基本支出决算情况说明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_Toc23757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5BC9A2B">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_Toc16373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七、“三公”经费财政拨款支出决算情况说明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_Toc16373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A190357">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_Toc29438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八、政府性基金预算支出决算情况说明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_Toc29438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88B2B3A">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_Toc4818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 国有资本经营预算支出决算情况说明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_Toc4818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15</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5E6D6D8D">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_Toc23871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 预算绩效管理情况</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_Toc23871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15</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026194B">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_Toc16944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 其他重要事项的情况说明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_Toc16944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15</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299CB57">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_Toc16610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第三部分 名词解释</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_Toc16610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17</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42093F20">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_Toc3498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第四部分 附件</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_Toc3498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3116A70C">
      <w:pPr>
        <w:pStyle w:val="13"/>
        <w:tabs>
          <w:tab w:val="right" w:leader="dot" w:pos="8306"/>
          <w:tab w:val="clear" w:pos="8296"/>
        </w:tabs>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HYPERLINK \l _Toc6245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第五部分 附表</w:t>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 PAGEREF _Toc6245 \h </w:instrText>
      </w:r>
      <w:r>
        <w:rPr>
          <w:rFonts w:hint="eastAsia" w:ascii="宋体" w:hAnsi="宋体" w:eastAsia="宋体" w:cs="宋体"/>
          <w:color w:val="auto"/>
          <w:sz w:val="24"/>
          <w:szCs w:val="24"/>
          <w:highlight w:val="none"/>
        </w:rPr>
        <w:fldChar w:fldCharType="separate"/>
      </w:r>
      <w:r>
        <w:rPr>
          <w:rFonts w:hint="eastAsia" w:ascii="宋体" w:hAnsi="宋体" w:eastAsia="宋体" w:cs="宋体"/>
          <w:color w:val="auto"/>
          <w:sz w:val="24"/>
          <w:szCs w:val="24"/>
          <w:highlight w:val="none"/>
        </w:rPr>
        <w:t>19</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fldChar w:fldCharType="end"/>
      </w:r>
    </w:p>
    <w:p w14:paraId="0E44C376">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_Toc492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_Toc492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0FAAA13">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_Toc20829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二、收入决算表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_Toc20829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6650A850">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_Toc872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三、支出决算表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_Toc872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4BFDFB0">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_Toc32481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四、财政拨款收入支出决算总表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_Toc32481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C5CC2F5">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_Toc16282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五、财政拨款支出决算明细表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_Toc16282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B1491B8">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_Toc27698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六、一般公共预算财政拨款支出决算表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_Toc27698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482B3585">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_Toc16786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七、一般公共预算财政拨款支出决算明细表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_Toc16786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B272E3C">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_Toc31149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八、一般公共预算财政拨款基本支出决算表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_Toc31149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BD0E99E">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_Toc2969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九、一般公共预算财政拨款项目支出决算表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_Toc2969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13AFD2E5">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_Toc15951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十、一般公共预算财政拨款“三公”经费支出决算表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_Toc15951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8477B15">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_Toc26411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十一、政府性基金预算财政拨款收入支出决算表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_Toc26411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B109C84">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_Toc31313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十二、政府性基金预算财政拨款“三公”经费支出决算表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_Toc31313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25CBE59B">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_Toc26015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十三、国有资本经营预算财政拨款收入支出决算表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_Toc26015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35A06DA7">
      <w:pPr>
        <w:pStyle w:val="14"/>
        <w:tabs>
          <w:tab w:val="right" w:leader="dot" w:pos="8306"/>
          <w:tab w:val="clear" w:pos="8296"/>
        </w:tabs>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_Toc2980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十四、国有资本经营预算财政拨款支出决算表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_Toc2980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14:paraId="74BE633F">
      <w:pPr>
        <w:pStyle w:val="13"/>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end"/>
      </w:r>
    </w:p>
    <w:p w14:paraId="542DD9D7">
      <w:pPr>
        <w:rPr>
          <w:color w:val="auto"/>
          <w:highlight w:val="none"/>
        </w:rPr>
      </w:pPr>
    </w:p>
    <w:p w14:paraId="34B30A8C">
      <w:pPr>
        <w:pStyle w:val="3"/>
        <w:bidi w:val="0"/>
        <w:rPr>
          <w:color w:val="auto"/>
          <w:highlight w:val="none"/>
        </w:rPr>
      </w:pPr>
      <w:bookmarkStart w:id="18" w:name="_Toc17785"/>
      <w:bookmarkStart w:id="19" w:name="_Toc15377196"/>
      <w:bookmarkStart w:id="20" w:name="_Toc15396599"/>
      <w:r>
        <w:rPr>
          <w:rFonts w:hint="eastAsia"/>
          <w:color w:val="auto"/>
          <w:highlight w:val="none"/>
        </w:rPr>
        <w:t>第一部分 单位概况</w:t>
      </w:r>
      <w:bookmarkEnd w:id="18"/>
      <w:bookmarkEnd w:id="19"/>
      <w:bookmarkEnd w:id="20"/>
    </w:p>
    <w:p w14:paraId="34EBE0A0">
      <w:pPr>
        <w:widowControl/>
        <w:jc w:val="left"/>
        <w:rPr>
          <w:rFonts w:ascii="黑体" w:eastAsia="黑体"/>
          <w:color w:val="auto"/>
          <w:sz w:val="32"/>
          <w:szCs w:val="32"/>
          <w:highlight w:val="none"/>
        </w:rPr>
      </w:pPr>
    </w:p>
    <w:p w14:paraId="659C8205">
      <w:pPr>
        <w:pStyle w:val="4"/>
        <w:numPr>
          <w:ilvl w:val="0"/>
          <w:numId w:val="1"/>
        </w:numPr>
        <w:bidi w:val="0"/>
        <w:rPr>
          <w:rFonts w:hint="eastAsia" w:ascii="仿宋" w:hAnsi="仿宋" w:eastAsia="仿宋" w:cs="仿宋"/>
          <w:color w:val="auto"/>
          <w:highlight w:val="none"/>
        </w:rPr>
      </w:pPr>
      <w:bookmarkStart w:id="21" w:name="_Toc7404"/>
      <w:bookmarkStart w:id="22" w:name="_Toc15396600"/>
      <w:bookmarkStart w:id="23" w:name="_Toc15377197"/>
      <w:r>
        <w:rPr>
          <w:rFonts w:hint="eastAsia" w:ascii="仿宋" w:hAnsi="仿宋" w:eastAsia="仿宋" w:cs="仿宋"/>
          <w:color w:val="auto"/>
          <w:highlight w:val="none"/>
        </w:rPr>
        <w:t>职能简介</w:t>
      </w:r>
      <w:bookmarkEnd w:id="21"/>
    </w:p>
    <w:p w14:paraId="346516BE">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14:paraId="74057BA9">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14:paraId="562F8DA8">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14:paraId="55910C1E">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14:paraId="66FF9955">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14:paraId="3864C6C8">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14:paraId="282ACC8C">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负责依法制定本校教师及其他职工聘任办法并对教师及其他员工实施包括奖励、处分在内的具体管理活动。</w:t>
      </w:r>
    </w:p>
    <w:p w14:paraId="64E51A90">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14:paraId="59DA86BB">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14:paraId="4EAB7148">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 w:hAnsi="仿宋" w:eastAsia="仿宋" w:cs="仿宋"/>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14:paraId="0FEB1E15">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14:paraId="341A2347">
      <w:pPr>
        <w:pStyle w:val="4"/>
        <w:bidi w:val="0"/>
        <w:rPr>
          <w:rFonts w:hint="eastAsia" w:ascii="仿宋" w:hAnsi="仿宋" w:eastAsia="仿宋" w:cs="仿宋"/>
          <w:color w:val="auto"/>
          <w:highlight w:val="none"/>
        </w:rPr>
      </w:pPr>
      <w:bookmarkStart w:id="24" w:name="_Toc4463"/>
      <w:r>
        <w:rPr>
          <w:rFonts w:hint="eastAsia" w:ascii="仿宋" w:hAnsi="仿宋" w:eastAsia="仿宋" w:cs="仿宋"/>
          <w:color w:val="auto"/>
          <w:highlight w:val="none"/>
        </w:rPr>
        <w:t>二、2021年重点工作</w:t>
      </w:r>
      <w:bookmarkEnd w:id="22"/>
      <w:bookmarkEnd w:id="23"/>
      <w:r>
        <w:rPr>
          <w:rFonts w:hint="eastAsia" w:ascii="仿宋" w:hAnsi="仿宋" w:eastAsia="仿宋" w:cs="仿宋"/>
          <w:color w:val="auto"/>
          <w:highlight w:val="none"/>
        </w:rPr>
        <w:t>完成情况</w:t>
      </w:r>
      <w:bookmarkEnd w:id="24"/>
    </w:p>
    <w:p w14:paraId="13CA942A">
      <w:pPr>
        <w:spacing w:line="50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一年来，在区教育局的领导和指导下，文村小学行政一班人坚定信念、守正创新，带领全体教职工开拓进取、勤奋工作，圆满完成了本年度教育教学工作，学校发展再上台阶。现述职如下：</w:t>
      </w:r>
    </w:p>
    <w:p w14:paraId="0A5E0C24">
      <w:pPr>
        <w:numPr>
          <w:ilvl w:val="0"/>
          <w:numId w:val="2"/>
        </w:num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抓党建，强化思想引领</w:t>
      </w:r>
    </w:p>
    <w:p w14:paraId="4D265D73">
      <w:pPr>
        <w:spacing w:line="500" w:lineRule="exact"/>
        <w:ind w:left="635"/>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本年度，我校持续探索和实践党组织领导下的校长负责</w:t>
      </w:r>
    </w:p>
    <w:p w14:paraId="77F0705B">
      <w:p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制，充分发挥党组织在办学治校中的旗帜引领和重大决策中的主导作用，搞好教育教学，夯实基层组织建设。</w:t>
      </w:r>
    </w:p>
    <w:p w14:paraId="66AEFBD4">
      <w:pPr>
        <w:numPr>
          <w:ilvl w:val="0"/>
          <w:numId w:val="3"/>
        </w:num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加强学习固阵地</w:t>
      </w:r>
    </w:p>
    <w:p w14:paraId="761EC7D7">
      <w:pPr>
        <w:spacing w:line="500" w:lineRule="exact"/>
        <w:ind w:left="6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学校支部把抓班子成员、全体师生的思想政治工作放在</w:t>
      </w:r>
    </w:p>
    <w:p w14:paraId="39C3859A">
      <w:p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首位，把握航向、建好阵地。通过请领导讲思政课，老教师、老党员、党组织书记讲党课和每周例会等进行集中学、领学，学习</w:t>
      </w:r>
      <w:r>
        <w:rPr>
          <w:rFonts w:hint="eastAsia" w:ascii="仿宋" w:hAnsi="仿宋" w:eastAsia="仿宋" w:cs="仿宋"/>
          <w:color w:val="auto"/>
          <w:sz w:val="32"/>
          <w:szCs w:val="32"/>
          <w:highlight w:val="none"/>
          <w:lang w:eastAsia="zh-CN"/>
        </w:rPr>
        <w:t>习近平新时代中国特色社会主义思想</w:t>
      </w:r>
      <w:r>
        <w:rPr>
          <w:rFonts w:hint="eastAsia" w:ascii="仿宋" w:hAnsi="仿宋" w:eastAsia="仿宋" w:cs="仿宋"/>
          <w:color w:val="auto"/>
          <w:sz w:val="32"/>
          <w:szCs w:val="32"/>
          <w:highlight w:val="none"/>
        </w:rPr>
        <w:t>和有关教育的重要论述，学习党章、党的纪律处分条例，学习党史、国史、昭化党史故事，学习七一讲话、</w:t>
      </w:r>
      <w:r>
        <w:rPr>
          <w:rFonts w:hint="eastAsia" w:ascii="仿宋" w:hAnsi="仿宋" w:eastAsia="仿宋" w:cs="仿宋"/>
          <w:color w:val="auto"/>
          <w:sz w:val="32"/>
          <w:szCs w:val="32"/>
          <w:highlight w:val="none"/>
          <w:lang w:eastAsia="zh-CN"/>
        </w:rPr>
        <w:t>党的十九届六中全会</w:t>
      </w:r>
      <w:r>
        <w:rPr>
          <w:rFonts w:hint="eastAsia" w:ascii="仿宋" w:hAnsi="仿宋" w:eastAsia="仿宋" w:cs="仿宋"/>
          <w:color w:val="auto"/>
          <w:sz w:val="32"/>
          <w:szCs w:val="32"/>
          <w:highlight w:val="none"/>
        </w:rPr>
        <w:t>精神和党的决议，并与个人自学相结合，有计划、有笔记、有心得，使全体教师坚定信念，守好初心，并用个人过硬的政治素质去教育影响学生。</w:t>
      </w:r>
    </w:p>
    <w:p w14:paraId="603F70FA">
      <w:pPr>
        <w:spacing w:line="500" w:lineRule="exact"/>
        <w:ind w:firstLine="6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我们举行了“巾帼心向党，建功新时代”妇女节主题活动，“红心向党庆百年，快乐成长逐梦想”中国共产党成立一百周年庆祝系列活动，到太</w:t>
      </w:r>
      <w:bookmarkStart w:id="111" w:name="_GoBack"/>
      <w:bookmarkEnd w:id="111"/>
      <w:r>
        <w:rPr>
          <w:rFonts w:hint="eastAsia" w:ascii="仿宋" w:hAnsi="仿宋" w:eastAsia="仿宋" w:cs="仿宋"/>
          <w:color w:val="auto"/>
          <w:sz w:val="32"/>
          <w:szCs w:val="32"/>
          <w:highlight w:val="none"/>
        </w:rPr>
        <w:t xml:space="preserve">公红军山开展了“学党史、感党恩、跟党走”红色星期五主题党日活动，开展了庆祝建国七十二周年演讲比赛，一二·九纪念活动。通过活动，教育师生爱党爱国、感恩奋进、传承红色基因，加强了党组织的凝聚力、战斗力，入党积极分子范仕芬如期成为预备党员。 </w:t>
      </w:r>
    </w:p>
    <w:p w14:paraId="7D0D2B84">
      <w:pPr>
        <w:numPr>
          <w:ilvl w:val="0"/>
          <w:numId w:val="3"/>
        </w:num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求实务本办实事</w:t>
      </w:r>
    </w:p>
    <w:p w14:paraId="590E382D">
      <w:pPr>
        <w:spacing w:line="500" w:lineRule="exact"/>
        <w:ind w:left="6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我支部围绕教学抓党建，抓好党建促教学，把党史教育</w:t>
      </w:r>
    </w:p>
    <w:p w14:paraId="593A75DB">
      <w:p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与教育教学工作紧密结合。要求全体教师潜心育人，通过师生结对学业辅导、心理疏导、多渠道资助帮扶、千名教师访万家等各种途径关爱留守儿童、困境儿童，努力提升教学质量和育人成效，真正为民办实事。</w:t>
      </w:r>
    </w:p>
    <w:p w14:paraId="24A1A321">
      <w:pPr>
        <w:numPr>
          <w:ilvl w:val="0"/>
          <w:numId w:val="3"/>
        </w:num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廉洁自律抓作风</w:t>
      </w:r>
    </w:p>
    <w:p w14:paraId="7E534D22">
      <w:pPr>
        <w:ind w:firstLine="6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深入开展干部纪律作风整顿工作和“以案促改”工作，强化师德师风建设。一是加强学习和警示教育。组织全体教职工认真学习各级有关干部纪律作风整顿的文件和要求，以身边人、常见事加强警示教育。紧密结合教育教学工作，以问题为导向，以工作中的小问题为切入口，以自查和他人提、领导点等方式全面开展问题查摆，深入开展剖析，并在工作中立行立改、按期销号，并形成长效机制。</w:t>
      </w:r>
    </w:p>
    <w:p w14:paraId="11613B7E">
      <w:pPr>
        <w:spacing w:line="500" w:lineRule="exact"/>
        <w:ind w:firstLine="6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个人以党组织书记的身份严格要求自己，遵规守纪，与师生同吃同作息，长期坚持以校为家，一心扑在工作上，率先垂范，充分发挥了模范带头作用。通过扎实开展干部纪律作风整顿和以案促改工作，明法纪、知敬畏，树起了严守底线、不越红线、远离法线的坚固屏障。个人6月被区委教育工委评为“优秀党务工作者”，支部被区委评为“先进基层党组织”。 </w:t>
      </w:r>
    </w:p>
    <w:p w14:paraId="31403C04">
      <w:pPr>
        <w:numPr>
          <w:ilvl w:val="0"/>
          <w:numId w:val="2"/>
        </w:num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强内涵，坚持五育并举</w:t>
      </w:r>
    </w:p>
    <w:p w14:paraId="72F6CC42">
      <w:pPr>
        <w:spacing w:line="500" w:lineRule="exact"/>
        <w:ind w:left="635"/>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我校坚持内涵发展，全面加强德智体美劳等教育，努力</w:t>
      </w:r>
    </w:p>
    <w:p w14:paraId="72AEFA20">
      <w:p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促进学生全面发展，阳光成长。</w:t>
      </w:r>
    </w:p>
    <w:p w14:paraId="28B3C9AC">
      <w:pPr>
        <w:numPr>
          <w:ilvl w:val="0"/>
          <w:numId w:val="4"/>
        </w:num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努力提升课堂教学质量</w:t>
      </w:r>
    </w:p>
    <w:p w14:paraId="15AE17C5">
      <w:pPr>
        <w:spacing w:line="500" w:lineRule="exact"/>
        <w:ind w:left="6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我们始终以抓质量为主线，以教研教改促进教师专业成</w:t>
      </w:r>
    </w:p>
    <w:p w14:paraId="22E4EF44">
      <w:p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长，打造有效课堂教学模式，努力提升学业成绩。</w:t>
      </w:r>
    </w:p>
    <w:p w14:paraId="407C66D7">
      <w:pPr>
        <w:numPr>
          <w:ilvl w:val="0"/>
          <w:numId w:val="5"/>
        </w:num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整合资源，积极教研教改。</w:t>
      </w:r>
    </w:p>
    <w:p w14:paraId="36D01F1F">
      <w:pPr>
        <w:spacing w:line="500" w:lineRule="exact"/>
        <w:ind w:left="6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一是支持教师外派学习、培训，充实理论，积累经验；</w:t>
      </w:r>
    </w:p>
    <w:p w14:paraId="3E8CD2AB">
      <w:p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二是合理利用网络等资源，提升能力，辅助教学；三是联合研讨，共同成长：积极对接广元尚熙、康乐园送教到园，与柏林小学开展九年级复习研讨和六年级教学交流；四是以微课题为切入口进行农村小班化有效教学模式探索；五是通过实习生指导增强学校教研氛围。</w:t>
      </w:r>
    </w:p>
    <w:p w14:paraId="1655CA57">
      <w:pPr>
        <w:numPr>
          <w:ilvl w:val="0"/>
          <w:numId w:val="5"/>
        </w:num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做实常规，扎实过程管理</w:t>
      </w:r>
    </w:p>
    <w:p w14:paraId="415DB267">
      <w:pPr>
        <w:spacing w:line="500" w:lineRule="exact"/>
        <w:ind w:left="6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加强教学常规管理，做实教学六认真，通计划、明要求、</w:t>
      </w:r>
    </w:p>
    <w:p w14:paraId="3C1E5E77">
      <w:p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严过程，交叉检查，例会公布，逗硬奖惩。学校领导班子带头上主课，坚持推门听课，及时交流，当周整改。以幼儿园为源头，抓实常规，丰富活动，文明礼仪；以小学为主体，规范课堂，丰富课程，深抓习惯；以毕业班为突破口，夯实过程，改进教法，提升效率。</w:t>
      </w:r>
    </w:p>
    <w:p w14:paraId="3AB2A6DE">
      <w:pPr>
        <w:numPr>
          <w:ilvl w:val="0"/>
          <w:numId w:val="4"/>
        </w:num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五项管理和双减，全面落细落实</w:t>
      </w:r>
    </w:p>
    <w:p w14:paraId="6CA734D6">
      <w:pPr>
        <w:spacing w:line="500" w:lineRule="exact"/>
        <w:ind w:left="6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学校严格落实教育部、省市区关于五项管理和双减工作</w:t>
      </w:r>
    </w:p>
    <w:p w14:paraId="53FB44E5">
      <w:p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要求，结合学校实际，规范教学行为，严守作息时间，严控手机管理，加强心理健康教育。本期，我校主动联系5名实习生，填补了无艺体专业教师的短板。精心组织设计课后延时服务，搞好社团建设，培养学生兴趣特长，。认真组织每天的体育锻炼，积极训练，参加了区运动会，11人次获奖，6人获优秀运动员，开展了秋季运动会。充分发挥农村独特的自然资源优势，利用课余时间研学，带领学生走出教室，走进田野，认识自然的美妙神奇，感受家乡的变化，展望美好未来。加强了音乐、美术等课程学习，并通过每周一花，美文朗诵等全面加强美育。每日扫除、保洁，责任到人，植树种花，清淤拔草，校园地开垦、种植等活动全面加强劳动教育。在今年六月校园艺术节，学生全员参与，个个能唱会跳，能写会画，才艺多样展示，受到家长和社会的高度评价。在“五美”等各类活动中12位教师获指导奖，46人次学生获等级奖。</w:t>
      </w:r>
    </w:p>
    <w:p w14:paraId="2593D866">
      <w:pPr>
        <w:numPr>
          <w:ilvl w:val="0"/>
          <w:numId w:val="2"/>
        </w:num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细谋划，努力干好各项工作</w:t>
      </w:r>
    </w:p>
    <w:p w14:paraId="2B4EB292">
      <w:pPr>
        <w:numPr>
          <w:ilvl w:val="0"/>
          <w:numId w:val="6"/>
        </w:numPr>
        <w:spacing w:line="500" w:lineRule="exact"/>
        <w:ind w:left="635"/>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搞好疫情常态化防控工作</w:t>
      </w:r>
    </w:p>
    <w:p w14:paraId="417B3B77">
      <w:pPr>
        <w:spacing w:line="500" w:lineRule="exact"/>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持续抓好师生疫情防控工作，抓环境卫生整治，消毒消杀，体温监测；坚持校园封闭式管理，严格信息查验；疫苗接种工作全面完成，固守一方净土。</w:t>
      </w:r>
    </w:p>
    <w:p w14:paraId="754FD77C">
      <w:pPr>
        <w:numPr>
          <w:ilvl w:val="0"/>
          <w:numId w:val="6"/>
        </w:numPr>
        <w:spacing w:line="500" w:lineRule="exact"/>
        <w:ind w:left="635"/>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做实安全维稳工作</w:t>
      </w:r>
    </w:p>
    <w:p w14:paraId="3B859D80">
      <w:pPr>
        <w:spacing w:line="500" w:lineRule="exact"/>
        <w:ind w:firstLine="6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坚守安全第一，全面落实岗位职责，无死角排查整治安全隐患，全方位守护监管，多层面多形式加强安全教育，重要安全处处讲，反复讲，印发告知书，签订责任书，添置硬件，归齐软件。与家长加强政策宣讲，畅通联系网络，广开反馈渠道，主动做好矛盾化解和疑误解答。一年来，无安全责任事故和上访事件。</w:t>
      </w:r>
    </w:p>
    <w:p w14:paraId="1F5A8403">
      <w:pPr>
        <w:numPr>
          <w:ilvl w:val="0"/>
          <w:numId w:val="2"/>
        </w:num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寻资助，改善办学条件</w:t>
      </w:r>
    </w:p>
    <w:p w14:paraId="4045B519">
      <w:pPr>
        <w:spacing w:line="500" w:lineRule="exact"/>
        <w:ind w:left="635"/>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我们利用多种资源，争取资金和支持，努力改善有限的</w:t>
      </w:r>
    </w:p>
    <w:p w14:paraId="5DB633D8">
      <w:p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办学条件。对接社区为学校补梯步，栽树，开挖、平整劳动实践基地，建好学校400米长的排污管网。尚熙、康乐幼儿园捐赠500册图书、30个篮球（价值15000元）。拱墅区文龙巷小学与我校18位贫困学生爱心联谊。主动与青基会对接，淡水河谷公司斥资10万元为我校捐赠4台教学一体机，教学条件大力改善。</w:t>
      </w:r>
    </w:p>
    <w:p w14:paraId="1C35D7AD">
      <w:pPr>
        <w:numPr>
          <w:ilvl w:val="0"/>
          <w:numId w:val="2"/>
        </w:num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明差距，期许美好未来</w:t>
      </w:r>
    </w:p>
    <w:p w14:paraId="095A8F3F">
      <w:pPr>
        <w:numPr>
          <w:ilvl w:val="0"/>
          <w:numId w:val="7"/>
        </w:numPr>
        <w:spacing w:line="500" w:lineRule="exact"/>
        <w:ind w:left="635"/>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学校教研氛围不浓，力度不够，无市区课题。一</w:t>
      </w:r>
    </w:p>
    <w:p w14:paraId="319F4DD2">
      <w:p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年来，学校无教科室负责人，处室工作由教导处代管，因此缺少人力和精力，普遍缺乏理论支撑和实践探索，走的是传统路线，没有创新和改革，没有长远的生命力。</w:t>
      </w:r>
    </w:p>
    <w:p w14:paraId="58D2E467">
      <w:pPr>
        <w:spacing w:line="500" w:lineRule="exact"/>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    （二）社团活动没有特色。虽然开设了几个社团，但因无艺体专业教师，规模太小，很难形成特色和影响力，与兄弟学校差距大。</w:t>
      </w:r>
    </w:p>
    <w:p w14:paraId="4E9BB83F">
      <w:pPr>
        <w:spacing w:line="500" w:lineRule="exact"/>
        <w:ind w:firstLine="6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（三）保生保学困难重重。尽管我们使出浑身解数，学生实现正增长，但随着初中的彻底停办，文柏快速通道和王文路的畅通，场镇常住人口急剧减少，幼儿生源稀缺，加之无幼儿专业教师，稳控形势严峻。</w:t>
      </w:r>
    </w:p>
    <w:p w14:paraId="733EEF70">
      <w:pPr>
        <w:spacing w:line="500" w:lineRule="exact"/>
        <w:ind w:firstLine="6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（四）学校部分设施老化、破损，急等维修更换和治理。</w:t>
      </w:r>
    </w:p>
    <w:p w14:paraId="4A1BD58D">
      <w:pPr>
        <w:spacing w:line="500" w:lineRule="exact"/>
        <w:ind w:firstLine="6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针对以上存在的问题和不足，我们将严肃对待，精心谋划，全面改进。</w:t>
      </w:r>
    </w:p>
    <w:p w14:paraId="15D1CDF1">
      <w:pPr>
        <w:numPr>
          <w:ilvl w:val="0"/>
          <w:numId w:val="8"/>
        </w:numPr>
        <w:spacing w:line="500" w:lineRule="exact"/>
        <w:ind w:firstLine="6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强化保生保学工作。扎实开展千名教师访万家活动，包干到人，走村入户进行招生政策宣讲、生源稳控，逗硬奖惩，倒逼责任。加强学生关爱和沟通，强管理，提质量，最大限度竭止生源外流。</w:t>
      </w:r>
    </w:p>
    <w:p w14:paraId="0EA0CAE1">
      <w:pPr>
        <w:numPr>
          <w:ilvl w:val="0"/>
          <w:numId w:val="8"/>
        </w:numPr>
        <w:spacing w:line="500" w:lineRule="exact"/>
        <w:ind w:firstLine="6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争取艺体专业教师，在现有基础上拓宽视野和范围，大力加强体、美、劳等教育。</w:t>
      </w:r>
    </w:p>
    <w:p w14:paraId="1445B1E2">
      <w:pPr>
        <w:numPr>
          <w:ilvl w:val="0"/>
          <w:numId w:val="8"/>
        </w:numPr>
        <w:spacing w:line="500" w:lineRule="exact"/>
        <w:ind w:firstLine="64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千方百计招寻幼儿教师，加强常规管理，做强生源源头。</w:t>
      </w:r>
    </w:p>
    <w:p w14:paraId="44D24258">
      <w:pPr>
        <w:pStyle w:val="16"/>
        <w:ind w:left="0" w:leftChars="0" w:firstLine="640" w:firstLineChars="200"/>
        <w:rPr>
          <w:rFonts w:hint="eastAsia" w:ascii="仿宋" w:hAnsi="仿宋" w:eastAsia="仿宋" w:cs="仿宋"/>
          <w:color w:val="auto"/>
          <w:highlight w:val="none"/>
        </w:rPr>
      </w:pPr>
      <w:r>
        <w:rPr>
          <w:rFonts w:hint="eastAsia" w:ascii="仿宋" w:hAnsi="仿宋" w:eastAsia="仿宋" w:cs="仿宋"/>
          <w:color w:val="auto"/>
          <w:sz w:val="32"/>
          <w:szCs w:val="32"/>
          <w:highlight w:val="none"/>
        </w:rPr>
        <w:t>多方争取筹措资金，维修设施设备，努力改善办学条件，为教育教学的顺利开展提供保障</w:t>
      </w:r>
      <w:r>
        <w:rPr>
          <w:rFonts w:hint="eastAsia" w:ascii="仿宋" w:hAnsi="仿宋" w:eastAsia="仿宋"/>
          <w:color w:val="auto"/>
          <w:sz w:val="32"/>
          <w:szCs w:val="32"/>
          <w:highlight w:val="none"/>
        </w:rPr>
        <w:t>。</w:t>
      </w:r>
    </w:p>
    <w:p w14:paraId="148FB6C1">
      <w:pPr>
        <w:rPr>
          <w:rFonts w:hint="eastAsia" w:ascii="仿宋" w:hAnsi="仿宋" w:eastAsia="仿宋" w:cs="仿宋"/>
          <w:b w:val="0"/>
          <w:color w:val="auto"/>
          <w:highlight w:val="none"/>
        </w:rPr>
      </w:pPr>
      <w:bookmarkStart w:id="25" w:name="_Toc15377204"/>
      <w:bookmarkStart w:id="26" w:name="_Toc15396602"/>
      <w:r>
        <w:rPr>
          <w:rFonts w:hint="eastAsia" w:ascii="仿宋" w:hAnsi="仿宋" w:eastAsia="仿宋" w:cs="仿宋"/>
          <w:b w:val="0"/>
          <w:color w:val="auto"/>
          <w:highlight w:val="none"/>
        </w:rPr>
        <w:br w:type="page"/>
      </w:r>
    </w:p>
    <w:p w14:paraId="272B79AF">
      <w:pPr>
        <w:pStyle w:val="3"/>
        <w:bidi w:val="0"/>
        <w:rPr>
          <w:rFonts w:hint="eastAsia" w:ascii="仿宋" w:hAnsi="仿宋" w:eastAsia="仿宋" w:cs="仿宋"/>
          <w:color w:val="auto"/>
          <w:highlight w:val="none"/>
        </w:rPr>
      </w:pPr>
      <w:bookmarkStart w:id="27" w:name="_Toc10437"/>
      <w:r>
        <w:rPr>
          <w:rFonts w:hint="eastAsia" w:ascii="仿宋" w:hAnsi="仿宋" w:eastAsia="仿宋" w:cs="仿宋"/>
          <w:color w:val="auto"/>
          <w:highlight w:val="none"/>
        </w:rPr>
        <w:t>第二部分 2021年度单位决算情况说明</w:t>
      </w:r>
      <w:bookmarkEnd w:id="25"/>
      <w:bookmarkEnd w:id="26"/>
      <w:bookmarkEnd w:id="27"/>
    </w:p>
    <w:p w14:paraId="165E43B2">
      <w:pPr>
        <w:rPr>
          <w:rFonts w:hint="eastAsia" w:ascii="仿宋" w:hAnsi="仿宋" w:eastAsia="仿宋" w:cs="仿宋"/>
          <w:color w:val="auto"/>
          <w:highlight w:val="none"/>
        </w:rPr>
      </w:pPr>
    </w:p>
    <w:p w14:paraId="0240E8EF">
      <w:pPr>
        <w:pStyle w:val="4"/>
        <w:numPr>
          <w:ilvl w:val="0"/>
          <w:numId w:val="9"/>
        </w:numPr>
        <w:bidi w:val="0"/>
        <w:ind w:left="0" w:leftChars="0" w:firstLine="643" w:firstLineChars="200"/>
        <w:rPr>
          <w:rFonts w:hint="eastAsia" w:ascii="仿宋" w:hAnsi="仿宋" w:eastAsia="仿宋" w:cs="仿宋"/>
          <w:color w:val="auto"/>
          <w:highlight w:val="none"/>
        </w:rPr>
      </w:pPr>
      <w:bookmarkStart w:id="28" w:name="_Toc15396603"/>
      <w:bookmarkStart w:id="29" w:name="_Toc15377205"/>
      <w:bookmarkStart w:id="30" w:name="_Toc5075"/>
      <w:r>
        <w:rPr>
          <w:rFonts w:hint="eastAsia" w:ascii="仿宋" w:hAnsi="仿宋" w:eastAsia="仿宋" w:cs="仿宋"/>
          <w:color w:val="auto"/>
          <w:highlight w:val="none"/>
        </w:rPr>
        <w:t>收入支出决算总体情况说明</w:t>
      </w:r>
      <w:bookmarkEnd w:id="28"/>
      <w:bookmarkEnd w:id="29"/>
      <w:bookmarkEnd w:id="30"/>
    </w:p>
    <w:p w14:paraId="28EAB59E">
      <w:pPr>
        <w:spacing w:line="600" w:lineRule="exact"/>
        <w:ind w:firstLine="640" w:firstLineChars="200"/>
        <w:outlineLvl w:val="1"/>
        <w:rPr>
          <w:rFonts w:hint="eastAsia" w:ascii="仿宋" w:hAnsi="仿宋" w:eastAsia="仿宋" w:cs="仿宋"/>
          <w:color w:val="auto"/>
          <w:highlight w:val="none"/>
          <w:lang w:eastAsia="zh-CN"/>
        </w:rPr>
      </w:pPr>
      <w:bookmarkStart w:id="31" w:name="_Toc9801"/>
      <w:bookmarkStart w:id="32" w:name="_Toc20585"/>
      <w:r>
        <w:rPr>
          <w:rFonts w:hint="eastAsia" w:ascii="仿宋" w:hAnsi="仿宋" w:eastAsia="仿宋" w:cs="仿宋"/>
          <w:color w:val="auto"/>
          <w:sz w:val="32"/>
          <w:szCs w:val="32"/>
          <w:highlight w:val="none"/>
        </w:rPr>
        <w:t>2021年度收、支总计</w:t>
      </w:r>
      <w:r>
        <w:rPr>
          <w:rFonts w:hint="eastAsia" w:ascii="仿宋" w:hAnsi="仿宋" w:eastAsia="仿宋" w:cs="仿宋"/>
          <w:color w:val="auto"/>
          <w:sz w:val="32"/>
          <w:szCs w:val="32"/>
          <w:highlight w:val="none"/>
          <w:lang w:val="en-US" w:eastAsia="zh-CN"/>
        </w:rPr>
        <w:t>651.05</w:t>
      </w:r>
      <w:r>
        <w:rPr>
          <w:rFonts w:hint="eastAsia" w:ascii="仿宋" w:hAnsi="仿宋" w:eastAsia="仿宋" w:cs="仿宋"/>
          <w:color w:val="auto"/>
          <w:sz w:val="32"/>
          <w:szCs w:val="32"/>
          <w:highlight w:val="none"/>
        </w:rPr>
        <w:t>万元。与2020年相比，收、支总计各</w:t>
      </w:r>
      <w:r>
        <w:rPr>
          <w:rFonts w:hint="eastAsia" w:ascii="仿宋" w:hAnsi="仿宋" w:eastAsia="仿宋" w:cs="仿宋"/>
          <w:color w:val="auto"/>
          <w:sz w:val="32"/>
          <w:szCs w:val="32"/>
          <w:highlight w:val="none"/>
          <w:lang w:eastAsia="zh-CN"/>
        </w:rPr>
        <w:t>减少</w:t>
      </w:r>
      <w:r>
        <w:rPr>
          <w:rFonts w:hint="eastAsia" w:ascii="仿宋" w:hAnsi="仿宋" w:eastAsia="仿宋" w:cs="仿宋"/>
          <w:color w:val="auto"/>
          <w:sz w:val="32"/>
          <w:szCs w:val="32"/>
          <w:highlight w:val="none"/>
          <w:lang w:val="en-US" w:eastAsia="zh-CN"/>
        </w:rPr>
        <w:t>64.22</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减少8.98%</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基本支出减少</w:t>
      </w:r>
      <w:r>
        <w:rPr>
          <w:rFonts w:hint="eastAsia" w:ascii="仿宋" w:hAnsi="仿宋" w:eastAsia="仿宋" w:cs="仿宋"/>
          <w:color w:val="auto"/>
          <w:sz w:val="32"/>
          <w:szCs w:val="32"/>
          <w:highlight w:val="none"/>
        </w:rPr>
        <w:t>。</w:t>
      </w:r>
      <w:bookmarkEnd w:id="31"/>
      <w:bookmarkEnd w:id="32"/>
    </w:p>
    <w:p w14:paraId="4C9564F8">
      <w:pPr>
        <w:pStyle w:val="4"/>
        <w:numPr>
          <w:ilvl w:val="0"/>
          <w:numId w:val="9"/>
        </w:numPr>
        <w:bidi w:val="0"/>
        <w:ind w:left="0" w:leftChars="0" w:firstLine="643" w:firstLineChars="200"/>
        <w:jc w:val="left"/>
        <w:rPr>
          <w:rFonts w:hint="eastAsia" w:ascii="仿宋" w:hAnsi="仿宋" w:eastAsia="仿宋" w:cs="仿宋"/>
          <w:color w:val="auto"/>
          <w:highlight w:val="none"/>
        </w:rPr>
      </w:pPr>
      <w:bookmarkStart w:id="33" w:name="_Toc15396604"/>
      <w:bookmarkStart w:id="34" w:name="_Toc15377206"/>
      <w:bookmarkStart w:id="35" w:name="_Toc11923"/>
      <w:r>
        <w:rPr>
          <w:rFonts w:hint="eastAsia" w:ascii="仿宋" w:hAnsi="仿宋" w:eastAsia="仿宋" w:cs="仿宋"/>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r>
        <w:rPr>
          <w:rFonts w:hint="eastAsia" w:ascii="仿宋" w:hAnsi="仿宋" w:eastAsia="仿宋" w:cs="仿宋"/>
          <w:color w:val="auto"/>
          <w:highlight w:val="none"/>
        </w:rPr>
        <w:t>收入决算情况说明</w:t>
      </w:r>
      <w:bookmarkEnd w:id="33"/>
      <w:bookmarkEnd w:id="34"/>
      <w:bookmarkEnd w:id="35"/>
    </w:p>
    <w:p w14:paraId="187A783E">
      <w:pPr>
        <w:spacing w:line="600" w:lineRule="exact"/>
        <w:ind w:firstLine="640" w:firstLineChars="200"/>
        <w:outlineLvl w:val="1"/>
        <w:rPr>
          <w:rFonts w:hint="eastAsia" w:ascii="仿宋" w:hAnsi="仿宋" w:eastAsia="仿宋" w:cs="仿宋"/>
          <w:color w:val="auto"/>
          <w:sz w:val="32"/>
          <w:szCs w:val="32"/>
          <w:highlight w:val="none"/>
          <w:lang w:eastAsia="zh-CN"/>
        </w:rPr>
      </w:pPr>
      <w:bookmarkStart w:id="36" w:name="_Toc32714"/>
      <w:bookmarkStart w:id="37" w:name="_Toc28868"/>
      <w:r>
        <w:rPr>
          <w:rFonts w:hint="eastAsia" w:ascii="仿宋" w:hAnsi="仿宋" w:eastAsia="仿宋" w:cs="仿宋"/>
          <w:color w:val="auto"/>
          <w:sz w:val="32"/>
          <w:szCs w:val="32"/>
          <w:highlight w:val="none"/>
        </w:rPr>
        <w:t>2021年本年收入合计</w:t>
      </w:r>
      <w:r>
        <w:rPr>
          <w:rFonts w:hint="eastAsia" w:ascii="仿宋" w:hAnsi="仿宋" w:eastAsia="仿宋" w:cs="仿宋"/>
          <w:color w:val="auto"/>
          <w:sz w:val="32"/>
          <w:szCs w:val="32"/>
          <w:highlight w:val="none"/>
          <w:lang w:val="en-US" w:eastAsia="zh-CN"/>
        </w:rPr>
        <w:t>651.05</w:t>
      </w:r>
      <w:r>
        <w:rPr>
          <w:rFonts w:hint="eastAsia" w:ascii="仿宋" w:hAnsi="仿宋" w:eastAsia="仿宋" w:cs="仿宋"/>
          <w:color w:val="auto"/>
          <w:sz w:val="32"/>
          <w:szCs w:val="32"/>
          <w:highlight w:val="none"/>
        </w:rPr>
        <w:t>万元，其中：一般公共预算财政拨款收入</w:t>
      </w:r>
      <w:r>
        <w:rPr>
          <w:rFonts w:hint="eastAsia" w:ascii="仿宋" w:hAnsi="仿宋" w:eastAsia="仿宋" w:cs="仿宋"/>
          <w:color w:val="auto"/>
          <w:sz w:val="32"/>
          <w:szCs w:val="32"/>
          <w:highlight w:val="none"/>
          <w:lang w:val="en-US" w:eastAsia="zh-CN"/>
        </w:rPr>
        <w:t>651.05</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bookmarkEnd w:id="36"/>
      <w:bookmarkEnd w:id="37"/>
    </w:p>
    <w:p w14:paraId="1EE54592">
      <w:pPr>
        <w:pStyle w:val="16"/>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0ABA1447">
      <w:pPr>
        <w:pStyle w:val="4"/>
        <w:bidi w:val="0"/>
        <w:rPr>
          <w:rFonts w:hint="eastAsia" w:ascii="仿宋" w:hAnsi="仿宋" w:eastAsia="仿宋" w:cs="仿宋"/>
          <w:color w:val="auto"/>
          <w:highlight w:val="none"/>
        </w:rPr>
      </w:pPr>
      <w:bookmarkStart w:id="38" w:name="_Toc15396605"/>
      <w:bookmarkStart w:id="39" w:name="_Toc15377207"/>
      <w:bookmarkStart w:id="40" w:name="_Toc2775"/>
      <w:r>
        <w:rPr>
          <w:rFonts w:hint="eastAsia" w:ascii="仿宋" w:hAnsi="仿宋" w:eastAsia="仿宋" w:cs="仿宋"/>
          <w:color w:val="auto"/>
          <w:highlight w:val="none"/>
          <w:lang w:eastAsia="zh-CN"/>
        </w:rPr>
        <w:t>三、</w:t>
      </w:r>
      <w:r>
        <w:rPr>
          <w:rFonts w:hint="eastAsia" w:ascii="仿宋" w:hAnsi="仿宋" w:eastAsia="仿宋" w:cs="仿宋"/>
          <w:color w:val="auto"/>
          <w:highlight w:val="none"/>
        </w:rPr>
        <w:t>支出决算情况说明</w:t>
      </w:r>
      <w:bookmarkEnd w:id="38"/>
      <w:bookmarkEnd w:id="39"/>
      <w:bookmarkEnd w:id="40"/>
    </w:p>
    <w:p w14:paraId="53516410">
      <w:pPr>
        <w:spacing w:line="600" w:lineRule="exact"/>
        <w:ind w:firstLine="640" w:firstLineChars="200"/>
        <w:outlineLvl w:val="1"/>
        <w:rPr>
          <w:rFonts w:hint="eastAsia" w:ascii="仿宋" w:hAnsi="仿宋" w:eastAsia="仿宋" w:cs="仿宋"/>
          <w:color w:val="auto"/>
          <w:sz w:val="32"/>
          <w:szCs w:val="32"/>
          <w:highlight w:val="none"/>
        </w:rPr>
      </w:pPr>
      <w:bookmarkStart w:id="41" w:name="_Toc6817"/>
      <w:bookmarkStart w:id="42" w:name="_Toc30363"/>
      <w:r>
        <w:rPr>
          <w:rFonts w:hint="eastAsia" w:ascii="仿宋" w:hAnsi="仿宋" w:eastAsia="仿宋" w:cs="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 w:hAnsi="仿宋" w:eastAsia="仿宋" w:cs="仿宋"/>
          <w:color w:val="auto"/>
          <w:sz w:val="32"/>
          <w:szCs w:val="32"/>
          <w:highlight w:val="none"/>
        </w:rPr>
        <w:t>2021年本年支出合计</w:t>
      </w:r>
      <w:r>
        <w:rPr>
          <w:rFonts w:hint="eastAsia" w:ascii="仿宋" w:hAnsi="仿宋" w:eastAsia="仿宋" w:cs="仿宋"/>
          <w:color w:val="auto"/>
          <w:sz w:val="32"/>
          <w:szCs w:val="32"/>
          <w:highlight w:val="none"/>
          <w:lang w:eastAsia="zh-CN"/>
        </w:rPr>
        <w:t>651.05</w:t>
      </w:r>
      <w:r>
        <w:rPr>
          <w:rFonts w:hint="eastAsia" w:ascii="仿宋" w:hAnsi="仿宋" w:eastAsia="仿宋" w:cs="仿宋"/>
          <w:color w:val="auto"/>
          <w:sz w:val="32"/>
          <w:szCs w:val="32"/>
          <w:highlight w:val="none"/>
        </w:rPr>
        <w:t>万元，其中：基本支出</w:t>
      </w:r>
      <w:r>
        <w:rPr>
          <w:rFonts w:hint="eastAsia" w:ascii="仿宋" w:hAnsi="仿宋" w:eastAsia="仿宋" w:cs="仿宋"/>
          <w:color w:val="auto"/>
          <w:sz w:val="32"/>
          <w:szCs w:val="32"/>
          <w:highlight w:val="none"/>
          <w:lang w:eastAsia="zh-CN"/>
        </w:rPr>
        <w:t>421.05</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64.67</w:t>
      </w:r>
      <w:r>
        <w:rPr>
          <w:rFonts w:hint="eastAsia" w:ascii="仿宋" w:hAnsi="仿宋" w:eastAsia="仿宋" w:cs="仿宋"/>
          <w:color w:val="auto"/>
          <w:sz w:val="32"/>
          <w:szCs w:val="32"/>
          <w:highlight w:val="none"/>
        </w:rPr>
        <w:t>%；项目支出</w:t>
      </w:r>
      <w:r>
        <w:rPr>
          <w:rFonts w:hint="eastAsia" w:ascii="仿宋" w:hAnsi="仿宋" w:eastAsia="仿宋" w:cs="仿宋"/>
          <w:color w:val="auto"/>
          <w:sz w:val="32"/>
          <w:szCs w:val="32"/>
          <w:highlight w:val="none"/>
          <w:lang w:eastAsia="zh-CN"/>
        </w:rPr>
        <w:t>230.00</w:t>
      </w:r>
      <w:r>
        <w:rPr>
          <w:rFonts w:hint="eastAsia" w:ascii="仿宋" w:hAnsi="仿宋" w:eastAsia="仿宋" w:cs="仿宋"/>
          <w:color w:val="auto"/>
          <w:sz w:val="32"/>
          <w:szCs w:val="32"/>
          <w:highlight w:val="none"/>
        </w:rPr>
        <w:t>万元，占</w:t>
      </w:r>
      <w:r>
        <w:rPr>
          <w:rFonts w:hint="eastAsia" w:ascii="仿宋" w:hAnsi="仿宋" w:eastAsia="仿宋" w:cs="仿宋"/>
          <w:color w:val="auto"/>
          <w:sz w:val="32"/>
          <w:szCs w:val="32"/>
          <w:highlight w:val="none"/>
          <w:lang w:val="en-US" w:eastAsia="zh-CN"/>
        </w:rPr>
        <w:t>35.33</w:t>
      </w:r>
      <w:r>
        <w:rPr>
          <w:rFonts w:hint="eastAsia" w:ascii="仿宋" w:hAnsi="仿宋" w:eastAsia="仿宋" w:cs="仿宋"/>
          <w:color w:val="auto"/>
          <w:sz w:val="32"/>
          <w:szCs w:val="32"/>
          <w:highlight w:val="none"/>
        </w:rPr>
        <w:t>%。</w:t>
      </w:r>
      <w:bookmarkEnd w:id="41"/>
      <w:bookmarkEnd w:id="42"/>
    </w:p>
    <w:p w14:paraId="6F576BD4">
      <w:pPr>
        <w:pStyle w:val="4"/>
        <w:bidi w:val="0"/>
        <w:rPr>
          <w:rFonts w:hint="eastAsia" w:ascii="仿宋" w:hAnsi="仿宋" w:eastAsia="仿宋" w:cs="仿宋"/>
          <w:color w:val="auto"/>
          <w:highlight w:val="none"/>
        </w:rPr>
      </w:pPr>
      <w:bookmarkStart w:id="43" w:name="_Toc15396606"/>
      <w:bookmarkStart w:id="44" w:name="_Toc12678"/>
      <w:bookmarkStart w:id="45" w:name="_Toc15377208"/>
      <w:r>
        <w:rPr>
          <w:rFonts w:hint="eastAsia" w:ascii="仿宋" w:hAnsi="仿宋" w:eastAsia="仿宋" w:cs="仿宋"/>
          <w:color w:val="auto"/>
          <w:highlight w:val="none"/>
        </w:rPr>
        <w:t>四、财政拨款收入支出决算总体情况说明</w:t>
      </w:r>
      <w:bookmarkEnd w:id="43"/>
      <w:bookmarkEnd w:id="44"/>
      <w:bookmarkEnd w:id="45"/>
    </w:p>
    <w:p w14:paraId="1AD336F6">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2021年财政拨款收、支总计</w:t>
      </w:r>
      <w:r>
        <w:rPr>
          <w:rFonts w:hint="eastAsia" w:ascii="仿宋" w:hAnsi="仿宋" w:eastAsia="仿宋" w:cs="仿宋"/>
          <w:color w:val="auto"/>
          <w:sz w:val="32"/>
          <w:szCs w:val="32"/>
          <w:highlight w:val="none"/>
          <w:lang w:eastAsia="zh-CN"/>
        </w:rPr>
        <w:t>651.05</w:t>
      </w:r>
      <w:r>
        <w:rPr>
          <w:rFonts w:hint="eastAsia" w:ascii="仿宋" w:hAnsi="仿宋" w:eastAsia="仿宋" w:cs="仿宋"/>
          <w:color w:val="auto"/>
          <w:sz w:val="32"/>
          <w:szCs w:val="32"/>
          <w:highlight w:val="none"/>
        </w:rPr>
        <w:t>万元。与2020年相比，财政拨款收、支总计各</w:t>
      </w:r>
      <w:r>
        <w:rPr>
          <w:rFonts w:hint="eastAsia" w:ascii="仿宋" w:hAnsi="仿宋" w:eastAsia="仿宋" w:cs="仿宋"/>
          <w:color w:val="auto"/>
          <w:sz w:val="32"/>
          <w:szCs w:val="32"/>
          <w:highlight w:val="none"/>
          <w:lang w:eastAsia="zh-CN"/>
        </w:rPr>
        <w:t>减少64.22</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减少8.98%</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基本支出减少</w:t>
      </w:r>
      <w:r>
        <w:rPr>
          <w:rFonts w:hint="eastAsia" w:ascii="仿宋" w:hAnsi="仿宋" w:eastAsia="仿宋" w:cs="仿宋"/>
          <w:color w:val="auto"/>
          <w:sz w:val="32"/>
          <w:szCs w:val="32"/>
          <w:highlight w:val="none"/>
        </w:rPr>
        <w:t>。</w:t>
      </w:r>
    </w:p>
    <w:p w14:paraId="6258DC6F">
      <w:pPr>
        <w:pStyle w:val="16"/>
        <w:rPr>
          <w:rFonts w:hint="eastAsia" w:ascii="仿宋" w:hAnsi="仿宋" w:eastAsia="仿宋" w:cs="仿宋"/>
          <w:color w:val="auto"/>
          <w:highlight w:val="none"/>
        </w:rPr>
      </w:pPr>
      <w:r>
        <w:rPr>
          <w:rFonts w:hint="eastAsia" w:ascii="仿宋" w:hAnsi="仿宋" w:eastAsia="仿宋" w:cs="仿宋"/>
          <w:color w:val="auto"/>
          <w:highlight w:val="none"/>
          <w:lang w:eastAsia="zh-CN"/>
        </w:rPr>
        <w:drawing>
          <wp:anchor distT="0" distB="0" distL="114300" distR="114300" simplePos="0" relativeHeight="251662336" behindDoc="0" locked="0" layoutInCell="1" allowOverlap="1">
            <wp:simplePos x="0" y="0"/>
            <wp:positionH relativeFrom="column">
              <wp:posOffset>-3175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2689EB19">
      <w:pPr>
        <w:pStyle w:val="4"/>
        <w:bidi w:val="0"/>
        <w:rPr>
          <w:rFonts w:hint="eastAsia" w:ascii="仿宋" w:hAnsi="仿宋" w:eastAsia="仿宋" w:cs="仿宋"/>
          <w:color w:val="auto"/>
          <w:highlight w:val="none"/>
        </w:rPr>
      </w:pPr>
      <w:bookmarkStart w:id="46" w:name="_Toc16782"/>
      <w:bookmarkStart w:id="47" w:name="_Toc15396607"/>
      <w:bookmarkStart w:id="48" w:name="_Toc15377209"/>
      <w:r>
        <w:rPr>
          <w:rFonts w:hint="eastAsia" w:ascii="仿宋" w:hAnsi="仿宋" w:eastAsia="仿宋" w:cs="仿宋"/>
          <w:color w:val="auto"/>
          <w:highlight w:val="none"/>
        </w:rPr>
        <w:t>五、一般公共预算财政拨款支出决算情况说明</w:t>
      </w:r>
      <w:bookmarkEnd w:id="46"/>
      <w:bookmarkEnd w:id="47"/>
      <w:bookmarkEnd w:id="48"/>
    </w:p>
    <w:p w14:paraId="1A9E6A49">
      <w:pPr>
        <w:spacing w:line="600" w:lineRule="exact"/>
        <w:ind w:firstLine="643" w:firstLineChars="200"/>
        <w:outlineLvl w:val="2"/>
        <w:rPr>
          <w:rFonts w:hint="eastAsia" w:ascii="仿宋" w:hAnsi="仿宋" w:eastAsia="仿宋" w:cs="仿宋"/>
          <w:b/>
          <w:color w:val="auto"/>
          <w:sz w:val="32"/>
          <w:szCs w:val="32"/>
          <w:highlight w:val="none"/>
        </w:rPr>
      </w:pPr>
      <w:bookmarkStart w:id="49" w:name="_Toc15377210"/>
      <w:r>
        <w:rPr>
          <w:rFonts w:hint="eastAsia" w:ascii="仿宋" w:hAnsi="仿宋" w:eastAsia="仿宋" w:cs="仿宋"/>
          <w:b/>
          <w:color w:val="auto"/>
          <w:sz w:val="32"/>
          <w:szCs w:val="32"/>
          <w:highlight w:val="none"/>
        </w:rPr>
        <w:t>（一）一般公共预算财政拨款支出决算总体情况</w:t>
      </w:r>
      <w:bookmarkEnd w:id="49"/>
    </w:p>
    <w:p w14:paraId="01D6CDDB">
      <w:pPr>
        <w:spacing w:line="600" w:lineRule="exact"/>
        <w:ind w:firstLine="640"/>
        <w:rPr>
          <w:rFonts w:hint="eastAsia" w:ascii="仿宋" w:hAnsi="仿宋" w:eastAsia="仿宋" w:cs="仿宋"/>
          <w:b/>
          <w:color w:val="auto"/>
          <w:sz w:val="32"/>
          <w:szCs w:val="32"/>
          <w:highlight w:val="none"/>
          <w:lang w:eastAsia="zh-CN"/>
        </w:rPr>
      </w:pPr>
      <w:r>
        <w:rPr>
          <w:rFonts w:hint="eastAsia" w:ascii="仿宋" w:hAnsi="仿宋" w:eastAsia="仿宋" w:cs="仿宋"/>
          <w:color w:val="auto"/>
          <w:sz w:val="32"/>
          <w:szCs w:val="32"/>
          <w:highlight w:val="none"/>
        </w:rPr>
        <w:t>2021年一般公共预算财政拨款支出</w:t>
      </w:r>
      <w:r>
        <w:rPr>
          <w:rFonts w:hint="eastAsia" w:ascii="仿宋" w:hAnsi="仿宋" w:eastAsia="仿宋" w:cs="仿宋"/>
          <w:color w:val="auto"/>
          <w:sz w:val="32"/>
          <w:szCs w:val="32"/>
          <w:highlight w:val="none"/>
          <w:lang w:eastAsia="zh-CN"/>
        </w:rPr>
        <w:t>651.05</w:t>
      </w:r>
      <w:r>
        <w:rPr>
          <w:rFonts w:hint="eastAsia" w:ascii="仿宋" w:hAnsi="仿宋" w:eastAsia="仿宋" w:cs="仿宋"/>
          <w:color w:val="auto"/>
          <w:sz w:val="32"/>
          <w:szCs w:val="32"/>
          <w:highlight w:val="none"/>
        </w:rPr>
        <w:t>万元，占本年支出合计的</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%。与2020年</w:t>
      </w:r>
      <w:r>
        <w:rPr>
          <w:rFonts w:hint="eastAsia" w:ascii="仿宋" w:hAnsi="仿宋" w:eastAsia="仿宋" w:cs="仿宋"/>
          <w:color w:val="auto"/>
          <w:sz w:val="32"/>
          <w:szCs w:val="32"/>
          <w:highlight w:val="none"/>
          <w:lang w:val="en-US" w:eastAsia="zh-CN"/>
        </w:rPr>
        <w:t>715.27</w:t>
      </w:r>
      <w:r>
        <w:rPr>
          <w:rFonts w:hint="eastAsia" w:ascii="仿宋" w:hAnsi="仿宋" w:eastAsia="仿宋" w:cs="仿宋"/>
          <w:color w:val="auto"/>
          <w:sz w:val="32"/>
          <w:szCs w:val="32"/>
          <w:highlight w:val="none"/>
          <w:lang w:eastAsia="zh-CN"/>
        </w:rPr>
        <w:t>万元</w:t>
      </w:r>
      <w:r>
        <w:rPr>
          <w:rFonts w:hint="eastAsia" w:ascii="仿宋" w:hAnsi="仿宋" w:eastAsia="仿宋" w:cs="仿宋"/>
          <w:color w:val="auto"/>
          <w:sz w:val="32"/>
          <w:szCs w:val="32"/>
          <w:highlight w:val="none"/>
        </w:rPr>
        <w:t>相比，一般公共预算财政拨款支出</w:t>
      </w:r>
      <w:r>
        <w:rPr>
          <w:rFonts w:hint="eastAsia" w:ascii="仿宋" w:hAnsi="仿宋" w:eastAsia="仿宋" w:cs="仿宋"/>
          <w:color w:val="auto"/>
          <w:sz w:val="32"/>
          <w:szCs w:val="32"/>
          <w:highlight w:val="none"/>
          <w:lang w:eastAsia="zh-CN"/>
        </w:rPr>
        <w:t>减少64.22</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减少8.98%</w:t>
      </w:r>
      <w:r>
        <w:rPr>
          <w:rFonts w:hint="eastAsia" w:ascii="仿宋" w:hAnsi="仿宋" w:eastAsia="仿宋" w:cs="仿宋"/>
          <w:color w:val="auto"/>
          <w:sz w:val="32"/>
          <w:szCs w:val="32"/>
          <w:highlight w:val="none"/>
        </w:rPr>
        <w:t>。主要变动原因是</w:t>
      </w:r>
      <w:r>
        <w:rPr>
          <w:rFonts w:hint="eastAsia" w:ascii="仿宋" w:hAnsi="仿宋" w:eastAsia="仿宋" w:cs="仿宋"/>
          <w:color w:val="auto"/>
          <w:sz w:val="32"/>
          <w:szCs w:val="32"/>
          <w:highlight w:val="none"/>
          <w:lang w:eastAsia="zh-CN"/>
        </w:rPr>
        <w:t>基本支出减少</w:t>
      </w:r>
      <w:r>
        <w:rPr>
          <w:rFonts w:hint="eastAsia" w:ascii="仿宋" w:hAnsi="仿宋" w:eastAsia="仿宋" w:cs="仿宋"/>
          <w:color w:val="auto"/>
          <w:sz w:val="32"/>
          <w:szCs w:val="32"/>
          <w:highlight w:val="none"/>
        </w:rPr>
        <w:t>。</w:t>
      </w:r>
    </w:p>
    <w:p w14:paraId="74F3DA1F">
      <w:pPr>
        <w:spacing w:line="600" w:lineRule="exact"/>
        <w:ind w:firstLine="643" w:firstLineChars="200"/>
        <w:outlineLvl w:val="2"/>
        <w:rPr>
          <w:rFonts w:hint="eastAsia" w:ascii="仿宋" w:hAnsi="仿宋" w:eastAsia="仿宋" w:cs="仿宋"/>
          <w:b/>
          <w:color w:val="auto"/>
          <w:sz w:val="32"/>
          <w:szCs w:val="32"/>
          <w:highlight w:val="none"/>
        </w:rPr>
      </w:pPr>
      <w:bookmarkStart w:id="50" w:name="_Toc15377211"/>
      <w:r>
        <w:rPr>
          <w:rFonts w:hint="eastAsia" w:ascii="仿宋" w:hAnsi="仿宋" w:eastAsia="仿宋" w:cs="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cs="仿宋"/>
          <w:b/>
          <w:color w:val="auto"/>
          <w:sz w:val="32"/>
          <w:szCs w:val="32"/>
          <w:highlight w:val="none"/>
        </w:rPr>
        <w:t>（二）一般公共预算财政拨款支出决算结构情况</w:t>
      </w:r>
      <w:bookmarkEnd w:id="50"/>
    </w:p>
    <w:p w14:paraId="6ECA3FA0">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r>
        <w:rPr>
          <w:rFonts w:hint="eastAsia" w:ascii="仿宋" w:hAnsi="仿宋" w:eastAsia="仿宋" w:cs="仿宋"/>
          <w:color w:val="auto"/>
          <w:sz w:val="32"/>
          <w:szCs w:val="32"/>
          <w:highlight w:val="none"/>
        </w:rPr>
        <w:t>2021年一般公共预算财政拨款支出</w:t>
      </w:r>
      <w:r>
        <w:rPr>
          <w:rFonts w:hint="eastAsia" w:ascii="仿宋" w:hAnsi="仿宋" w:eastAsia="仿宋" w:cs="仿宋"/>
          <w:color w:val="auto"/>
          <w:sz w:val="32"/>
          <w:szCs w:val="32"/>
          <w:highlight w:val="none"/>
          <w:lang w:val="en-US" w:eastAsia="zh-CN"/>
        </w:rPr>
        <w:t>651.05</w:t>
      </w:r>
      <w:r>
        <w:rPr>
          <w:rFonts w:hint="eastAsia" w:ascii="仿宋" w:hAnsi="仿宋" w:eastAsia="仿宋" w:cs="仿宋"/>
          <w:color w:val="auto"/>
          <w:sz w:val="32"/>
          <w:szCs w:val="32"/>
          <w:highlight w:val="none"/>
        </w:rPr>
        <w:t>万元，主要用于以下方面:</w:t>
      </w:r>
      <w:r>
        <w:rPr>
          <w:rFonts w:hint="eastAsia" w:ascii="仿宋" w:hAnsi="仿宋" w:eastAsia="仿宋" w:cs="仿宋"/>
          <w:b/>
          <w:color w:val="auto"/>
          <w:sz w:val="32"/>
          <w:szCs w:val="32"/>
          <w:highlight w:val="none"/>
        </w:rPr>
        <w:t>教育支出（类）</w:t>
      </w:r>
      <w:r>
        <w:rPr>
          <w:rFonts w:hint="eastAsia" w:ascii="仿宋" w:hAnsi="仿宋" w:eastAsia="仿宋" w:cs="仿宋"/>
          <w:color w:val="auto"/>
          <w:sz w:val="32"/>
          <w:szCs w:val="32"/>
          <w:highlight w:val="none"/>
          <w:lang w:val="en-US" w:eastAsia="zh-CN"/>
        </w:rPr>
        <w:t>651.05</w:t>
      </w:r>
      <w:r>
        <w:rPr>
          <w:rFonts w:hint="eastAsia" w:ascii="仿宋" w:hAnsi="仿宋" w:eastAsia="仿宋" w:cs="仿宋"/>
          <w:color w:val="auto"/>
          <w:sz w:val="32"/>
          <w:szCs w:val="32"/>
          <w:highlight w:val="none"/>
        </w:rPr>
        <w:t>万元，占100%。</w:t>
      </w:r>
    </w:p>
    <w:p w14:paraId="7F6016C0">
      <w:pPr>
        <w:spacing w:line="600" w:lineRule="exact"/>
        <w:ind w:left="0" w:leftChars="0" w:firstLine="643" w:firstLineChars="200"/>
        <w:rPr>
          <w:rFonts w:hint="eastAsia" w:ascii="仿宋" w:hAnsi="仿宋" w:eastAsia="仿宋" w:cs="仿宋"/>
          <w:b/>
          <w:color w:val="auto"/>
          <w:sz w:val="32"/>
          <w:szCs w:val="32"/>
          <w:highlight w:val="none"/>
        </w:rPr>
      </w:pPr>
      <w:bookmarkStart w:id="51" w:name="_Toc15377212"/>
      <w:r>
        <w:rPr>
          <w:rFonts w:hint="eastAsia" w:ascii="仿宋" w:hAnsi="仿宋" w:eastAsia="仿宋" w:cs="仿宋"/>
          <w:b/>
          <w:color w:val="auto"/>
          <w:sz w:val="32"/>
          <w:szCs w:val="32"/>
          <w:highlight w:val="none"/>
        </w:rPr>
        <w:t>（三）一般公共预算财政拨款支出决算具体情况</w:t>
      </w:r>
      <w:bookmarkEnd w:id="51"/>
    </w:p>
    <w:p w14:paraId="0A11B638">
      <w:pPr>
        <w:spacing w:line="600" w:lineRule="exact"/>
        <w:ind w:firstLine="643" w:firstLineChars="200"/>
        <w:outlineLvl w:val="2"/>
        <w:rPr>
          <w:rFonts w:hint="eastAsia" w:ascii="仿宋" w:hAnsi="仿宋" w:eastAsia="仿宋" w:cs="仿宋"/>
          <w:color w:val="auto"/>
          <w:sz w:val="32"/>
          <w:szCs w:val="32"/>
          <w:highlight w:val="none"/>
        </w:rPr>
      </w:pPr>
      <w:bookmarkStart w:id="52" w:name="_Toc15377213"/>
      <w:bookmarkStart w:id="53" w:name="_Toc15378460"/>
      <w:bookmarkStart w:id="54" w:name="_Toc15377444"/>
      <w:r>
        <w:rPr>
          <w:rFonts w:hint="eastAsia" w:ascii="仿宋" w:hAnsi="仿宋" w:eastAsia="仿宋" w:cs="仿宋"/>
          <w:b/>
          <w:color w:val="auto"/>
          <w:sz w:val="32"/>
          <w:szCs w:val="32"/>
          <w:highlight w:val="none"/>
        </w:rPr>
        <w:t>2021年一般公共预算支出决算数为</w:t>
      </w:r>
      <w:r>
        <w:rPr>
          <w:rFonts w:hint="eastAsia" w:ascii="仿宋" w:hAnsi="仿宋" w:eastAsia="仿宋" w:cs="仿宋"/>
          <w:b/>
          <w:color w:val="auto"/>
          <w:sz w:val="32"/>
          <w:szCs w:val="32"/>
          <w:highlight w:val="none"/>
          <w:lang w:val="en-US" w:eastAsia="zh-CN"/>
        </w:rPr>
        <w:t>651.05万元</w:t>
      </w:r>
      <w:r>
        <w:rPr>
          <w:rFonts w:hint="eastAsia" w:ascii="仿宋" w:hAnsi="仿宋" w:eastAsia="仿宋" w:cs="仿宋"/>
          <w:color w:val="auto"/>
          <w:sz w:val="32"/>
          <w:szCs w:val="32"/>
          <w:highlight w:val="none"/>
        </w:rPr>
        <w:t>，</w:t>
      </w:r>
      <w:r>
        <w:rPr>
          <w:rStyle w:val="19"/>
          <w:rFonts w:hint="eastAsia" w:ascii="仿宋" w:hAnsi="仿宋" w:eastAsia="仿宋" w:cs="仿宋"/>
          <w:bCs/>
          <w:color w:val="auto"/>
          <w:sz w:val="32"/>
          <w:szCs w:val="32"/>
          <w:highlight w:val="none"/>
        </w:rPr>
        <w:t>完成预算100%。其中：</w:t>
      </w:r>
      <w:bookmarkEnd w:id="52"/>
      <w:bookmarkEnd w:id="53"/>
      <w:bookmarkEnd w:id="54"/>
    </w:p>
    <w:p w14:paraId="4F7B4894">
      <w:pPr>
        <w:spacing w:line="600" w:lineRule="exact"/>
        <w:ind w:firstLine="643" w:firstLineChars="200"/>
        <w:rPr>
          <w:rFonts w:hint="eastAsia" w:ascii="仿宋" w:hAnsi="仿宋" w:eastAsia="仿宋" w:cs="仿宋"/>
          <w:b/>
          <w:color w:val="auto"/>
          <w:sz w:val="32"/>
          <w:szCs w:val="32"/>
          <w:highlight w:val="none"/>
        </w:rPr>
      </w:pPr>
      <w:r>
        <w:rPr>
          <w:rStyle w:val="19"/>
          <w:rFonts w:hint="eastAsia" w:ascii="仿宋" w:hAnsi="仿宋" w:eastAsia="仿宋" w:cs="仿宋"/>
          <w:bCs/>
          <w:color w:val="auto"/>
          <w:sz w:val="32"/>
          <w:szCs w:val="32"/>
          <w:highlight w:val="none"/>
        </w:rPr>
        <w:t>1.教育205（类）普通教育02（款）</w:t>
      </w:r>
      <w:r>
        <w:rPr>
          <w:rStyle w:val="19"/>
          <w:rFonts w:hint="eastAsia" w:ascii="仿宋" w:hAnsi="仿宋" w:eastAsia="仿宋" w:cs="仿宋"/>
          <w:bCs/>
          <w:color w:val="auto"/>
          <w:sz w:val="32"/>
          <w:szCs w:val="32"/>
          <w:highlight w:val="none"/>
          <w:lang w:eastAsia="zh-CN"/>
        </w:rPr>
        <w:t>小学</w:t>
      </w:r>
      <w:r>
        <w:rPr>
          <w:rStyle w:val="19"/>
          <w:rFonts w:hint="eastAsia" w:ascii="仿宋" w:hAnsi="仿宋" w:eastAsia="仿宋" w:cs="仿宋"/>
          <w:bCs/>
          <w:color w:val="auto"/>
          <w:sz w:val="32"/>
          <w:szCs w:val="32"/>
          <w:highlight w:val="none"/>
        </w:rPr>
        <w:t>教育0</w:t>
      </w:r>
      <w:r>
        <w:rPr>
          <w:rStyle w:val="19"/>
          <w:rFonts w:hint="eastAsia" w:ascii="仿宋" w:hAnsi="仿宋" w:eastAsia="仿宋" w:cs="仿宋"/>
          <w:bCs/>
          <w:color w:val="auto"/>
          <w:sz w:val="32"/>
          <w:szCs w:val="32"/>
          <w:highlight w:val="none"/>
          <w:lang w:val="en-US" w:eastAsia="zh-CN"/>
        </w:rPr>
        <w:t>2</w:t>
      </w:r>
      <w:r>
        <w:rPr>
          <w:rStyle w:val="19"/>
          <w:rFonts w:hint="eastAsia" w:ascii="仿宋" w:hAnsi="仿宋" w:eastAsia="仿宋" w:cs="仿宋"/>
          <w:bCs/>
          <w:color w:val="auto"/>
          <w:sz w:val="32"/>
          <w:szCs w:val="32"/>
          <w:highlight w:val="none"/>
        </w:rPr>
        <w:t>（项）:</w:t>
      </w:r>
      <w:r>
        <w:rPr>
          <w:rStyle w:val="19"/>
          <w:rFonts w:hint="eastAsia" w:ascii="仿宋" w:hAnsi="仿宋" w:eastAsia="仿宋" w:cs="仿宋"/>
          <w:b w:val="0"/>
          <w:bCs/>
          <w:color w:val="auto"/>
          <w:sz w:val="32"/>
          <w:szCs w:val="32"/>
          <w:highlight w:val="none"/>
        </w:rPr>
        <w:t xml:space="preserve"> 支出决算为</w:t>
      </w:r>
      <w:r>
        <w:rPr>
          <w:rStyle w:val="19"/>
          <w:rFonts w:hint="eastAsia" w:ascii="仿宋" w:hAnsi="仿宋" w:eastAsia="仿宋" w:cs="仿宋"/>
          <w:b w:val="0"/>
          <w:bCs/>
          <w:color w:val="auto"/>
          <w:sz w:val="32"/>
          <w:szCs w:val="32"/>
          <w:highlight w:val="none"/>
          <w:lang w:eastAsia="zh-CN"/>
        </w:rPr>
        <w:t>421.05</w:t>
      </w:r>
      <w:r>
        <w:rPr>
          <w:rStyle w:val="19"/>
          <w:rFonts w:hint="eastAsia" w:ascii="仿宋" w:hAnsi="仿宋" w:eastAsia="仿宋" w:cs="仿宋"/>
          <w:b w:val="0"/>
          <w:bCs/>
          <w:color w:val="auto"/>
          <w:sz w:val="32"/>
          <w:szCs w:val="32"/>
          <w:highlight w:val="none"/>
        </w:rPr>
        <w:t>万元，完成预算100%</w:t>
      </w:r>
      <w:r>
        <w:rPr>
          <w:rStyle w:val="19"/>
          <w:rFonts w:hint="eastAsia" w:ascii="仿宋" w:hAnsi="仿宋" w:eastAsia="仿宋" w:cs="仿宋"/>
          <w:b w:val="0"/>
          <w:bCs/>
          <w:color w:val="auto"/>
          <w:sz w:val="32"/>
          <w:szCs w:val="32"/>
          <w:highlight w:val="none"/>
          <w:lang w:eastAsia="zh-CN"/>
        </w:rPr>
        <w:t>，</w:t>
      </w:r>
      <w:r>
        <w:rPr>
          <w:rStyle w:val="19"/>
          <w:rFonts w:hint="eastAsia" w:ascii="仿宋" w:hAnsi="仿宋" w:eastAsia="仿宋" w:cs="仿宋"/>
          <w:b w:val="0"/>
          <w:bCs/>
          <w:color w:val="auto"/>
          <w:sz w:val="32"/>
          <w:szCs w:val="32"/>
          <w:highlight w:val="none"/>
        </w:rPr>
        <w:t>决算数等于预算数。</w:t>
      </w:r>
    </w:p>
    <w:p w14:paraId="6A13C348">
      <w:pPr>
        <w:spacing w:line="600" w:lineRule="exact"/>
        <w:ind w:firstLine="643" w:firstLineChars="200"/>
        <w:rPr>
          <w:rStyle w:val="19"/>
          <w:rFonts w:hint="eastAsia" w:ascii="仿宋" w:hAnsi="仿宋" w:eastAsia="仿宋" w:cs="仿宋"/>
          <w:b w:val="0"/>
          <w:bCs/>
          <w:color w:val="auto"/>
          <w:sz w:val="32"/>
          <w:szCs w:val="32"/>
          <w:highlight w:val="none"/>
        </w:rPr>
      </w:pPr>
      <w:r>
        <w:rPr>
          <w:rStyle w:val="19"/>
          <w:rFonts w:hint="eastAsia" w:ascii="仿宋" w:hAnsi="仿宋" w:eastAsia="仿宋" w:cs="仿宋"/>
          <w:bCs/>
          <w:color w:val="auto"/>
          <w:sz w:val="32"/>
          <w:szCs w:val="32"/>
          <w:highlight w:val="none"/>
        </w:rPr>
        <w:t>2.教育205（类）普通教育0</w:t>
      </w:r>
      <w:r>
        <w:rPr>
          <w:rStyle w:val="19"/>
          <w:rFonts w:hint="eastAsia" w:ascii="仿宋" w:hAnsi="仿宋" w:eastAsia="仿宋" w:cs="仿宋"/>
          <w:bCs/>
          <w:color w:val="auto"/>
          <w:sz w:val="32"/>
          <w:szCs w:val="32"/>
          <w:highlight w:val="none"/>
          <w:lang w:val="en-US" w:eastAsia="zh-CN"/>
        </w:rPr>
        <w:t>2</w:t>
      </w:r>
      <w:r>
        <w:rPr>
          <w:rStyle w:val="19"/>
          <w:rFonts w:hint="eastAsia" w:ascii="仿宋" w:hAnsi="仿宋" w:eastAsia="仿宋" w:cs="仿宋"/>
          <w:bCs/>
          <w:color w:val="auto"/>
          <w:sz w:val="32"/>
          <w:szCs w:val="32"/>
          <w:highlight w:val="none"/>
        </w:rPr>
        <w:t>（款）</w:t>
      </w:r>
      <w:r>
        <w:rPr>
          <w:rStyle w:val="19"/>
          <w:rFonts w:hint="eastAsia" w:ascii="仿宋" w:hAnsi="仿宋" w:eastAsia="仿宋" w:cs="仿宋"/>
          <w:bCs/>
          <w:color w:val="auto"/>
          <w:sz w:val="32"/>
          <w:szCs w:val="32"/>
          <w:highlight w:val="none"/>
          <w:lang w:eastAsia="zh-CN"/>
        </w:rPr>
        <w:t>其他普通教育支出</w:t>
      </w:r>
      <w:r>
        <w:rPr>
          <w:rStyle w:val="19"/>
          <w:rFonts w:hint="eastAsia" w:ascii="仿宋" w:hAnsi="仿宋" w:eastAsia="仿宋" w:cs="仿宋"/>
          <w:bCs/>
          <w:color w:val="auto"/>
          <w:sz w:val="32"/>
          <w:szCs w:val="32"/>
          <w:highlight w:val="none"/>
        </w:rPr>
        <w:t>0</w:t>
      </w:r>
      <w:r>
        <w:rPr>
          <w:rStyle w:val="19"/>
          <w:rFonts w:hint="eastAsia" w:ascii="仿宋" w:hAnsi="仿宋" w:eastAsia="仿宋" w:cs="仿宋"/>
          <w:bCs/>
          <w:color w:val="auto"/>
          <w:sz w:val="32"/>
          <w:szCs w:val="32"/>
          <w:highlight w:val="none"/>
          <w:lang w:val="en-US" w:eastAsia="zh-CN"/>
        </w:rPr>
        <w:t>9</w:t>
      </w:r>
      <w:r>
        <w:rPr>
          <w:rStyle w:val="19"/>
          <w:rFonts w:hint="eastAsia" w:ascii="仿宋" w:hAnsi="仿宋" w:eastAsia="仿宋" w:cs="仿宋"/>
          <w:bCs/>
          <w:color w:val="auto"/>
          <w:sz w:val="32"/>
          <w:szCs w:val="32"/>
          <w:highlight w:val="none"/>
        </w:rPr>
        <w:t>（项）:</w:t>
      </w:r>
      <w:r>
        <w:rPr>
          <w:rStyle w:val="19"/>
          <w:rFonts w:hint="eastAsia" w:ascii="仿宋" w:hAnsi="仿宋" w:eastAsia="仿宋" w:cs="仿宋"/>
          <w:b w:val="0"/>
          <w:bCs/>
          <w:color w:val="auto"/>
          <w:sz w:val="32"/>
          <w:szCs w:val="32"/>
          <w:highlight w:val="none"/>
        </w:rPr>
        <w:t xml:space="preserve"> 支出决算为</w:t>
      </w:r>
      <w:r>
        <w:rPr>
          <w:rStyle w:val="19"/>
          <w:rFonts w:hint="eastAsia" w:ascii="仿宋" w:hAnsi="仿宋" w:eastAsia="仿宋" w:cs="仿宋"/>
          <w:b w:val="0"/>
          <w:bCs/>
          <w:color w:val="auto"/>
          <w:sz w:val="32"/>
          <w:szCs w:val="32"/>
          <w:highlight w:val="none"/>
          <w:lang w:val="en-US" w:eastAsia="zh-CN"/>
        </w:rPr>
        <w:t>230.00</w:t>
      </w:r>
      <w:r>
        <w:rPr>
          <w:rStyle w:val="19"/>
          <w:rFonts w:hint="eastAsia" w:ascii="仿宋" w:hAnsi="仿宋" w:eastAsia="仿宋" w:cs="仿宋"/>
          <w:b w:val="0"/>
          <w:bCs/>
          <w:color w:val="auto"/>
          <w:sz w:val="32"/>
          <w:szCs w:val="32"/>
          <w:highlight w:val="none"/>
        </w:rPr>
        <w:t>万元，完成预算100%。</w:t>
      </w:r>
      <w:r>
        <w:rPr>
          <w:rStyle w:val="19"/>
          <w:rFonts w:hint="eastAsia" w:ascii="仿宋" w:hAnsi="仿宋" w:eastAsia="仿宋" w:cs="仿宋"/>
          <w:b w:val="0"/>
          <w:bCs/>
          <w:color w:val="auto"/>
          <w:sz w:val="32"/>
          <w:szCs w:val="32"/>
          <w:highlight w:val="none"/>
          <w:lang w:eastAsia="zh-CN"/>
        </w:rPr>
        <w:t>，</w:t>
      </w:r>
      <w:r>
        <w:rPr>
          <w:rStyle w:val="19"/>
          <w:rFonts w:hint="eastAsia" w:ascii="仿宋" w:hAnsi="仿宋" w:eastAsia="仿宋" w:cs="仿宋"/>
          <w:b w:val="0"/>
          <w:bCs/>
          <w:color w:val="auto"/>
          <w:sz w:val="32"/>
          <w:szCs w:val="32"/>
          <w:highlight w:val="none"/>
        </w:rPr>
        <w:t>决算数等于预算数。</w:t>
      </w:r>
    </w:p>
    <w:p w14:paraId="760534AE">
      <w:pPr>
        <w:pStyle w:val="16"/>
        <w:rPr>
          <w:rFonts w:hint="eastAsia" w:ascii="仿宋" w:hAnsi="仿宋" w:eastAsia="仿宋" w:cs="仿宋"/>
          <w:color w:val="auto"/>
          <w:highlight w:val="none"/>
        </w:rPr>
      </w:pPr>
    </w:p>
    <w:p w14:paraId="070470D8">
      <w:pPr>
        <w:pStyle w:val="4"/>
        <w:bidi w:val="0"/>
        <w:rPr>
          <w:rFonts w:hint="eastAsia" w:ascii="仿宋" w:hAnsi="仿宋" w:eastAsia="仿宋" w:cs="仿宋"/>
          <w:color w:val="auto"/>
          <w:highlight w:val="none"/>
        </w:rPr>
      </w:pPr>
      <w:bookmarkStart w:id="55" w:name="_Toc23757"/>
      <w:bookmarkStart w:id="56" w:name="_Toc15377214"/>
      <w:bookmarkStart w:id="57" w:name="_Toc15396608"/>
      <w:r>
        <w:rPr>
          <w:rFonts w:hint="eastAsia" w:ascii="仿宋" w:hAnsi="仿宋" w:eastAsia="仿宋" w:cs="仿宋"/>
          <w:color w:val="auto"/>
          <w:highlight w:val="none"/>
        </w:rPr>
        <w:t>六、一般公共预算财政拨款基本支出决算情况说明</w:t>
      </w:r>
      <w:bookmarkEnd w:id="55"/>
      <w:bookmarkEnd w:id="56"/>
      <w:bookmarkEnd w:id="57"/>
      <w:r>
        <w:rPr>
          <w:rFonts w:hint="eastAsia" w:ascii="仿宋" w:hAnsi="仿宋" w:eastAsia="仿宋" w:cs="仿宋"/>
          <w:color w:val="auto"/>
          <w:highlight w:val="none"/>
        </w:rPr>
        <w:tab/>
      </w:r>
    </w:p>
    <w:p w14:paraId="7400DA0F">
      <w:pPr>
        <w:spacing w:line="600" w:lineRule="exact"/>
        <w:ind w:firstLine="645"/>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2021年一般公共预算财政拨款基本支出</w:t>
      </w:r>
      <w:r>
        <w:rPr>
          <w:rFonts w:hint="eastAsia" w:ascii="仿宋" w:hAnsi="仿宋" w:eastAsia="仿宋" w:cs="仿宋"/>
          <w:color w:val="auto"/>
          <w:sz w:val="32"/>
          <w:szCs w:val="32"/>
          <w:highlight w:val="none"/>
          <w:lang w:eastAsia="zh-CN"/>
        </w:rPr>
        <w:t>421.05</w:t>
      </w:r>
      <w:r>
        <w:rPr>
          <w:rFonts w:hint="eastAsia" w:ascii="仿宋" w:hAnsi="仿宋" w:eastAsia="仿宋" w:cs="仿宋"/>
          <w:color w:val="auto"/>
          <w:sz w:val="32"/>
          <w:szCs w:val="32"/>
          <w:highlight w:val="none"/>
        </w:rPr>
        <w:t>万元，其中：</w:t>
      </w:r>
    </w:p>
    <w:p w14:paraId="0C46F66A">
      <w:pPr>
        <w:spacing w:line="600" w:lineRule="exact"/>
        <w:ind w:firstLine="645"/>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人员经费</w:t>
      </w:r>
      <w:r>
        <w:rPr>
          <w:rFonts w:hint="eastAsia" w:ascii="仿宋" w:hAnsi="仿宋" w:eastAsia="仿宋" w:cs="仿宋"/>
          <w:color w:val="auto"/>
          <w:sz w:val="32"/>
          <w:szCs w:val="32"/>
          <w:highlight w:val="none"/>
          <w:lang w:val="en-US" w:eastAsia="zh-CN"/>
        </w:rPr>
        <w:t>386.23</w:t>
      </w:r>
      <w:r>
        <w:rPr>
          <w:rFonts w:hint="eastAsia" w:ascii="仿宋" w:hAnsi="仿宋" w:eastAsia="仿宋" w:cs="仿宋"/>
          <w:color w:val="auto"/>
          <w:sz w:val="32"/>
          <w:szCs w:val="32"/>
          <w:highlight w:val="none"/>
        </w:rPr>
        <w:t>万元，主要包括：基本工资、津贴补贴、绩效工资、机关事业单位基本养老保险缴费、职工基本医疗保险缴费</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其他社会保障缴费、其他工资福利支出、生活补助、助学金</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奖励金、住房公积金</w:t>
      </w:r>
      <w:r>
        <w:rPr>
          <w:rFonts w:hint="eastAsia" w:ascii="仿宋" w:hAnsi="仿宋" w:eastAsia="仿宋" w:cs="仿宋"/>
          <w:color w:val="auto"/>
          <w:sz w:val="32"/>
          <w:szCs w:val="32"/>
          <w:highlight w:val="none"/>
          <w:lang w:eastAsia="zh-CN"/>
        </w:rPr>
        <w:t>、其他个人和家庭的补助支出</w:t>
      </w:r>
      <w:r>
        <w:rPr>
          <w:rFonts w:hint="eastAsia" w:ascii="仿宋" w:hAnsi="仿宋" w:eastAsia="仿宋" w:cs="仿宋"/>
          <w:color w:val="auto"/>
          <w:sz w:val="32"/>
          <w:szCs w:val="32"/>
          <w:highlight w:val="none"/>
        </w:rPr>
        <w:t>等。</w:t>
      </w:r>
    </w:p>
    <w:p w14:paraId="1EB38845">
      <w:pPr>
        <w:spacing w:line="600" w:lineRule="exact"/>
        <w:ind w:firstLine="645"/>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t>公用经费</w:t>
      </w:r>
      <w:r>
        <w:rPr>
          <w:rFonts w:hint="eastAsia" w:ascii="仿宋" w:hAnsi="仿宋" w:eastAsia="仿宋" w:cs="仿宋"/>
          <w:color w:val="auto"/>
          <w:sz w:val="32"/>
          <w:szCs w:val="32"/>
          <w:highlight w:val="none"/>
          <w:lang w:val="en-US" w:eastAsia="zh-CN"/>
        </w:rPr>
        <w:t>34.82</w:t>
      </w:r>
      <w:r>
        <w:rPr>
          <w:rFonts w:hint="eastAsia" w:ascii="仿宋" w:hAnsi="仿宋" w:eastAsia="仿宋" w:cs="仿宋"/>
          <w:color w:val="auto"/>
          <w:sz w:val="32"/>
          <w:szCs w:val="32"/>
          <w:highlight w:val="none"/>
        </w:rPr>
        <w:t>万元，主要包括：办公费、印刷费、手续费、水费、电费、邮电费、差旅费、维修（护）费、培训费、公务接待费、工会经费等。</w:t>
      </w:r>
    </w:p>
    <w:p w14:paraId="66E7D53A">
      <w:pPr>
        <w:pStyle w:val="4"/>
        <w:bidi w:val="0"/>
        <w:rPr>
          <w:rFonts w:hint="eastAsia" w:ascii="仿宋" w:hAnsi="仿宋" w:eastAsia="仿宋" w:cs="仿宋"/>
          <w:color w:val="auto"/>
          <w:highlight w:val="none"/>
        </w:rPr>
      </w:pPr>
      <w:bookmarkStart w:id="58" w:name="_Toc15377215"/>
      <w:bookmarkStart w:id="59" w:name="_Toc16373"/>
      <w:bookmarkStart w:id="60" w:name="_Toc15396609"/>
      <w:r>
        <w:rPr>
          <w:rFonts w:hint="eastAsia" w:ascii="仿宋" w:hAnsi="仿宋" w:eastAsia="仿宋" w:cs="仿宋"/>
          <w:color w:val="auto"/>
          <w:highlight w:val="none"/>
        </w:rPr>
        <w:t>七、“三公”经费财政拨款支出决算情况说明</w:t>
      </w:r>
      <w:bookmarkEnd w:id="58"/>
      <w:bookmarkEnd w:id="59"/>
      <w:bookmarkEnd w:id="60"/>
    </w:p>
    <w:p w14:paraId="5BA26712">
      <w:pPr>
        <w:spacing w:line="600" w:lineRule="exact"/>
        <w:ind w:firstLine="640"/>
        <w:outlineLvl w:val="2"/>
        <w:rPr>
          <w:rFonts w:hint="eastAsia" w:ascii="仿宋" w:hAnsi="仿宋" w:eastAsia="仿宋" w:cs="仿宋"/>
          <w:b/>
          <w:color w:val="auto"/>
          <w:sz w:val="32"/>
          <w:szCs w:val="32"/>
          <w:highlight w:val="none"/>
        </w:rPr>
      </w:pPr>
      <w:bookmarkStart w:id="61" w:name="_Toc15377216"/>
      <w:r>
        <w:rPr>
          <w:rFonts w:hint="eastAsia" w:ascii="仿宋" w:hAnsi="仿宋" w:eastAsia="仿宋" w:cs="仿宋"/>
          <w:b/>
          <w:color w:val="auto"/>
          <w:sz w:val="32"/>
          <w:szCs w:val="32"/>
          <w:highlight w:val="none"/>
        </w:rPr>
        <w:t>（一）“三公”经费财政拨款支出决算总体情况说明</w:t>
      </w:r>
      <w:bookmarkEnd w:id="61"/>
    </w:p>
    <w:p w14:paraId="06D07DFB">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2021年“三公”经费财政拨款支出决算为</w:t>
      </w:r>
      <w:r>
        <w:rPr>
          <w:rFonts w:hint="eastAsia" w:ascii="仿宋" w:hAnsi="仿宋" w:eastAsia="仿宋" w:cs="仿宋"/>
          <w:color w:val="auto"/>
          <w:sz w:val="32"/>
          <w:szCs w:val="32"/>
          <w:highlight w:val="none"/>
          <w:lang w:val="en-US" w:eastAsia="zh-CN"/>
        </w:rPr>
        <w:t>1.07</w:t>
      </w:r>
      <w:r>
        <w:rPr>
          <w:rFonts w:hint="eastAsia" w:ascii="仿宋" w:hAnsi="仿宋" w:eastAsia="仿宋" w:cs="仿宋"/>
          <w:color w:val="auto"/>
          <w:sz w:val="32"/>
          <w:szCs w:val="32"/>
          <w:highlight w:val="none"/>
        </w:rPr>
        <w:t>万元，完成预算</w:t>
      </w:r>
      <w:r>
        <w:rPr>
          <w:rFonts w:hint="eastAsia" w:ascii="仿宋" w:hAnsi="仿宋" w:eastAsia="仿宋" w:cs="仿宋"/>
          <w:color w:val="auto"/>
          <w:sz w:val="32"/>
          <w:szCs w:val="32"/>
          <w:highlight w:val="none"/>
          <w:lang w:val="en-US" w:eastAsia="zh-CN"/>
        </w:rPr>
        <w:t>93.04%</w:t>
      </w:r>
      <w:r>
        <w:rPr>
          <w:rFonts w:hint="eastAsia" w:ascii="仿宋" w:hAnsi="仿宋" w:eastAsia="仿宋" w:cs="仿宋"/>
          <w:color w:val="auto"/>
          <w:sz w:val="32"/>
          <w:szCs w:val="32"/>
          <w:highlight w:val="none"/>
        </w:rPr>
        <w:t>，主要原因是</w:t>
      </w:r>
      <w:r>
        <w:rPr>
          <w:rFonts w:hint="eastAsia" w:ascii="仿宋" w:hAnsi="仿宋" w:eastAsia="仿宋" w:cs="仿宋"/>
          <w:color w:val="auto"/>
          <w:sz w:val="32"/>
          <w:szCs w:val="32"/>
          <w:highlight w:val="none"/>
          <w:lang w:eastAsia="zh-CN"/>
        </w:rPr>
        <w:t>认真贯彻落实中央八项规定精神，采取有效措施严格控制接待范围和接待标准</w:t>
      </w:r>
      <w:r>
        <w:rPr>
          <w:rFonts w:hint="eastAsia" w:ascii="仿宋" w:hAnsi="仿宋" w:eastAsia="仿宋" w:cs="仿宋"/>
          <w:color w:val="auto"/>
          <w:sz w:val="32"/>
          <w:szCs w:val="32"/>
          <w:highlight w:val="none"/>
        </w:rPr>
        <w:t>。</w:t>
      </w:r>
    </w:p>
    <w:p w14:paraId="31A115ED">
      <w:pPr>
        <w:spacing w:line="600" w:lineRule="exact"/>
        <w:ind w:firstLine="640"/>
        <w:outlineLvl w:val="2"/>
        <w:rPr>
          <w:rFonts w:hint="eastAsia" w:ascii="仿宋" w:hAnsi="仿宋" w:eastAsia="仿宋" w:cs="仿宋"/>
          <w:b/>
          <w:color w:val="auto"/>
          <w:sz w:val="32"/>
          <w:szCs w:val="32"/>
          <w:highlight w:val="none"/>
        </w:rPr>
      </w:pPr>
      <w:bookmarkStart w:id="62" w:name="_Toc15377217"/>
      <w:r>
        <w:rPr>
          <w:rFonts w:hint="eastAsia" w:ascii="仿宋" w:hAnsi="仿宋" w:eastAsia="仿宋" w:cs="仿宋"/>
          <w:b/>
          <w:color w:val="auto"/>
          <w:sz w:val="32"/>
          <w:szCs w:val="32"/>
          <w:highlight w:val="none"/>
        </w:rPr>
        <w:t>（二）“三公”经费财政拨款支出决算具体情况说明</w:t>
      </w:r>
      <w:bookmarkEnd w:id="62"/>
    </w:p>
    <w:p w14:paraId="35575FA0">
      <w:pPr>
        <w:spacing w:line="600" w:lineRule="exact"/>
        <w:ind w:firstLine="640" w:firstLineChars="200"/>
        <w:rPr>
          <w:rFonts w:hint="eastAsia" w:ascii="仿宋" w:hAnsi="仿宋" w:eastAsia="仿宋" w:cs="仿宋"/>
          <w:b/>
          <w:color w:val="auto"/>
          <w:sz w:val="32"/>
          <w:szCs w:val="32"/>
          <w:highlight w:val="none"/>
        </w:rPr>
      </w:pPr>
      <w:r>
        <w:rPr>
          <w:rFonts w:hint="eastAsia" w:ascii="仿宋" w:hAnsi="仿宋" w:eastAsia="仿宋" w:cs="仿宋"/>
          <w:color w:val="auto"/>
          <w:sz w:val="32"/>
          <w:szCs w:val="32"/>
          <w:highlight w:val="none"/>
        </w:rPr>
        <w:t>2021年“三公”经费财政拨款支出决算中，因公出国（境）费支出决算0万元，当年未安排</w:t>
      </w:r>
      <w:r>
        <w:rPr>
          <w:rFonts w:hint="eastAsia" w:ascii="仿宋" w:hAnsi="仿宋" w:eastAsia="仿宋" w:cs="仿宋"/>
          <w:color w:val="auto"/>
          <w:sz w:val="32"/>
          <w:szCs w:val="32"/>
          <w:highlight w:val="none"/>
          <w:lang w:eastAsia="zh-CN"/>
        </w:rPr>
        <w:t>预算</w:t>
      </w:r>
      <w:r>
        <w:rPr>
          <w:rFonts w:hint="eastAsia" w:ascii="仿宋" w:hAnsi="仿宋" w:eastAsia="仿宋" w:cs="仿宋"/>
          <w:color w:val="auto"/>
          <w:sz w:val="32"/>
          <w:szCs w:val="32"/>
          <w:highlight w:val="none"/>
          <w:lang w:val="en-US" w:eastAsia="zh-CN"/>
        </w:rPr>
        <w:t>，与上年持平</w:t>
      </w:r>
      <w:r>
        <w:rPr>
          <w:rFonts w:hint="eastAsia" w:ascii="仿宋" w:hAnsi="仿宋" w:eastAsia="仿宋" w:cs="仿宋"/>
          <w:color w:val="auto"/>
          <w:sz w:val="32"/>
          <w:szCs w:val="32"/>
          <w:highlight w:val="none"/>
        </w:rPr>
        <w:t>；公务用车购置及运行维护费支出决算0万元，当年未安排</w:t>
      </w:r>
      <w:r>
        <w:rPr>
          <w:rFonts w:hint="eastAsia" w:ascii="仿宋" w:hAnsi="仿宋" w:eastAsia="仿宋" w:cs="仿宋"/>
          <w:color w:val="auto"/>
          <w:sz w:val="32"/>
          <w:szCs w:val="32"/>
          <w:highlight w:val="none"/>
          <w:lang w:eastAsia="zh-CN"/>
        </w:rPr>
        <w:t>预算</w:t>
      </w:r>
      <w:r>
        <w:rPr>
          <w:rFonts w:hint="eastAsia" w:ascii="仿宋" w:hAnsi="仿宋" w:eastAsia="仿宋" w:cs="仿宋"/>
          <w:color w:val="auto"/>
          <w:sz w:val="32"/>
          <w:szCs w:val="32"/>
          <w:highlight w:val="none"/>
          <w:lang w:val="en-US" w:eastAsia="zh-CN"/>
        </w:rPr>
        <w:t>，与上年持平</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val="en-US" w:eastAsia="zh-CN"/>
        </w:rPr>
        <w:t>1.07</w:t>
      </w:r>
      <w:r>
        <w:rPr>
          <w:rFonts w:hint="eastAsia" w:ascii="仿宋" w:hAnsi="仿宋" w:eastAsia="仿宋" w:cs="仿宋"/>
          <w:color w:val="auto"/>
          <w:sz w:val="32"/>
          <w:szCs w:val="32"/>
          <w:highlight w:val="none"/>
        </w:rPr>
        <w:t>万元，占100%。具体情况如下：</w:t>
      </w:r>
    </w:p>
    <w:p w14:paraId="4B3C01CA">
      <w:pPr>
        <w:spacing w:line="600" w:lineRule="exact"/>
        <w:ind w:firstLine="640"/>
        <w:rPr>
          <w:rFonts w:hint="eastAsia" w:ascii="仿宋" w:hAnsi="仿宋" w:eastAsia="仿宋" w:cs="仿宋"/>
          <w:b/>
          <w:bCs w:val="0"/>
          <w:color w:val="auto"/>
          <w:sz w:val="32"/>
          <w:szCs w:val="32"/>
          <w:highlight w:val="none"/>
          <w:lang w:val="en-US"/>
        </w:rPr>
      </w:pPr>
      <w:r>
        <w:rPr>
          <w:rFonts w:hint="eastAsia" w:ascii="仿宋" w:hAnsi="仿宋" w:eastAsia="仿宋" w:cs="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cs="仿宋"/>
          <w:b/>
          <w:bCs w:val="0"/>
          <w:color w:val="auto"/>
          <w:kern w:val="2"/>
          <w:sz w:val="32"/>
          <w:szCs w:val="32"/>
          <w:highlight w:val="none"/>
          <w:lang w:val="en-US" w:eastAsia="zh-CN" w:bidi="ar"/>
        </w:rPr>
        <w:t>1.因公出国（境）经费支出</w:t>
      </w:r>
      <w:r>
        <w:rPr>
          <w:rFonts w:hint="eastAsia" w:ascii="仿宋" w:hAnsi="仿宋" w:eastAsia="仿宋" w:cs="仿宋"/>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1E3ABBA7">
      <w:pPr>
        <w:spacing w:line="600" w:lineRule="exact"/>
        <w:ind w:firstLine="640"/>
        <w:rPr>
          <w:rFonts w:hint="eastAsia" w:ascii="仿宋" w:hAnsi="仿宋" w:eastAsia="仿宋" w:cs="仿宋"/>
          <w:b/>
          <w:bCs w:val="0"/>
          <w:color w:val="auto"/>
          <w:sz w:val="32"/>
          <w:szCs w:val="32"/>
          <w:highlight w:val="none"/>
          <w:lang w:val="en-US"/>
        </w:rPr>
      </w:pPr>
      <w:r>
        <w:rPr>
          <w:rFonts w:hint="eastAsia" w:ascii="仿宋" w:hAnsi="仿宋" w:eastAsia="仿宋" w:cs="仿宋"/>
          <w:b/>
          <w:bCs w:val="0"/>
          <w:color w:val="auto"/>
          <w:kern w:val="2"/>
          <w:sz w:val="32"/>
          <w:szCs w:val="32"/>
          <w:highlight w:val="none"/>
          <w:lang w:val="en-US" w:eastAsia="zh-CN" w:bidi="ar"/>
        </w:rPr>
        <w:t>2.公务用车购置及运行维护费支出</w:t>
      </w:r>
      <w:r>
        <w:rPr>
          <w:rFonts w:hint="eastAsia" w:ascii="仿宋" w:hAnsi="仿宋" w:eastAsia="仿宋" w:cs="仿宋"/>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14:paraId="628D8436">
      <w:pPr>
        <w:keepNext w:val="0"/>
        <w:keepLines w:val="0"/>
        <w:widowControl w:val="0"/>
        <w:suppressLineNumbers w:val="0"/>
        <w:spacing w:before="0" w:beforeAutospacing="0" w:after="0" w:afterAutospacing="0" w:line="600" w:lineRule="exact"/>
        <w:ind w:right="0" w:firstLine="643" w:firstLineChars="200"/>
        <w:jc w:val="both"/>
        <w:rPr>
          <w:rFonts w:hint="eastAsia" w:ascii="仿宋" w:hAnsi="仿宋" w:eastAsia="仿宋" w:cs="仿宋"/>
          <w:bCs/>
          <w:color w:val="auto"/>
          <w:sz w:val="32"/>
          <w:szCs w:val="32"/>
          <w:highlight w:val="none"/>
          <w:lang w:val="en-US"/>
        </w:rPr>
      </w:pPr>
      <w:r>
        <w:rPr>
          <w:rFonts w:hint="eastAsia" w:ascii="仿宋" w:hAnsi="仿宋" w:eastAsia="仿宋" w:cs="仿宋"/>
          <w:b/>
          <w:bCs/>
          <w:color w:val="auto"/>
          <w:kern w:val="2"/>
          <w:sz w:val="32"/>
          <w:szCs w:val="32"/>
          <w:highlight w:val="none"/>
          <w:lang w:val="en-US" w:eastAsia="zh-CN" w:bidi="ar"/>
        </w:rPr>
        <w:t>其中：</w:t>
      </w:r>
      <w:r>
        <w:rPr>
          <w:rFonts w:hint="eastAsia" w:ascii="仿宋" w:hAnsi="仿宋" w:eastAsia="仿宋" w:cs="仿宋"/>
          <w:b/>
          <w:bCs w:val="0"/>
          <w:color w:val="auto"/>
          <w:kern w:val="2"/>
          <w:sz w:val="32"/>
          <w:szCs w:val="32"/>
          <w:highlight w:val="none"/>
          <w:lang w:val="en-US" w:eastAsia="zh-CN" w:bidi="ar"/>
        </w:rPr>
        <w:t>公务用车购置支出</w:t>
      </w:r>
      <w:r>
        <w:rPr>
          <w:rFonts w:hint="eastAsia" w:ascii="仿宋" w:hAnsi="仿宋" w:eastAsia="仿宋" w:cs="仿宋"/>
          <w:bCs/>
          <w:color w:val="auto"/>
          <w:kern w:val="2"/>
          <w:sz w:val="32"/>
          <w:szCs w:val="32"/>
          <w:highlight w:val="none"/>
          <w:lang w:val="en-US" w:eastAsia="zh-CN" w:bidi="ar"/>
        </w:rPr>
        <w:t>0万元。全年按规定更新购置公务用车0辆，</w:t>
      </w:r>
      <w:r>
        <w:rPr>
          <w:rFonts w:hint="eastAsia" w:ascii="仿宋" w:hAnsi="仿宋" w:eastAsia="仿宋" w:cs="仿宋"/>
          <w:color w:val="auto"/>
          <w:kern w:val="2"/>
          <w:sz w:val="32"/>
          <w:szCs w:val="32"/>
          <w:highlight w:val="none"/>
          <w:lang w:val="en-US" w:eastAsia="zh-CN" w:bidi="ar"/>
        </w:rPr>
        <w:t>主要原因是我单位未购置公务用车。</w:t>
      </w:r>
      <w:r>
        <w:rPr>
          <w:rFonts w:hint="eastAsia" w:ascii="仿宋" w:hAnsi="仿宋" w:eastAsia="仿宋" w:cs="仿宋"/>
          <w:bCs/>
          <w:color w:val="auto"/>
          <w:kern w:val="2"/>
          <w:sz w:val="32"/>
          <w:szCs w:val="32"/>
          <w:highlight w:val="none"/>
          <w:lang w:val="en-US" w:eastAsia="zh-CN" w:bidi="ar"/>
        </w:rPr>
        <w:t>截止2021年12月底，单位共有公务用车0辆。</w:t>
      </w:r>
    </w:p>
    <w:p w14:paraId="0CCA3D66">
      <w:pPr>
        <w:keepNext w:val="0"/>
        <w:keepLines w:val="0"/>
        <w:widowControl w:val="0"/>
        <w:suppressLineNumbers w:val="0"/>
        <w:spacing w:before="0" w:beforeAutospacing="0" w:after="0" w:afterAutospacing="0" w:line="600" w:lineRule="exact"/>
        <w:ind w:right="0" w:firstLine="643" w:firstLineChars="200"/>
        <w:jc w:val="both"/>
        <w:rPr>
          <w:rFonts w:hint="eastAsia" w:ascii="仿宋" w:hAnsi="仿宋" w:eastAsia="仿宋" w:cs="仿宋"/>
          <w:color w:val="auto"/>
          <w:highlight w:val="none"/>
        </w:rPr>
      </w:pPr>
      <w:r>
        <w:rPr>
          <w:rFonts w:hint="eastAsia" w:ascii="仿宋" w:hAnsi="仿宋" w:eastAsia="仿宋" w:cs="仿宋"/>
          <w:b/>
          <w:bCs w:val="0"/>
          <w:color w:val="auto"/>
          <w:kern w:val="2"/>
          <w:sz w:val="32"/>
          <w:szCs w:val="32"/>
          <w:highlight w:val="none"/>
          <w:lang w:val="en-US" w:eastAsia="zh-CN" w:bidi="ar"/>
        </w:rPr>
        <w:t>公务用车运行维护费支出</w:t>
      </w:r>
      <w:r>
        <w:rPr>
          <w:rFonts w:hint="eastAsia" w:ascii="仿宋" w:hAnsi="仿宋" w:eastAsia="仿宋" w:cs="仿宋"/>
          <w:color w:val="auto"/>
          <w:kern w:val="2"/>
          <w:sz w:val="32"/>
          <w:szCs w:val="32"/>
          <w:highlight w:val="none"/>
          <w:lang w:val="en-US" w:eastAsia="zh-CN" w:bidi="ar"/>
        </w:rPr>
        <w:t>0万元。主要原因是我单位无公务用车。</w:t>
      </w:r>
    </w:p>
    <w:p w14:paraId="486BB0CB">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b/>
          <w:bCs w:val="0"/>
          <w:color w:val="auto"/>
          <w:sz w:val="32"/>
          <w:szCs w:val="32"/>
          <w:highlight w:val="none"/>
        </w:rPr>
        <w:t>3.公务接待费支出</w:t>
      </w:r>
      <w:r>
        <w:rPr>
          <w:rFonts w:hint="eastAsia" w:ascii="仿宋" w:hAnsi="仿宋" w:eastAsia="仿宋" w:cs="仿宋"/>
          <w:color w:val="auto"/>
          <w:sz w:val="32"/>
          <w:szCs w:val="32"/>
          <w:highlight w:val="none"/>
          <w:lang w:val="en-US" w:eastAsia="zh-CN"/>
        </w:rPr>
        <w:t>1.07</w:t>
      </w:r>
      <w:r>
        <w:rPr>
          <w:rFonts w:hint="eastAsia" w:ascii="仿宋" w:hAnsi="仿宋" w:eastAsia="仿宋" w:cs="仿宋"/>
          <w:color w:val="auto"/>
          <w:sz w:val="32"/>
          <w:szCs w:val="32"/>
          <w:highlight w:val="none"/>
        </w:rPr>
        <w:t>万元，完成预算</w:t>
      </w:r>
      <w:r>
        <w:rPr>
          <w:rFonts w:hint="eastAsia" w:ascii="仿宋" w:hAnsi="仿宋" w:eastAsia="仿宋" w:cs="仿宋"/>
          <w:color w:val="auto"/>
          <w:sz w:val="32"/>
          <w:szCs w:val="32"/>
          <w:highlight w:val="none"/>
          <w:lang w:val="en-US" w:eastAsia="zh-CN"/>
        </w:rPr>
        <w:t>93.04%</w:t>
      </w:r>
      <w:r>
        <w:rPr>
          <w:rFonts w:hint="eastAsia" w:ascii="仿宋" w:hAnsi="仿宋" w:eastAsia="仿宋" w:cs="仿宋"/>
          <w:color w:val="auto"/>
          <w:sz w:val="32"/>
          <w:szCs w:val="32"/>
          <w:highlight w:val="none"/>
        </w:rPr>
        <w:t>。公务接待费支出决算</w:t>
      </w:r>
      <w:r>
        <w:rPr>
          <w:rFonts w:hint="eastAsia" w:ascii="仿宋" w:hAnsi="仿宋" w:eastAsia="仿宋" w:cs="仿宋"/>
          <w:color w:val="auto"/>
          <w:sz w:val="32"/>
          <w:szCs w:val="32"/>
          <w:highlight w:val="none"/>
          <w:lang w:eastAsia="zh-CN"/>
        </w:rPr>
        <w:t>比</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年减少</w:t>
      </w:r>
      <w:r>
        <w:rPr>
          <w:rFonts w:hint="eastAsia" w:ascii="仿宋" w:hAnsi="仿宋" w:eastAsia="仿宋" w:cs="仿宋"/>
          <w:color w:val="auto"/>
          <w:sz w:val="32"/>
          <w:szCs w:val="32"/>
          <w:highlight w:val="none"/>
          <w:lang w:val="en-US" w:eastAsia="zh-CN"/>
        </w:rPr>
        <w:t>0.03</w:t>
      </w:r>
      <w:r>
        <w:rPr>
          <w:rFonts w:hint="eastAsia" w:ascii="仿宋" w:hAnsi="仿宋" w:eastAsia="仿宋" w:cs="仿宋"/>
          <w:color w:val="auto"/>
          <w:sz w:val="32"/>
          <w:szCs w:val="32"/>
          <w:highlight w:val="none"/>
        </w:rPr>
        <w:t>万元，下降</w:t>
      </w:r>
      <w:r>
        <w:rPr>
          <w:rFonts w:hint="eastAsia" w:ascii="仿宋" w:hAnsi="仿宋" w:eastAsia="仿宋" w:cs="仿宋"/>
          <w:color w:val="auto"/>
          <w:sz w:val="32"/>
          <w:szCs w:val="32"/>
          <w:highlight w:val="none"/>
          <w:lang w:val="en-US" w:eastAsia="zh-CN"/>
        </w:rPr>
        <w:t>2.72</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。主要原因是认真贯彻落实中央八项规定精神，采取有效措施严格控制接待范围和接待标准</w:t>
      </w:r>
      <w:r>
        <w:rPr>
          <w:rFonts w:hint="eastAsia" w:ascii="仿宋" w:hAnsi="仿宋" w:eastAsia="仿宋" w:cs="仿宋"/>
          <w:color w:val="auto"/>
          <w:sz w:val="32"/>
          <w:szCs w:val="32"/>
          <w:highlight w:val="none"/>
        </w:rPr>
        <w:t>。其中：</w:t>
      </w:r>
    </w:p>
    <w:p w14:paraId="427B1861">
      <w:pPr>
        <w:spacing w:line="600" w:lineRule="exact"/>
        <w:ind w:firstLine="640"/>
        <w:rPr>
          <w:rFonts w:hint="eastAsia" w:ascii="仿宋" w:hAnsi="仿宋" w:eastAsia="仿宋" w:cs="仿宋"/>
          <w:color w:val="auto"/>
          <w:sz w:val="32"/>
          <w:szCs w:val="32"/>
          <w:highlight w:val="none"/>
          <w:lang w:val="en-US" w:eastAsia="zh-CN"/>
        </w:rPr>
      </w:pPr>
      <w:r>
        <w:rPr>
          <w:rFonts w:hint="eastAsia" w:ascii="仿宋" w:hAnsi="仿宋" w:eastAsia="仿宋" w:cs="仿宋"/>
          <w:b/>
          <w:bCs/>
          <w:color w:val="auto"/>
          <w:sz w:val="32"/>
          <w:szCs w:val="32"/>
          <w:highlight w:val="none"/>
        </w:rPr>
        <w:t>国内公务接待支出</w:t>
      </w:r>
      <w:r>
        <w:rPr>
          <w:rFonts w:hint="eastAsia" w:ascii="仿宋" w:hAnsi="仿宋" w:eastAsia="仿宋" w:cs="仿宋"/>
          <w:color w:val="auto"/>
          <w:sz w:val="32"/>
          <w:szCs w:val="32"/>
          <w:highlight w:val="none"/>
          <w:lang w:val="en-US" w:eastAsia="zh-CN"/>
        </w:rPr>
        <w:t>1.07</w:t>
      </w:r>
      <w:r>
        <w:rPr>
          <w:rFonts w:hint="eastAsia" w:ascii="仿宋" w:hAnsi="仿宋" w:eastAsia="仿宋" w:cs="仿宋"/>
          <w:color w:val="auto"/>
          <w:sz w:val="32"/>
          <w:szCs w:val="32"/>
          <w:highlight w:val="none"/>
        </w:rPr>
        <w:t>万元，主要用于</w:t>
      </w:r>
      <w:r>
        <w:rPr>
          <w:rFonts w:hint="eastAsia" w:ascii="仿宋" w:hAnsi="仿宋" w:eastAsia="仿宋" w:cs="仿宋"/>
          <w:color w:val="auto"/>
          <w:sz w:val="32"/>
          <w:szCs w:val="32"/>
          <w:highlight w:val="none"/>
          <w:lang w:eastAsia="zh-CN"/>
        </w:rPr>
        <w:t>接待上级来访、</w:t>
      </w:r>
      <w:r>
        <w:rPr>
          <w:rFonts w:hint="eastAsia" w:ascii="仿宋" w:hAnsi="仿宋" w:eastAsia="仿宋" w:cs="仿宋"/>
          <w:color w:val="auto"/>
          <w:kern w:val="2"/>
          <w:sz w:val="32"/>
          <w:szCs w:val="32"/>
          <w:highlight w:val="none"/>
          <w:lang w:val="en-US" w:eastAsia="zh-CN" w:bidi="ar"/>
        </w:rPr>
        <w:t>教育教学活动交流、</w:t>
      </w:r>
      <w:r>
        <w:rPr>
          <w:rFonts w:hint="eastAsia" w:ascii="仿宋" w:hAnsi="仿宋" w:eastAsia="仿宋" w:cs="仿宋"/>
          <w:color w:val="auto"/>
          <w:sz w:val="32"/>
          <w:szCs w:val="32"/>
          <w:highlight w:val="none"/>
          <w:lang w:val="en-US" w:eastAsia="zh-CN"/>
        </w:rPr>
        <w:t>学生活动费及运动会学生用餐、交通费、体检费等</w:t>
      </w:r>
      <w:r>
        <w:rPr>
          <w:rFonts w:hint="eastAsia" w:ascii="仿宋" w:hAnsi="仿宋" w:eastAsia="仿宋" w:cs="仿宋"/>
          <w:color w:val="auto"/>
          <w:sz w:val="32"/>
          <w:szCs w:val="32"/>
          <w:highlight w:val="none"/>
        </w:rPr>
        <w:t>。国内公务接待</w:t>
      </w:r>
      <w:r>
        <w:rPr>
          <w:rFonts w:hint="eastAsia" w:ascii="仿宋" w:hAnsi="仿宋" w:eastAsia="仿宋" w:cs="仿宋"/>
          <w:color w:val="auto"/>
          <w:sz w:val="32"/>
          <w:szCs w:val="32"/>
          <w:highlight w:val="none"/>
          <w:lang w:val="en-US" w:eastAsia="zh-CN"/>
        </w:rPr>
        <w:t>54</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187</w:t>
      </w:r>
      <w:r>
        <w:rPr>
          <w:rFonts w:hint="eastAsia" w:ascii="仿宋" w:hAnsi="仿宋" w:eastAsia="仿宋" w:cs="仿宋"/>
          <w:color w:val="auto"/>
          <w:sz w:val="32"/>
          <w:szCs w:val="32"/>
          <w:highlight w:val="none"/>
        </w:rPr>
        <w:t>人次（不包括陪同人员），共计支出</w:t>
      </w:r>
      <w:r>
        <w:rPr>
          <w:rFonts w:hint="eastAsia" w:ascii="仿宋" w:hAnsi="仿宋" w:eastAsia="仿宋" w:cs="仿宋"/>
          <w:color w:val="auto"/>
          <w:sz w:val="32"/>
          <w:szCs w:val="32"/>
          <w:highlight w:val="none"/>
          <w:lang w:val="en-US" w:eastAsia="zh-CN"/>
        </w:rPr>
        <w:t>1.07</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，具体内容包括接待上级来访</w:t>
      </w:r>
      <w:r>
        <w:rPr>
          <w:rFonts w:hint="eastAsia" w:ascii="仿宋" w:hAnsi="仿宋" w:eastAsia="仿宋" w:cs="仿宋"/>
          <w:color w:val="auto"/>
          <w:sz w:val="32"/>
          <w:szCs w:val="32"/>
          <w:highlight w:val="none"/>
          <w:lang w:val="en-US" w:eastAsia="zh-CN"/>
        </w:rPr>
        <w:t>0.2万元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kern w:val="2"/>
          <w:sz w:val="32"/>
          <w:szCs w:val="32"/>
          <w:highlight w:val="none"/>
          <w:lang w:val="en-US" w:eastAsia="zh-CN" w:bidi="ar"/>
        </w:rPr>
        <w:t>教育教学活动交流0.3万元、</w:t>
      </w:r>
      <w:r>
        <w:rPr>
          <w:rFonts w:hint="eastAsia" w:ascii="仿宋" w:hAnsi="仿宋" w:eastAsia="仿宋" w:cs="仿宋"/>
          <w:color w:val="auto"/>
          <w:sz w:val="32"/>
          <w:szCs w:val="32"/>
          <w:highlight w:val="none"/>
          <w:lang w:val="en-US" w:eastAsia="zh-CN"/>
        </w:rPr>
        <w:t>学生活动费及运动会学生用餐、交通费、体检费等0.57万元。</w:t>
      </w:r>
    </w:p>
    <w:p w14:paraId="29F42FAC">
      <w:pPr>
        <w:spacing w:line="60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外事接待支出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万元，外事接待</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批次，</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人，共计支出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万元。外事接待支出</w:t>
      </w:r>
      <w:r>
        <w:rPr>
          <w:rFonts w:hint="eastAsia" w:ascii="仿宋" w:hAnsi="仿宋" w:eastAsia="仿宋" w:cs="仿宋"/>
          <w:color w:val="auto"/>
          <w:kern w:val="2"/>
          <w:sz w:val="32"/>
          <w:szCs w:val="32"/>
          <w:highlight w:val="none"/>
          <w:lang w:val="en-US" w:eastAsia="zh-CN" w:bidi="ar"/>
        </w:rPr>
        <w:t>决算与2020年持平</w:t>
      </w:r>
      <w:r>
        <w:rPr>
          <w:rFonts w:hint="eastAsia" w:ascii="仿宋" w:hAnsi="仿宋" w:eastAsia="仿宋" w:cs="仿宋"/>
          <w:color w:val="auto"/>
          <w:sz w:val="32"/>
          <w:szCs w:val="32"/>
          <w:highlight w:val="none"/>
        </w:rPr>
        <w:t>。</w:t>
      </w:r>
    </w:p>
    <w:p w14:paraId="3F1CF083">
      <w:pPr>
        <w:pStyle w:val="4"/>
        <w:bidi w:val="0"/>
        <w:rPr>
          <w:rFonts w:hint="eastAsia" w:ascii="仿宋" w:hAnsi="仿宋" w:eastAsia="仿宋" w:cs="仿宋"/>
          <w:color w:val="auto"/>
          <w:highlight w:val="none"/>
        </w:rPr>
      </w:pPr>
      <w:bookmarkStart w:id="63" w:name="_Toc29438"/>
      <w:bookmarkStart w:id="64" w:name="_Toc15396610"/>
      <w:bookmarkStart w:id="65" w:name="_Toc15377218"/>
      <w:r>
        <w:rPr>
          <w:rFonts w:hint="eastAsia" w:ascii="仿宋" w:hAnsi="仿宋" w:eastAsia="仿宋" w:cs="仿宋"/>
          <w:color w:val="auto"/>
          <w:highlight w:val="none"/>
        </w:rPr>
        <w:t>八、政府性基金预算支出决算情况说明</w:t>
      </w:r>
      <w:bookmarkEnd w:id="63"/>
      <w:bookmarkEnd w:id="64"/>
      <w:bookmarkEnd w:id="65"/>
    </w:p>
    <w:p w14:paraId="17E09897">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2021年政府性基金预算财政拨款支出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万元。202</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年本单位未在政府性基金预算拨款安排“三公”经费支出。</w:t>
      </w:r>
    </w:p>
    <w:p w14:paraId="07E7344B">
      <w:pPr>
        <w:pStyle w:val="16"/>
        <w:rPr>
          <w:rFonts w:hint="eastAsia" w:ascii="仿宋" w:hAnsi="仿宋" w:eastAsia="仿宋" w:cs="仿宋"/>
          <w:color w:val="auto"/>
          <w:highlight w:val="none"/>
        </w:rPr>
      </w:pPr>
    </w:p>
    <w:p w14:paraId="47BBDB89">
      <w:pPr>
        <w:pStyle w:val="4"/>
        <w:numPr>
          <w:ilvl w:val="0"/>
          <w:numId w:val="10"/>
        </w:numPr>
        <w:bidi w:val="0"/>
        <w:rPr>
          <w:rFonts w:hint="eastAsia" w:ascii="仿宋" w:hAnsi="仿宋" w:eastAsia="仿宋" w:cs="仿宋"/>
          <w:color w:val="auto"/>
          <w:highlight w:val="none"/>
        </w:rPr>
      </w:pPr>
      <w:bookmarkStart w:id="66" w:name="_Toc4818"/>
      <w:bookmarkStart w:id="67" w:name="_Toc15377219"/>
      <w:bookmarkStart w:id="68" w:name="_Toc15396611"/>
      <w:r>
        <w:rPr>
          <w:rFonts w:hint="eastAsia" w:ascii="仿宋" w:hAnsi="仿宋" w:eastAsia="仿宋" w:cs="仿宋"/>
          <w:color w:val="auto"/>
          <w:highlight w:val="none"/>
        </w:rPr>
        <w:t>国有资本经营预算支出决算情况说明</w:t>
      </w:r>
      <w:bookmarkEnd w:id="66"/>
      <w:bookmarkEnd w:id="67"/>
      <w:bookmarkEnd w:id="68"/>
    </w:p>
    <w:p w14:paraId="7F2CC29C">
      <w:pPr>
        <w:spacing w:line="600" w:lineRule="exac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2021年国有资本经营预算财政拨款支出0万元，年初未安排预算。</w:t>
      </w:r>
    </w:p>
    <w:p w14:paraId="6076DFDE">
      <w:pPr>
        <w:pStyle w:val="4"/>
        <w:numPr>
          <w:ilvl w:val="0"/>
          <w:numId w:val="10"/>
        </w:numPr>
        <w:bidi w:val="0"/>
        <w:rPr>
          <w:rFonts w:hint="eastAsia" w:ascii="仿宋" w:hAnsi="仿宋" w:eastAsia="仿宋" w:cs="仿宋"/>
          <w:color w:val="auto"/>
          <w:highlight w:val="none"/>
        </w:rPr>
      </w:pPr>
      <w:bookmarkStart w:id="69" w:name="_Toc23871"/>
      <w:bookmarkStart w:id="70" w:name="_Toc15377221"/>
      <w:bookmarkStart w:id="71" w:name="_Toc15396612"/>
      <w:r>
        <w:rPr>
          <w:rFonts w:hint="eastAsia" w:ascii="仿宋" w:hAnsi="仿宋" w:eastAsia="仿宋" w:cs="仿宋"/>
          <w:color w:val="auto"/>
          <w:highlight w:val="none"/>
        </w:rPr>
        <w:t>预算绩效管理情况</w:t>
      </w:r>
      <w:bookmarkEnd w:id="69"/>
    </w:p>
    <w:p w14:paraId="4C715FCC">
      <w:pPr>
        <w:spacing w:line="58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根据预算绩效管理要求，本单位在2021年度预算编制阶段，因无项目支出，故不涉及事前评估和项目绩效目标，预算执行过程中，</w:t>
      </w:r>
      <w:r>
        <w:rPr>
          <w:rFonts w:hint="eastAsia" w:ascii="仿宋" w:hAnsi="仿宋" w:eastAsia="仿宋" w:cs="仿宋"/>
          <w:color w:val="auto"/>
          <w:sz w:val="32"/>
          <w:szCs w:val="32"/>
          <w:highlight w:val="none"/>
          <w:lang w:eastAsia="zh-CN"/>
        </w:rPr>
        <w:t>对追加预算校舍维修项目</w:t>
      </w:r>
      <w:r>
        <w:rPr>
          <w:rFonts w:hint="eastAsia" w:ascii="仿宋" w:hAnsi="仿宋" w:eastAsia="仿宋" w:cs="仿宋"/>
          <w:color w:val="auto"/>
          <w:sz w:val="32"/>
          <w:szCs w:val="32"/>
          <w:highlight w:val="none"/>
        </w:rPr>
        <w:t>编制了绩效目标</w:t>
      </w:r>
      <w:r>
        <w:rPr>
          <w:rFonts w:hint="eastAsia" w:ascii="仿宋" w:hAnsi="仿宋" w:eastAsia="仿宋" w:cs="仿宋"/>
          <w:color w:val="auto"/>
          <w:sz w:val="32"/>
          <w:szCs w:val="32"/>
          <w:highlight w:val="none"/>
          <w:lang w:eastAsia="zh-CN"/>
        </w:rPr>
        <w:t>，并</w:t>
      </w:r>
      <w:r>
        <w:rPr>
          <w:rFonts w:hint="eastAsia" w:ascii="仿宋" w:hAnsi="仿宋" w:eastAsia="仿宋" w:cs="仿宋"/>
          <w:color w:val="auto"/>
          <w:sz w:val="32"/>
          <w:szCs w:val="32"/>
          <w:highlight w:val="none"/>
        </w:rPr>
        <w:t>开展</w:t>
      </w:r>
      <w:r>
        <w:rPr>
          <w:rFonts w:hint="eastAsia" w:ascii="仿宋" w:hAnsi="仿宋" w:eastAsia="仿宋" w:cs="仿宋"/>
          <w:color w:val="auto"/>
          <w:sz w:val="32"/>
          <w:szCs w:val="32"/>
          <w:highlight w:val="none"/>
          <w:lang w:eastAsia="zh-CN"/>
        </w:rPr>
        <w:t>了</w:t>
      </w:r>
      <w:r>
        <w:rPr>
          <w:rFonts w:hint="eastAsia" w:ascii="仿宋" w:hAnsi="仿宋" w:eastAsia="仿宋" w:cs="仿宋"/>
          <w:color w:val="auto"/>
          <w:sz w:val="32"/>
          <w:szCs w:val="32"/>
          <w:highlight w:val="none"/>
        </w:rPr>
        <w:t>绩效</w:t>
      </w:r>
      <w:r>
        <w:rPr>
          <w:rFonts w:hint="eastAsia" w:ascii="仿宋" w:hAnsi="仿宋" w:eastAsia="仿宋" w:cs="仿宋"/>
          <w:color w:val="auto"/>
          <w:sz w:val="32"/>
          <w:szCs w:val="32"/>
          <w:highlight w:val="none"/>
          <w:lang w:eastAsia="zh-CN"/>
        </w:rPr>
        <w:t>运行</w:t>
      </w:r>
      <w:r>
        <w:rPr>
          <w:rFonts w:hint="eastAsia" w:ascii="仿宋" w:hAnsi="仿宋" w:eastAsia="仿宋" w:cs="仿宋"/>
          <w:color w:val="auto"/>
          <w:sz w:val="32"/>
          <w:szCs w:val="32"/>
          <w:highlight w:val="none"/>
        </w:rPr>
        <w:t>监控，年终执行完毕后，对</w:t>
      </w:r>
      <w:r>
        <w:rPr>
          <w:rFonts w:hint="eastAsia" w:ascii="仿宋" w:hAnsi="仿宋" w:eastAsia="仿宋" w:cs="仿宋"/>
          <w:color w:val="auto"/>
          <w:sz w:val="32"/>
          <w:szCs w:val="32"/>
          <w:highlight w:val="none"/>
          <w:lang w:val="en-US" w:eastAsia="zh-CN"/>
        </w:rPr>
        <w:t>1</w:t>
      </w:r>
      <w:r>
        <w:rPr>
          <w:rFonts w:hint="eastAsia" w:ascii="仿宋" w:hAnsi="仿宋" w:eastAsia="仿宋" w:cs="仿宋"/>
          <w:color w:val="auto"/>
          <w:sz w:val="32"/>
          <w:szCs w:val="32"/>
          <w:highlight w:val="none"/>
        </w:rPr>
        <w:t>个项目开展了绩效自评，2021年部门预算项目绩效目标自评表见附件（第四部分）。</w:t>
      </w:r>
    </w:p>
    <w:p w14:paraId="051363FC">
      <w:pPr>
        <w:pStyle w:val="4"/>
        <w:numPr>
          <w:ilvl w:val="0"/>
          <w:numId w:val="10"/>
        </w:numPr>
        <w:bidi w:val="0"/>
        <w:rPr>
          <w:rFonts w:hint="eastAsia" w:ascii="仿宋" w:hAnsi="仿宋" w:eastAsia="仿宋" w:cs="仿宋"/>
          <w:color w:val="auto"/>
          <w:highlight w:val="none"/>
        </w:rPr>
      </w:pPr>
      <w:bookmarkStart w:id="72" w:name="_Toc16944"/>
      <w:r>
        <w:rPr>
          <w:rFonts w:hint="eastAsia" w:ascii="仿宋" w:hAnsi="仿宋" w:eastAsia="仿宋" w:cs="仿宋"/>
          <w:color w:val="auto"/>
          <w:highlight w:val="none"/>
        </w:rPr>
        <w:t>其他重要事项的情况说明</w:t>
      </w:r>
      <w:bookmarkEnd w:id="70"/>
      <w:bookmarkEnd w:id="71"/>
      <w:bookmarkEnd w:id="72"/>
    </w:p>
    <w:p w14:paraId="6BE2229E">
      <w:pPr>
        <w:spacing w:line="600" w:lineRule="exact"/>
        <w:ind w:firstLine="643" w:firstLineChars="200"/>
        <w:outlineLvl w:val="2"/>
        <w:rPr>
          <w:rFonts w:hint="eastAsia" w:ascii="仿宋" w:hAnsi="仿宋" w:eastAsia="仿宋" w:cs="仿宋"/>
          <w:color w:val="auto"/>
          <w:sz w:val="32"/>
          <w:szCs w:val="32"/>
          <w:highlight w:val="none"/>
        </w:rPr>
      </w:pPr>
      <w:bookmarkStart w:id="73" w:name="_Toc15377222"/>
      <w:r>
        <w:rPr>
          <w:rFonts w:hint="eastAsia" w:ascii="仿宋" w:hAnsi="仿宋" w:eastAsia="仿宋" w:cs="仿宋"/>
          <w:b/>
          <w:color w:val="auto"/>
          <w:sz w:val="32"/>
          <w:szCs w:val="32"/>
          <w:highlight w:val="none"/>
        </w:rPr>
        <w:t>（一）机关运行经费支出情况</w:t>
      </w:r>
      <w:bookmarkEnd w:id="73"/>
    </w:p>
    <w:p w14:paraId="1B83E60E">
      <w:pPr>
        <w:keepNext w:val="0"/>
        <w:keepLines w:val="0"/>
        <w:widowControl w:val="0"/>
        <w:suppressLineNumbers w:val="0"/>
        <w:spacing w:before="0" w:beforeAutospacing="0" w:after="0" w:afterAutospacing="0" w:line="600" w:lineRule="exact"/>
        <w:ind w:left="0" w:right="0" w:firstLine="640"/>
        <w:jc w:val="both"/>
        <w:rPr>
          <w:rFonts w:hint="eastAsia" w:ascii="仿宋" w:hAnsi="仿宋" w:eastAsia="仿宋" w:cs="仿宋"/>
          <w:color w:val="auto"/>
          <w:sz w:val="32"/>
          <w:szCs w:val="32"/>
          <w:highlight w:val="none"/>
          <w:lang w:val="en-US"/>
        </w:rPr>
      </w:pPr>
      <w:bookmarkStart w:id="74" w:name="_Toc15377223"/>
      <w:r>
        <w:rPr>
          <w:rFonts w:hint="eastAsia" w:ascii="仿宋" w:hAnsi="仿宋" w:eastAsia="仿宋" w:cs="仿宋"/>
          <w:color w:val="auto"/>
          <w:kern w:val="2"/>
          <w:sz w:val="32"/>
          <w:szCs w:val="32"/>
          <w:highlight w:val="none"/>
          <w:lang w:val="en-US" w:eastAsia="zh-CN" w:bidi="ar"/>
        </w:rPr>
        <w:t>2021年，我部门机关运行经费支出0元，与</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年决算数持平</w:t>
      </w:r>
      <w:r>
        <w:rPr>
          <w:rFonts w:hint="eastAsia" w:ascii="仿宋" w:hAnsi="仿宋" w:eastAsia="仿宋" w:cs="仿宋"/>
          <w:color w:val="auto"/>
          <w:kern w:val="2"/>
          <w:sz w:val="32"/>
          <w:szCs w:val="32"/>
          <w:highlight w:val="none"/>
          <w:lang w:val="en-US" w:eastAsia="zh-CN" w:bidi="ar"/>
        </w:rPr>
        <w:t>。主要原因是本单位为事业单位，未发生机关运行经费支出。</w:t>
      </w:r>
    </w:p>
    <w:p w14:paraId="2E8026E4">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（二）政府采购支出情况</w:t>
      </w:r>
      <w:bookmarkEnd w:id="74"/>
    </w:p>
    <w:p w14:paraId="36EDEC75">
      <w:pPr>
        <w:spacing w:line="600" w:lineRule="exact"/>
        <w:ind w:firstLine="640" w:firstLineChars="200"/>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2021年，我单位政府采购支出</w:t>
      </w:r>
      <w:r>
        <w:rPr>
          <w:rFonts w:hint="eastAsia" w:ascii="仿宋" w:hAnsi="仿宋" w:eastAsia="仿宋" w:cs="仿宋"/>
          <w:color w:val="auto"/>
          <w:sz w:val="32"/>
          <w:szCs w:val="32"/>
          <w:highlight w:val="none"/>
          <w:lang w:eastAsia="zh-CN"/>
        </w:rPr>
        <w:t>年初未预算采购经费，</w:t>
      </w:r>
      <w:r>
        <w:rPr>
          <w:rFonts w:hint="eastAsia" w:ascii="仿宋" w:hAnsi="仿宋" w:eastAsia="仿宋" w:cs="仿宋"/>
          <w:color w:val="auto"/>
          <w:sz w:val="32"/>
          <w:szCs w:val="32"/>
          <w:highlight w:val="none"/>
        </w:rPr>
        <w:t>政府采购支出总额</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万元</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kern w:val="2"/>
          <w:sz w:val="32"/>
          <w:szCs w:val="32"/>
          <w:highlight w:val="none"/>
          <w:lang w:val="en-US" w:eastAsia="zh-CN" w:bidi="ar"/>
        </w:rPr>
        <w:t>与</w:t>
      </w:r>
      <w:r>
        <w:rPr>
          <w:rFonts w:hint="eastAsia" w:ascii="仿宋" w:hAnsi="仿宋" w:eastAsia="仿宋" w:cs="仿宋"/>
          <w:color w:val="auto"/>
          <w:sz w:val="32"/>
          <w:szCs w:val="32"/>
          <w:highlight w:val="none"/>
        </w:rPr>
        <w:t>20</w:t>
      </w: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年决算数持平</w:t>
      </w:r>
      <w:r>
        <w:rPr>
          <w:rFonts w:hint="eastAsia" w:ascii="仿宋" w:hAnsi="仿宋" w:eastAsia="仿宋" w:cs="仿宋"/>
          <w:color w:val="auto"/>
          <w:kern w:val="2"/>
          <w:sz w:val="32"/>
          <w:szCs w:val="32"/>
          <w:highlight w:val="none"/>
          <w:lang w:val="en-US" w:eastAsia="zh-CN" w:bidi="ar"/>
        </w:rPr>
        <w:t>。</w:t>
      </w:r>
    </w:p>
    <w:p w14:paraId="30438CAB">
      <w:pPr>
        <w:autoSpaceDE w:val="0"/>
        <w:autoSpaceDN w:val="0"/>
        <w:adjustRightInd w:val="0"/>
        <w:spacing w:line="600" w:lineRule="exact"/>
        <w:ind w:firstLine="643" w:firstLineChars="200"/>
        <w:jc w:val="left"/>
        <w:outlineLvl w:val="2"/>
        <w:rPr>
          <w:rFonts w:hint="eastAsia" w:ascii="仿宋" w:hAnsi="仿宋" w:eastAsia="仿宋" w:cs="仿宋"/>
          <w:b/>
          <w:color w:val="auto"/>
          <w:sz w:val="32"/>
          <w:szCs w:val="32"/>
          <w:highlight w:val="none"/>
        </w:rPr>
      </w:pPr>
      <w:bookmarkStart w:id="75" w:name="_Toc15377224"/>
      <w:r>
        <w:rPr>
          <w:rFonts w:hint="eastAsia" w:ascii="仿宋" w:hAnsi="仿宋" w:eastAsia="仿宋" w:cs="仿宋"/>
          <w:b/>
          <w:color w:val="auto"/>
          <w:sz w:val="32"/>
          <w:szCs w:val="32"/>
          <w:highlight w:val="none"/>
        </w:rPr>
        <w:t>（三）国有资产占有使用情况</w:t>
      </w:r>
      <w:bookmarkEnd w:id="75"/>
    </w:p>
    <w:p w14:paraId="1ADDDF0D">
      <w:pPr>
        <w:autoSpaceDE w:val="0"/>
        <w:autoSpaceDN w:val="0"/>
        <w:adjustRightInd w:val="0"/>
        <w:spacing w:line="60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截至20</w:t>
      </w:r>
      <w:r>
        <w:rPr>
          <w:rFonts w:hint="eastAsia" w:ascii="仿宋" w:hAnsi="仿宋" w:eastAsia="仿宋" w:cs="仿宋"/>
          <w:color w:val="auto"/>
          <w:sz w:val="32"/>
          <w:szCs w:val="32"/>
          <w:highlight w:val="none"/>
          <w:lang w:val="en-US" w:eastAsia="zh-CN"/>
        </w:rPr>
        <w:t>21</w:t>
      </w:r>
      <w:r>
        <w:rPr>
          <w:rFonts w:hint="eastAsia" w:ascii="仿宋" w:hAnsi="仿宋" w:eastAsia="仿宋" w:cs="仿宋"/>
          <w:color w:val="auto"/>
          <w:sz w:val="32"/>
          <w:szCs w:val="32"/>
          <w:highlight w:val="none"/>
        </w:rPr>
        <w:t>年12月31日，</w:t>
      </w:r>
      <w:r>
        <w:rPr>
          <w:rFonts w:hint="eastAsia" w:ascii="仿宋" w:hAnsi="仿宋" w:eastAsia="仿宋" w:cs="仿宋"/>
          <w:color w:val="auto"/>
          <w:sz w:val="32"/>
          <w:szCs w:val="32"/>
          <w:highlight w:val="none"/>
          <w:lang w:eastAsia="zh-CN"/>
        </w:rPr>
        <w:t>我单位</w:t>
      </w:r>
      <w:r>
        <w:rPr>
          <w:rFonts w:hint="eastAsia" w:ascii="仿宋" w:hAnsi="仿宋" w:eastAsia="仿宋" w:cs="仿宋"/>
          <w:color w:val="auto"/>
          <w:sz w:val="32"/>
          <w:szCs w:val="32"/>
          <w:highlight w:val="none"/>
        </w:rPr>
        <w:t>共有车辆</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辆，其中：主要领导干部用车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辆、机要通信用车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辆、应急保障用车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辆、其他用车</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辆</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单价50万元以上通用设备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台（套），单价100万元以上专用设备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台（套）。</w:t>
      </w:r>
    </w:p>
    <w:p w14:paraId="2F103AC8">
      <w:pPr>
        <w:pStyle w:val="2"/>
        <w:spacing w:before="93"/>
        <w:rPr>
          <w:rFonts w:hint="eastAsia" w:ascii="仿宋" w:hAnsi="仿宋" w:eastAsia="仿宋" w:cs="仿宋"/>
          <w:color w:val="auto"/>
          <w:highlight w:val="none"/>
        </w:rPr>
      </w:pPr>
    </w:p>
    <w:p w14:paraId="7E5C0089">
      <w:pPr>
        <w:widowControl/>
        <w:jc w:val="left"/>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2DBD92D3">
      <w:pPr>
        <w:pStyle w:val="3"/>
        <w:numPr>
          <w:ilvl w:val="0"/>
          <w:numId w:val="11"/>
        </w:numPr>
        <w:bidi w:val="0"/>
        <w:rPr>
          <w:rFonts w:hint="eastAsia" w:ascii="仿宋" w:hAnsi="仿宋" w:eastAsia="仿宋" w:cs="仿宋"/>
          <w:color w:val="auto"/>
          <w:highlight w:val="none"/>
        </w:rPr>
      </w:pPr>
      <w:bookmarkStart w:id="76" w:name="_Toc15377225"/>
      <w:bookmarkStart w:id="77" w:name="_Toc16610"/>
      <w:bookmarkStart w:id="78" w:name="_Toc15396613"/>
      <w:r>
        <w:rPr>
          <w:rFonts w:hint="eastAsia" w:ascii="仿宋" w:hAnsi="仿宋" w:eastAsia="仿宋" w:cs="仿宋"/>
          <w:color w:val="auto"/>
          <w:highlight w:val="none"/>
        </w:rPr>
        <w:t>名词解释</w:t>
      </w:r>
      <w:bookmarkEnd w:id="76"/>
      <w:bookmarkEnd w:id="77"/>
      <w:bookmarkEnd w:id="78"/>
    </w:p>
    <w:p w14:paraId="5D869469">
      <w:pPr>
        <w:spacing w:line="600" w:lineRule="exact"/>
        <w:jc w:val="left"/>
        <w:rPr>
          <w:rFonts w:hint="eastAsia" w:ascii="仿宋" w:hAnsi="仿宋" w:eastAsia="仿宋" w:cs="仿宋"/>
          <w:b/>
          <w:color w:val="auto"/>
          <w:sz w:val="44"/>
          <w:szCs w:val="44"/>
          <w:highlight w:val="none"/>
        </w:rPr>
      </w:pPr>
    </w:p>
    <w:p w14:paraId="2E091926">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1.财政拨款收入：指单位从同级财政部门取得的财政预算资金。</w:t>
      </w:r>
    </w:p>
    <w:p w14:paraId="7979996C">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2.使用非财政拨款结余：指事业单位使用以前年度积累的非财政拨款结余弥补当年收支差额的金额。 </w:t>
      </w:r>
    </w:p>
    <w:p w14:paraId="67DDA992">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3.年初结转和结余：指以前年度尚未完成、结转到本年按有关规定继续使用的资金。 </w:t>
      </w:r>
    </w:p>
    <w:p w14:paraId="0E67AC3E">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4.结余分配：指事业单位按照会计制度规定缴纳的所得税、提取的专用结余以及转入非财政拨款结余的金额等。</w:t>
      </w:r>
    </w:p>
    <w:p w14:paraId="18099B95">
      <w:pPr>
        <w:pStyle w:val="27"/>
        <w:spacing w:line="560" w:lineRule="exact"/>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年末结转和结余：指单位按有关规定结转到下年或以后年度继续使用的资金。</w:t>
      </w:r>
    </w:p>
    <w:p w14:paraId="52362002">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6.教育（类）普通教育（款）</w:t>
      </w:r>
      <w:r>
        <w:rPr>
          <w:rFonts w:hint="eastAsia" w:ascii="仿宋" w:hAnsi="仿宋" w:eastAsia="仿宋" w:cs="仿宋"/>
          <w:color w:val="auto"/>
          <w:sz w:val="32"/>
          <w:szCs w:val="32"/>
          <w:highlight w:val="none"/>
          <w:lang w:eastAsia="zh-CN"/>
        </w:rPr>
        <w:t>小学</w:t>
      </w:r>
      <w:r>
        <w:rPr>
          <w:rFonts w:hint="eastAsia" w:ascii="仿宋" w:hAnsi="仿宋" w:eastAsia="仿宋" w:cs="仿宋"/>
          <w:color w:val="auto"/>
          <w:sz w:val="32"/>
          <w:szCs w:val="32"/>
          <w:highlight w:val="none"/>
        </w:rPr>
        <w:t>教育（项）：指</w:t>
      </w:r>
      <w:r>
        <w:rPr>
          <w:rFonts w:hint="eastAsia" w:ascii="仿宋" w:hAnsi="仿宋" w:eastAsia="仿宋" w:cs="仿宋"/>
          <w:color w:val="auto"/>
          <w:sz w:val="32"/>
          <w:szCs w:val="32"/>
          <w:highlight w:val="none"/>
          <w:lang w:eastAsia="zh-CN"/>
        </w:rPr>
        <w:t>小学</w:t>
      </w:r>
      <w:r>
        <w:rPr>
          <w:rFonts w:hint="eastAsia" w:ascii="仿宋" w:hAnsi="仿宋" w:eastAsia="仿宋" w:cs="仿宋"/>
          <w:color w:val="auto"/>
          <w:sz w:val="32"/>
          <w:szCs w:val="32"/>
          <w:highlight w:val="none"/>
        </w:rPr>
        <w:t>教育。</w:t>
      </w:r>
    </w:p>
    <w:p w14:paraId="7ECFA395">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7.教育（类）普通教育（款）</w:t>
      </w:r>
      <w:r>
        <w:rPr>
          <w:rFonts w:hint="eastAsia" w:ascii="仿宋" w:hAnsi="仿宋" w:eastAsia="仿宋" w:cs="仿宋"/>
          <w:color w:val="auto"/>
          <w:sz w:val="32"/>
          <w:szCs w:val="32"/>
          <w:highlight w:val="none"/>
          <w:lang w:val="en-US" w:eastAsia="zh-CN"/>
        </w:rPr>
        <w:t>其他教育支出</w:t>
      </w:r>
      <w:r>
        <w:rPr>
          <w:rFonts w:hint="eastAsia" w:ascii="仿宋" w:hAnsi="仿宋" w:eastAsia="仿宋" w:cs="仿宋"/>
          <w:color w:val="auto"/>
          <w:sz w:val="32"/>
          <w:szCs w:val="32"/>
          <w:highlight w:val="none"/>
        </w:rPr>
        <w:t>（项）：</w:t>
      </w:r>
      <w:r>
        <w:rPr>
          <w:rFonts w:hint="eastAsia" w:ascii="仿宋" w:hAnsi="仿宋" w:eastAsia="仿宋" w:cs="仿宋"/>
          <w:color w:val="auto"/>
          <w:sz w:val="32"/>
          <w:szCs w:val="32"/>
          <w:highlight w:val="none"/>
          <w:lang w:val="en-US" w:eastAsia="zh-CN"/>
        </w:rPr>
        <w:t>其他教育支出</w:t>
      </w:r>
      <w:r>
        <w:rPr>
          <w:rFonts w:hint="eastAsia" w:ascii="仿宋" w:hAnsi="仿宋" w:eastAsia="仿宋" w:cs="仿宋"/>
          <w:color w:val="auto"/>
          <w:sz w:val="32"/>
          <w:szCs w:val="32"/>
          <w:highlight w:val="none"/>
        </w:rPr>
        <w:t>。</w:t>
      </w:r>
    </w:p>
    <w:p w14:paraId="31D06397">
      <w:pPr>
        <w:numPr>
          <w:ilvl w:val="0"/>
          <w:numId w:val="0"/>
        </w:numPr>
        <w:spacing w:line="600" w:lineRule="exact"/>
        <w:ind w:firstLine="640" w:firstLineChars="200"/>
        <w:rPr>
          <w:rFonts w:hint="eastAsia" w:ascii="仿宋" w:hAnsi="仿宋" w:eastAsia="仿宋" w:cs="仿宋"/>
          <w:color w:val="auto"/>
          <w:kern w:val="0"/>
          <w:sz w:val="32"/>
          <w:szCs w:val="32"/>
          <w:highlight w:val="none"/>
          <w:lang w:val="en-US" w:eastAsia="zh-CN" w:bidi="ar-SA"/>
        </w:rPr>
      </w:pPr>
      <w:r>
        <w:rPr>
          <w:rFonts w:hint="eastAsia" w:ascii="仿宋" w:hAnsi="仿宋" w:eastAsia="仿宋" w:cs="仿宋"/>
          <w:color w:val="auto"/>
          <w:kern w:val="0"/>
          <w:sz w:val="32"/>
          <w:szCs w:val="32"/>
          <w:highlight w:val="none"/>
          <w:lang w:val="en-US" w:eastAsia="zh-CN" w:bidi="ar-SA"/>
        </w:rPr>
        <w:t>8.社会保障和就业支出（类）行政事业单位养老支出（款）机关事业单位基本养老保险缴费支出（项）: 指机关事业单位实施养老保险制度由单位缴纳的基本养老保险费支出。</w:t>
      </w:r>
    </w:p>
    <w:p w14:paraId="629EB2F0">
      <w:pPr>
        <w:pStyle w:val="16"/>
        <w:ind w:left="0" w:leftChars="0" w:firstLine="640" w:firstLineChars="200"/>
        <w:rPr>
          <w:rFonts w:hint="eastAsia" w:ascii="仿宋" w:hAnsi="仿宋" w:eastAsia="仿宋" w:cs="仿宋"/>
          <w:color w:val="auto"/>
          <w:highlight w:val="none"/>
          <w:lang w:val="en-US" w:eastAsia="zh-CN"/>
        </w:rPr>
      </w:pPr>
      <w:r>
        <w:rPr>
          <w:rFonts w:hint="eastAsia" w:ascii="仿宋" w:hAnsi="仿宋" w:eastAsia="仿宋" w:cs="仿宋"/>
          <w:color w:val="auto"/>
          <w:kern w:val="0"/>
          <w:sz w:val="32"/>
          <w:szCs w:val="32"/>
          <w:highlight w:val="none"/>
          <w:lang w:val="en-US" w:eastAsia="zh-CN" w:bidi="ar-SA"/>
        </w:rPr>
        <w:t>9.社会保障和就业支出（类）其他社会保障和就业支出（款）其他社会保障和就业支出（项）: 指其他用于社会保障和就业方面的支出。</w:t>
      </w:r>
    </w:p>
    <w:p w14:paraId="3BB4417D">
      <w:pPr>
        <w:pStyle w:val="2"/>
        <w:ind w:firstLine="640" w:firstLineChars="200"/>
        <w:rPr>
          <w:rFonts w:hint="eastAsia" w:ascii="仿宋" w:hAnsi="仿宋" w:eastAsia="仿宋" w:cs="仿宋"/>
          <w:color w:val="auto"/>
          <w:highlight w:val="none"/>
        </w:rPr>
      </w:pPr>
      <w:r>
        <w:rPr>
          <w:rFonts w:hint="eastAsia" w:ascii="仿宋" w:hAnsi="仿宋" w:eastAsia="仿宋" w:cs="仿宋"/>
          <w:color w:val="auto"/>
          <w:kern w:val="0"/>
          <w:sz w:val="32"/>
          <w:szCs w:val="32"/>
          <w:highlight w:val="none"/>
          <w:lang w:val="en-US" w:eastAsia="zh-CN"/>
        </w:rPr>
        <w:t>10.卫生健康（类）行政事业单位医疗（款）事业单位医疗（项）：指财政部门安排的事业单位基本医疗保险缴费经费，未参加医疗保险的事业单位的公费医疗经费，按国家规定享受离休人员待遇的医疗保险。</w:t>
      </w:r>
    </w:p>
    <w:p w14:paraId="748E4730">
      <w:pPr>
        <w:pStyle w:val="2"/>
        <w:ind w:firstLine="640" w:firstLineChars="200"/>
        <w:rPr>
          <w:rFonts w:hint="eastAsia" w:ascii="仿宋" w:hAnsi="仿宋" w:eastAsia="仿宋" w:cs="仿宋"/>
          <w:color w:val="auto"/>
          <w:highlight w:val="none"/>
        </w:rPr>
      </w:pPr>
      <w:r>
        <w:rPr>
          <w:rFonts w:hint="eastAsia" w:ascii="仿宋" w:hAnsi="仿宋" w:eastAsia="仿宋" w:cs="仿宋"/>
          <w:color w:val="auto"/>
          <w:kern w:val="0"/>
          <w:sz w:val="32"/>
          <w:szCs w:val="32"/>
          <w:highlight w:val="none"/>
          <w:lang w:val="en-US" w:eastAsia="zh-CN"/>
        </w:rPr>
        <w:t>11.住房保障支出（类）住房改革支出（款）住房公积金（项）：指行政事业单位按人力资源和社会保障部、财政部规定的基本工资和津贴补贴以及规定比例为职工缴纳的住房公积金。</w:t>
      </w:r>
    </w:p>
    <w:p w14:paraId="3E2E073E">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12</w:t>
      </w:r>
      <w:r>
        <w:rPr>
          <w:rFonts w:hint="eastAsia" w:ascii="仿宋" w:hAnsi="仿宋" w:eastAsia="仿宋" w:cs="仿宋"/>
          <w:color w:val="auto"/>
          <w:sz w:val="32"/>
          <w:szCs w:val="32"/>
          <w:highlight w:val="none"/>
        </w:rPr>
        <w:t>.基本支出：指为保障机构正常运转、完成日常工作任务而发生的人员支出和公用支出。</w:t>
      </w:r>
    </w:p>
    <w:p w14:paraId="17F63674">
      <w:pPr>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 xml:space="preserve">.项目支出：指在基本支出之外为完成特定行政任务和事业发展目标所发生的支出。 </w:t>
      </w:r>
    </w:p>
    <w:p w14:paraId="3ED67B58">
      <w:pPr>
        <w:pStyle w:val="27"/>
        <w:spacing w:line="560" w:lineRule="exact"/>
        <w:ind w:firstLine="640" w:firstLineChars="200"/>
        <w:jc w:val="lef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w:t>
      </w: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79" w:name="_Toc15377226"/>
    </w:p>
    <w:p w14:paraId="735BE4CF">
      <w:pPr>
        <w:pStyle w:val="27"/>
        <w:spacing w:line="560" w:lineRule="exact"/>
        <w:ind w:firstLine="883" w:firstLineChars="200"/>
        <w:jc w:val="center"/>
        <w:rPr>
          <w:rStyle w:val="29"/>
          <w:rFonts w:hint="eastAsia" w:ascii="仿宋" w:hAnsi="仿宋" w:eastAsia="仿宋" w:cs="仿宋"/>
          <w:b w:val="0"/>
          <w:color w:val="auto"/>
          <w:highlight w:val="none"/>
        </w:rPr>
      </w:pPr>
      <w:r>
        <w:rPr>
          <w:rFonts w:hint="eastAsia" w:ascii="仿宋" w:hAnsi="仿宋" w:eastAsia="仿宋" w:cs="仿宋"/>
          <w:b/>
          <w:color w:val="auto"/>
          <w:sz w:val="44"/>
          <w:szCs w:val="44"/>
          <w:highlight w:val="none"/>
        </w:rPr>
        <w:br w:type="page"/>
      </w:r>
      <w:bookmarkStart w:id="80" w:name="_Toc15396614"/>
      <w:bookmarkStart w:id="81" w:name="_Toc3498"/>
      <w:r>
        <w:rPr>
          <w:rStyle w:val="29"/>
          <w:rFonts w:hint="eastAsia" w:ascii="仿宋" w:hAnsi="仿宋" w:eastAsia="仿宋" w:cs="仿宋"/>
          <w:color w:val="auto"/>
          <w:highlight w:val="none"/>
        </w:rPr>
        <w:t>第四部分 附件</w:t>
      </w:r>
      <w:bookmarkEnd w:id="80"/>
    </w:p>
    <w:bookmarkEnd w:id="81"/>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14:paraId="0282C3D6">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14:paraId="37268A16">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sz w:val="32"/>
                <w:szCs w:val="32"/>
                <w:highlight w:val="none"/>
                <w:lang w:eastAsia="zh-CN"/>
              </w:rPr>
            </w:pPr>
            <w:bookmarkStart w:id="82" w:name="_Toc15396618"/>
            <w:bookmarkStart w:id="83" w:name="_Toc6245"/>
            <w:r>
              <w:rPr>
                <w:rFonts w:hint="eastAsia" w:ascii="仿宋" w:hAnsi="仿宋" w:eastAsia="仿宋" w:cs="仿宋"/>
                <w:b/>
                <w:color w:val="auto"/>
                <w:sz w:val="32"/>
                <w:szCs w:val="32"/>
                <w:highlight w:val="none"/>
              </w:rPr>
              <w:t>2021年部门预算项目绩效目标自评</w:t>
            </w:r>
            <w:r>
              <w:rPr>
                <w:rFonts w:hint="eastAsia" w:ascii="仿宋" w:hAnsi="仿宋" w:eastAsia="仿宋" w:cs="仿宋"/>
                <w:b/>
                <w:color w:val="auto"/>
                <w:sz w:val="32"/>
                <w:szCs w:val="32"/>
                <w:highlight w:val="none"/>
                <w:lang w:eastAsia="zh-CN"/>
              </w:rPr>
              <w:t>（校舍安全保障）</w:t>
            </w:r>
          </w:p>
        </w:tc>
        <w:tc>
          <w:tcPr>
            <w:tcW w:w="236" w:type="dxa"/>
            <w:tcBorders>
              <w:top w:val="nil"/>
              <w:left w:val="nil"/>
              <w:bottom w:val="nil"/>
              <w:right w:val="nil"/>
            </w:tcBorders>
            <w:shd w:val="clear" w:color="auto" w:fill="auto"/>
            <w:vAlign w:val="center"/>
          </w:tcPr>
          <w:p w14:paraId="0E1D6D9E">
            <w:pPr>
              <w:keepNext w:val="0"/>
              <w:keepLines w:val="0"/>
              <w:widowControl/>
              <w:suppressLineNumbers w:val="0"/>
              <w:spacing w:before="0" w:beforeAutospacing="0" w:after="0" w:afterAutospacing="0"/>
              <w:ind w:left="0" w:right="0"/>
              <w:jc w:val="center"/>
              <w:textAlignment w:val="center"/>
              <w:rPr>
                <w:rFonts w:hint="eastAsia" w:ascii="仿宋" w:hAnsi="仿宋" w:eastAsia="仿宋" w:cs="仿宋"/>
                <w:b/>
                <w:color w:val="auto"/>
                <w:kern w:val="0"/>
                <w:sz w:val="32"/>
                <w:szCs w:val="32"/>
                <w:highlight w:val="none"/>
              </w:rPr>
            </w:pPr>
          </w:p>
        </w:tc>
      </w:tr>
      <w:tr w14:paraId="395EB830">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8488D1">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09BCB3">
            <w:pPr>
              <w:keepNext w:val="0"/>
              <w:keepLines w:val="0"/>
              <w:widowControl/>
              <w:suppressLineNumbers w:val="0"/>
              <w:spacing w:before="0" w:beforeAutospacing="0" w:after="0" w:afterAutospacing="0" w:line="320" w:lineRule="exact"/>
              <w:ind w:left="0" w:right="0"/>
              <w:textAlignment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360315</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1252B">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78275">
            <w:pPr>
              <w:keepNext w:val="0"/>
              <w:keepLines w:val="0"/>
              <w:widowControl/>
              <w:suppressLineNumbers w:val="0"/>
              <w:spacing w:before="0" w:beforeAutospacing="0" w:after="0" w:afterAutospacing="0" w:line="320" w:lineRule="exact"/>
              <w:ind w:left="0" w:right="0"/>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广元市昭化区柏林沟镇文村小学</w:t>
            </w:r>
          </w:p>
        </w:tc>
      </w:tr>
      <w:tr w14:paraId="3DE56EF8">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CD9792">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项目预算</w:t>
            </w:r>
          </w:p>
          <w:p w14:paraId="3D156C95">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执行情况</w:t>
            </w:r>
          </w:p>
          <w:p w14:paraId="5952825E">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89A23">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ED0F1">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230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A7CC6">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35E85">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230</w:t>
            </w:r>
          </w:p>
        </w:tc>
      </w:tr>
      <w:tr w14:paraId="3660ADE7">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96C0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788C1">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14:paraId="5D4C9C33">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83EFD">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230</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0695B">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其中：</w:t>
            </w:r>
          </w:p>
          <w:p w14:paraId="46C85F3A">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0F3EC">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rPr>
            </w:pPr>
            <w:r>
              <w:rPr>
                <w:rFonts w:hint="eastAsia" w:ascii="仿宋" w:hAnsi="仿宋" w:eastAsia="仿宋" w:cs="仿宋"/>
                <w:color w:val="auto"/>
                <w:sz w:val="24"/>
                <w:highlight w:val="none"/>
                <w:lang w:val="en-US" w:eastAsia="zh-CN"/>
              </w:rPr>
              <w:t>230</w:t>
            </w:r>
          </w:p>
        </w:tc>
      </w:tr>
      <w:tr w14:paraId="30BED984">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ACBB4B">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B2BEC">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4A1FE">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23095">
            <w:pPr>
              <w:keepNext w:val="0"/>
              <w:keepLines w:val="0"/>
              <w:widowControl/>
              <w:suppressLineNumbers w:val="0"/>
              <w:spacing w:before="0" w:beforeAutospacing="0" w:after="0" w:afterAutospacing="0" w:line="320" w:lineRule="exact"/>
              <w:ind w:left="0" w:right="0"/>
              <w:jc w:val="left"/>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D527C">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lang w:val="en-US" w:eastAsia="zh-CN"/>
              </w:rPr>
            </w:pPr>
          </w:p>
        </w:tc>
      </w:tr>
      <w:tr w14:paraId="5A9F8E36">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B9E50E">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4"/>
                <w:highlight w:val="none"/>
              </w:rPr>
            </w:pPr>
            <w:r>
              <w:rPr>
                <w:rFonts w:hint="eastAsia" w:ascii="仿宋" w:hAnsi="仿宋" w:eastAsia="仿宋" w:cs="仿宋"/>
                <w:color w:val="auto"/>
                <w:kern w:val="0"/>
                <w:sz w:val="24"/>
                <w:highlight w:val="none"/>
              </w:rPr>
              <w:t>年度总体目标</w:t>
            </w:r>
          </w:p>
          <w:p w14:paraId="6CFF520E">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7C0B0C3">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438FC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rPr>
              <w:t>目标实际完成情况</w:t>
            </w:r>
          </w:p>
        </w:tc>
      </w:tr>
      <w:tr w14:paraId="4B2D9934">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6E1D2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14:paraId="65B2085E">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rPr>
              <w:t>校舍</w:t>
            </w:r>
            <w:r>
              <w:rPr>
                <w:rFonts w:hint="eastAsia" w:ascii="仿宋" w:hAnsi="仿宋" w:eastAsia="仿宋" w:cs="仿宋"/>
                <w:color w:val="auto"/>
                <w:sz w:val="22"/>
                <w:szCs w:val="22"/>
                <w:highlight w:val="none"/>
                <w:lang w:eastAsia="zh-CN"/>
              </w:rPr>
              <w:t>维修面积</w:t>
            </w:r>
            <w:r>
              <w:rPr>
                <w:rFonts w:hint="eastAsia" w:ascii="仿宋" w:hAnsi="仿宋" w:eastAsia="仿宋" w:cs="仿宋"/>
                <w:color w:val="auto"/>
                <w:sz w:val="22"/>
                <w:szCs w:val="22"/>
                <w:highlight w:val="none"/>
                <w:lang w:val="en-US" w:eastAsia="zh-CN"/>
              </w:rPr>
              <w:t>2950</w:t>
            </w:r>
            <w:r>
              <w:rPr>
                <w:rFonts w:hint="eastAsia" w:ascii="仿宋" w:hAnsi="仿宋" w:eastAsia="仿宋" w:cs="仿宋"/>
                <w:color w:val="auto"/>
                <w:sz w:val="22"/>
                <w:szCs w:val="22"/>
                <w:highlight w:val="none"/>
              </w:rPr>
              <w:t>平方米，改善学校办学条件和基础设施配套，提供高质量硬件设施设备，营造良好的学习氛围</w:t>
            </w:r>
            <w:r>
              <w:rPr>
                <w:rFonts w:hint="eastAsia" w:ascii="仿宋" w:hAnsi="仿宋" w:eastAsia="仿宋" w:cs="仿宋"/>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14:paraId="0167B46E">
            <w:pPr>
              <w:keepNext w:val="0"/>
              <w:keepLines w:val="0"/>
              <w:widowControl/>
              <w:suppressLineNumbers w:val="0"/>
              <w:spacing w:before="0" w:beforeAutospacing="0" w:after="0" w:afterAutospacing="0" w:line="320" w:lineRule="exact"/>
              <w:ind w:left="0" w:right="0"/>
              <w:jc w:val="left"/>
              <w:textAlignment w:val="top"/>
              <w:rPr>
                <w:rFonts w:hint="eastAsia" w:ascii="仿宋" w:hAnsi="仿宋" w:eastAsia="仿宋" w:cs="仿宋"/>
                <w:color w:val="auto"/>
                <w:sz w:val="24"/>
                <w:highlight w:val="none"/>
                <w:lang w:eastAsia="zh-CN"/>
              </w:rPr>
            </w:pPr>
            <w:r>
              <w:rPr>
                <w:rFonts w:hint="eastAsia" w:ascii="仿宋" w:hAnsi="仿宋" w:eastAsia="仿宋" w:cs="仿宋"/>
                <w:color w:val="auto"/>
                <w:sz w:val="22"/>
                <w:szCs w:val="22"/>
                <w:highlight w:val="none"/>
                <w:lang w:eastAsia="zh-CN"/>
              </w:rPr>
              <w:t>完成</w:t>
            </w:r>
            <w:r>
              <w:rPr>
                <w:rFonts w:hint="eastAsia" w:ascii="仿宋" w:hAnsi="仿宋" w:eastAsia="仿宋" w:cs="仿宋"/>
                <w:color w:val="auto"/>
                <w:sz w:val="22"/>
                <w:szCs w:val="22"/>
                <w:highlight w:val="none"/>
                <w:lang w:val="en-US" w:eastAsia="zh-CN"/>
              </w:rPr>
              <w:t>2950</w:t>
            </w:r>
            <w:r>
              <w:rPr>
                <w:rFonts w:hint="eastAsia" w:ascii="仿宋" w:hAnsi="仿宋" w:eastAsia="仿宋" w:cs="仿宋"/>
                <w:color w:val="auto"/>
                <w:sz w:val="22"/>
                <w:szCs w:val="22"/>
                <w:highlight w:val="none"/>
              </w:rPr>
              <w:t>平方米</w:t>
            </w:r>
            <w:r>
              <w:rPr>
                <w:rFonts w:hint="eastAsia" w:ascii="仿宋" w:hAnsi="仿宋" w:eastAsia="仿宋" w:cs="仿宋"/>
                <w:color w:val="auto"/>
                <w:sz w:val="22"/>
                <w:szCs w:val="22"/>
                <w:highlight w:val="none"/>
                <w:lang w:eastAsia="zh-CN"/>
              </w:rPr>
              <w:t>的校舍维修，</w:t>
            </w:r>
            <w:r>
              <w:rPr>
                <w:rFonts w:hint="eastAsia" w:ascii="仿宋" w:hAnsi="仿宋" w:eastAsia="仿宋" w:cs="仿宋"/>
                <w:color w:val="auto"/>
                <w:sz w:val="22"/>
                <w:szCs w:val="22"/>
                <w:highlight w:val="none"/>
              </w:rPr>
              <w:t>改善</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学校办学条件和基础设施配套，提供</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高质量硬件设施设备，营造</w:t>
            </w:r>
            <w:r>
              <w:rPr>
                <w:rFonts w:hint="eastAsia" w:ascii="仿宋" w:hAnsi="仿宋" w:eastAsia="仿宋" w:cs="仿宋"/>
                <w:color w:val="auto"/>
                <w:sz w:val="22"/>
                <w:szCs w:val="22"/>
                <w:highlight w:val="none"/>
                <w:lang w:eastAsia="zh-CN"/>
              </w:rPr>
              <w:t>了</w:t>
            </w:r>
            <w:r>
              <w:rPr>
                <w:rFonts w:hint="eastAsia" w:ascii="仿宋" w:hAnsi="仿宋" w:eastAsia="仿宋" w:cs="仿宋"/>
                <w:color w:val="auto"/>
                <w:sz w:val="22"/>
                <w:szCs w:val="22"/>
                <w:highlight w:val="none"/>
              </w:rPr>
              <w:t>良好的学习氛围</w:t>
            </w:r>
            <w:r>
              <w:rPr>
                <w:rFonts w:hint="eastAsia" w:ascii="仿宋" w:hAnsi="仿宋" w:eastAsia="仿宋" w:cs="仿宋"/>
                <w:color w:val="auto"/>
                <w:sz w:val="22"/>
                <w:szCs w:val="22"/>
                <w:highlight w:val="none"/>
                <w:lang w:eastAsia="zh-CN"/>
              </w:rPr>
              <w:t>。</w:t>
            </w:r>
          </w:p>
        </w:tc>
      </w:tr>
      <w:tr w14:paraId="7AABC9F9">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14:paraId="7B34B15A">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14:paraId="03C97148">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一级</w:t>
            </w:r>
          </w:p>
          <w:p w14:paraId="2B8DCC74">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4631F">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二级</w:t>
            </w:r>
          </w:p>
          <w:p w14:paraId="5E0712EA">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84494">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三级</w:t>
            </w:r>
          </w:p>
          <w:p w14:paraId="4DCD4AFC">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59959">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D1CD7">
            <w:pPr>
              <w:keepNext w:val="0"/>
              <w:keepLines w:val="0"/>
              <w:widowControl/>
              <w:suppressLineNumbers w:val="0"/>
              <w:spacing w:before="0" w:beforeAutospacing="0" w:after="0" w:afterAutospacing="0" w:line="320" w:lineRule="exact"/>
              <w:ind w:left="0" w:right="0"/>
              <w:jc w:val="center"/>
              <w:textAlignment w:val="center"/>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实际完成指标值</w:t>
            </w:r>
          </w:p>
        </w:tc>
      </w:tr>
      <w:tr w14:paraId="1CC8D1DA">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13FFEB7D">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AB63CC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完成</w:t>
            </w:r>
          </w:p>
          <w:p w14:paraId="6826BAE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6520164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96B41">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CAD2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2950m²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9736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2950m²</w:t>
            </w:r>
          </w:p>
        </w:tc>
      </w:tr>
      <w:tr w14:paraId="4852AD5F">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14:paraId="76376F25">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14:paraId="0FEF851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1F61963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7A18B">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C90E5">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53</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D30CB">
            <w:pPr>
              <w:keepNext w:val="0"/>
              <w:keepLines w:val="0"/>
              <w:widowControl/>
              <w:suppressLineNumbers w:val="0"/>
              <w:spacing w:before="0" w:beforeAutospacing="0" w:after="0" w:afterAutospacing="0" w:line="320" w:lineRule="exact"/>
              <w:ind w:left="0" w:right="0"/>
              <w:jc w:val="center"/>
              <w:textAlignment w:val="bottom"/>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53</w:t>
            </w:r>
          </w:p>
        </w:tc>
      </w:tr>
      <w:tr w14:paraId="73D07CB8">
        <w:tblPrEx>
          <w:tblCellMar>
            <w:top w:w="0" w:type="dxa"/>
            <w:left w:w="108" w:type="dxa"/>
            <w:bottom w:w="0" w:type="dxa"/>
            <w:right w:w="108" w:type="dxa"/>
          </w:tblCellMar>
        </w:tblPrEx>
        <w:trPr>
          <w:gridAfter w:val="1"/>
          <w:wAfter w:w="236" w:type="dxa"/>
          <w:trHeight w:val="575" w:hRule="atLeast"/>
        </w:trPr>
        <w:tc>
          <w:tcPr>
            <w:tcW w:w="1113" w:type="dxa"/>
            <w:vMerge w:val="continue"/>
            <w:tcBorders>
              <w:left w:val="single" w:color="000000" w:sz="4" w:space="0"/>
              <w:right w:val="single" w:color="000000" w:sz="4" w:space="0"/>
            </w:tcBorders>
            <w:shd w:val="clear" w:color="auto" w:fill="auto"/>
            <w:vAlign w:val="center"/>
          </w:tcPr>
          <w:p w14:paraId="30D2A523">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7BD99C">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56B2EE3F">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D09A5">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w:t>
            </w:r>
            <w:r>
              <w:rPr>
                <w:rFonts w:hint="eastAsia" w:ascii="仿宋" w:hAnsi="仿宋" w:eastAsia="仿宋" w:cs="仿宋"/>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87C9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0777F">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lang w:val="en-US" w:eastAsia="zh-CN"/>
              </w:rPr>
              <w:t>100%</w:t>
            </w:r>
          </w:p>
        </w:tc>
      </w:tr>
      <w:tr w14:paraId="467A6FA1">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14:paraId="4C1C273B">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93C8AF">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14:paraId="7A6BC70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CC981">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5219D">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91910">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14:paraId="25F36A6F">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14:paraId="7FC73AA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A4A7C4">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6E151E5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06CAD">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18BBC">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BEF22">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z w:val="20"/>
                <w:szCs w:val="20"/>
                <w:highlight w:val="none"/>
              </w:rPr>
              <w:t>合格</w:t>
            </w:r>
          </w:p>
        </w:tc>
      </w:tr>
      <w:tr w14:paraId="0680E991">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14:paraId="276FCD17">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C7AB8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14:paraId="02A4B67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D5663">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83FB1">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2767C">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1年</w:t>
            </w:r>
          </w:p>
        </w:tc>
      </w:tr>
      <w:tr w14:paraId="613024F9">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14:paraId="29DACB01">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48CE9">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14:paraId="7504117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82F68">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0F0B0">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67439">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10个月</w:t>
            </w:r>
          </w:p>
        </w:tc>
      </w:tr>
      <w:tr w14:paraId="0D6EA289">
        <w:tblPrEx>
          <w:tblCellMar>
            <w:top w:w="0" w:type="dxa"/>
            <w:left w:w="108" w:type="dxa"/>
            <w:bottom w:w="0" w:type="dxa"/>
            <w:right w:w="108" w:type="dxa"/>
          </w:tblCellMar>
        </w:tblPrEx>
        <w:trPr>
          <w:gridAfter w:val="1"/>
          <w:wAfter w:w="236" w:type="dxa"/>
          <w:trHeight w:val="611" w:hRule="atLeast"/>
        </w:trPr>
        <w:tc>
          <w:tcPr>
            <w:tcW w:w="1113" w:type="dxa"/>
            <w:vMerge w:val="continue"/>
            <w:tcBorders>
              <w:left w:val="single" w:color="000000" w:sz="4" w:space="0"/>
              <w:right w:val="single" w:color="000000" w:sz="4" w:space="0"/>
            </w:tcBorders>
            <w:shd w:val="clear" w:color="auto" w:fill="auto"/>
            <w:vAlign w:val="center"/>
          </w:tcPr>
          <w:p w14:paraId="50C9EBE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043254">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14:paraId="42E3F099">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A9D2F">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校舍</w:t>
            </w:r>
            <w:r>
              <w:rPr>
                <w:rFonts w:hint="eastAsia" w:ascii="仿宋" w:hAnsi="仿宋" w:eastAsia="仿宋" w:cs="仿宋"/>
                <w:color w:val="auto"/>
                <w:sz w:val="20"/>
                <w:szCs w:val="20"/>
                <w:highlight w:val="none"/>
                <w:lang w:eastAsia="zh-CN"/>
              </w:rPr>
              <w:t>维修</w:t>
            </w:r>
            <w:r>
              <w:rPr>
                <w:rFonts w:hint="eastAsia" w:ascii="仿宋" w:hAnsi="仿宋" w:eastAsia="仿宋" w:cs="仿宋"/>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4205D">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1D95C">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 w:hAnsi="仿宋" w:eastAsia="仿宋" w:cs="仿宋"/>
                <w:color w:val="auto"/>
                <w:sz w:val="20"/>
                <w:szCs w:val="20"/>
                <w:highlight w:val="none"/>
                <w:lang w:val="en-US"/>
              </w:rPr>
            </w:pPr>
            <w:r>
              <w:rPr>
                <w:rFonts w:hint="eastAsia" w:ascii="仿宋" w:hAnsi="仿宋" w:eastAsia="仿宋" w:cs="仿宋"/>
                <w:color w:val="auto"/>
                <w:sz w:val="20"/>
                <w:szCs w:val="20"/>
                <w:highlight w:val="none"/>
                <w:lang w:val="en-US" w:eastAsia="zh-CN"/>
              </w:rPr>
              <w:t>780元</w:t>
            </w:r>
          </w:p>
        </w:tc>
      </w:tr>
      <w:tr w14:paraId="5918B4A6">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14:paraId="752CA42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14:paraId="721FC60B">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效益</w:t>
            </w:r>
          </w:p>
          <w:p w14:paraId="2E1260C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6F8C3849">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33DAE025">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31FE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35460">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14:paraId="16FE3C81">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0625BBEF">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14:paraId="1531D1AC">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2753CE4F">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生态效益</w:t>
            </w:r>
          </w:p>
          <w:p w14:paraId="60D02ACC">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3F997731">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EAA2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A9B8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有效</w:t>
            </w:r>
          </w:p>
        </w:tc>
      </w:tr>
      <w:tr w14:paraId="3C5D4EB8">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14:paraId="348315B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14:paraId="3F9B2D59">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14:paraId="05BB2565">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14:paraId="2EF2570F">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0BCB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6C508">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有效</w:t>
            </w:r>
          </w:p>
        </w:tc>
      </w:tr>
      <w:tr w14:paraId="35268A0E">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14:paraId="7995D0C2">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14:paraId="0124F4C7">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满意</w:t>
            </w:r>
          </w:p>
          <w:p w14:paraId="66A68ABA">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14:paraId="35B2A8F4">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满意度</w:t>
            </w:r>
          </w:p>
          <w:p w14:paraId="490D3575">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0F57F">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79A1E">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9591F">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97%</w:t>
            </w:r>
          </w:p>
        </w:tc>
      </w:tr>
      <w:tr w14:paraId="2E0AA734">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14:paraId="758AFE98">
            <w:pPr>
              <w:keepNext w:val="0"/>
              <w:keepLines w:val="0"/>
              <w:suppressLineNumbers w:val="0"/>
              <w:spacing w:before="0" w:beforeAutospacing="0" w:after="0" w:afterAutospacing="0" w:line="320" w:lineRule="exact"/>
              <w:ind w:left="0" w:right="0"/>
              <w:jc w:val="center"/>
              <w:rPr>
                <w:rFonts w:hint="eastAsia" w:ascii="仿宋" w:hAnsi="仿宋" w:eastAsia="仿宋" w:cs="仿宋"/>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14:paraId="568D0919">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14:paraId="0B125122">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35DBA">
            <w:pPr>
              <w:keepNext w:val="0"/>
              <w:keepLines w:val="0"/>
              <w:widowControl/>
              <w:suppressLineNumbers w:val="0"/>
              <w:spacing w:before="0" w:beforeAutospacing="0" w:after="0" w:afterAutospacing="0" w:line="320" w:lineRule="exact"/>
              <w:ind w:left="0" w:right="0"/>
              <w:jc w:val="left"/>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5DAC2">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98043">
            <w:pPr>
              <w:keepNext w:val="0"/>
              <w:keepLines w:val="0"/>
              <w:widowControl/>
              <w:suppressLineNumbers w:val="0"/>
              <w:spacing w:before="0" w:beforeAutospacing="0" w:after="0" w:afterAutospacing="0" w:line="320" w:lineRule="exact"/>
              <w:ind w:left="0" w:right="0"/>
              <w:jc w:val="center"/>
              <w:textAlignment w:val="bottom"/>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96%</w:t>
            </w:r>
          </w:p>
        </w:tc>
      </w:tr>
    </w:tbl>
    <w:p w14:paraId="5BAADED8">
      <w:pPr>
        <w:pStyle w:val="3"/>
        <w:bidi w:val="0"/>
        <w:rPr>
          <w:rFonts w:hint="eastAsia" w:ascii="仿宋" w:hAnsi="仿宋" w:eastAsia="仿宋" w:cs="仿宋"/>
          <w:color w:val="auto"/>
          <w:highlight w:val="none"/>
        </w:rPr>
      </w:pPr>
      <w:r>
        <w:rPr>
          <w:rFonts w:hint="eastAsia" w:ascii="仿宋" w:hAnsi="仿宋" w:eastAsia="仿宋" w:cs="仿宋"/>
          <w:color w:val="auto"/>
          <w:highlight w:val="none"/>
        </w:rPr>
        <w:t>第五部分 附表</w:t>
      </w:r>
      <w:bookmarkEnd w:id="79"/>
      <w:bookmarkEnd w:id="82"/>
      <w:bookmarkEnd w:id="83"/>
      <w:bookmarkStart w:id="84" w:name="_Toc15396619"/>
    </w:p>
    <w:p w14:paraId="20BB1376">
      <w:pPr>
        <w:pStyle w:val="4"/>
        <w:bidi w:val="0"/>
        <w:rPr>
          <w:rFonts w:hint="eastAsia" w:ascii="仿宋" w:hAnsi="仿宋" w:eastAsia="仿宋" w:cs="仿宋"/>
          <w:color w:val="auto"/>
          <w:highlight w:val="none"/>
        </w:rPr>
      </w:pPr>
      <w:bookmarkStart w:id="85" w:name="_Toc492"/>
      <w:r>
        <w:rPr>
          <w:rFonts w:hint="eastAsia" w:ascii="仿宋" w:hAnsi="仿宋" w:eastAsia="仿宋" w:cs="仿宋"/>
          <w:color w:val="auto"/>
          <w:highlight w:val="none"/>
        </w:rPr>
        <w:t>一、收入支出决算总表</w:t>
      </w:r>
      <w:bookmarkEnd w:id="84"/>
      <w:bookmarkEnd w:id="85"/>
    </w:p>
    <w:p w14:paraId="6E655551">
      <w:pPr>
        <w:pStyle w:val="4"/>
        <w:bidi w:val="0"/>
        <w:rPr>
          <w:rFonts w:hint="eastAsia" w:ascii="仿宋" w:hAnsi="仿宋" w:eastAsia="仿宋" w:cs="仿宋"/>
          <w:color w:val="auto"/>
          <w:highlight w:val="none"/>
        </w:rPr>
      </w:pPr>
      <w:bookmarkStart w:id="86" w:name="_Toc20829"/>
      <w:bookmarkStart w:id="87" w:name="_Toc15396620"/>
      <w:r>
        <w:rPr>
          <w:rFonts w:hint="eastAsia" w:ascii="仿宋" w:hAnsi="仿宋" w:eastAsia="仿宋" w:cs="仿宋"/>
          <w:color w:val="auto"/>
          <w:highlight w:val="none"/>
        </w:rPr>
        <w:t>二、收入决算表</w:t>
      </w:r>
      <w:bookmarkEnd w:id="86"/>
      <w:bookmarkEnd w:id="87"/>
    </w:p>
    <w:p w14:paraId="608764A7">
      <w:pPr>
        <w:pStyle w:val="4"/>
        <w:bidi w:val="0"/>
        <w:rPr>
          <w:rFonts w:hint="eastAsia" w:ascii="仿宋" w:hAnsi="仿宋" w:eastAsia="仿宋" w:cs="仿宋"/>
          <w:color w:val="auto"/>
          <w:highlight w:val="none"/>
        </w:rPr>
      </w:pPr>
      <w:bookmarkStart w:id="88" w:name="_Toc15396621"/>
      <w:bookmarkStart w:id="89" w:name="_Toc872"/>
      <w:r>
        <w:rPr>
          <w:rFonts w:hint="eastAsia" w:ascii="仿宋" w:hAnsi="仿宋" w:eastAsia="仿宋" w:cs="仿宋"/>
          <w:color w:val="auto"/>
          <w:highlight w:val="none"/>
        </w:rPr>
        <w:t>三、支出决算表</w:t>
      </w:r>
      <w:bookmarkEnd w:id="88"/>
      <w:bookmarkEnd w:id="89"/>
    </w:p>
    <w:p w14:paraId="32F11C7C">
      <w:pPr>
        <w:pStyle w:val="4"/>
        <w:bidi w:val="0"/>
        <w:rPr>
          <w:rFonts w:hint="eastAsia" w:ascii="仿宋" w:hAnsi="仿宋" w:eastAsia="仿宋" w:cs="仿宋"/>
          <w:color w:val="auto"/>
          <w:highlight w:val="none"/>
        </w:rPr>
      </w:pPr>
      <w:bookmarkStart w:id="90" w:name="_Toc15396622"/>
      <w:bookmarkStart w:id="91" w:name="_Toc32481"/>
      <w:r>
        <w:rPr>
          <w:rFonts w:hint="eastAsia" w:ascii="仿宋" w:hAnsi="仿宋" w:eastAsia="仿宋" w:cs="仿宋"/>
          <w:color w:val="auto"/>
          <w:highlight w:val="none"/>
        </w:rPr>
        <w:t>四、财政拨款收入支出决算总表</w:t>
      </w:r>
      <w:bookmarkEnd w:id="90"/>
      <w:bookmarkEnd w:id="91"/>
    </w:p>
    <w:p w14:paraId="2AA53C51">
      <w:pPr>
        <w:pStyle w:val="4"/>
        <w:bidi w:val="0"/>
        <w:rPr>
          <w:rFonts w:hint="eastAsia" w:ascii="仿宋" w:hAnsi="仿宋" w:eastAsia="仿宋" w:cs="仿宋"/>
          <w:color w:val="auto"/>
          <w:highlight w:val="none"/>
        </w:rPr>
      </w:pPr>
      <w:bookmarkStart w:id="92" w:name="_Toc16282"/>
      <w:bookmarkStart w:id="93" w:name="_Toc15396623"/>
      <w:r>
        <w:rPr>
          <w:rFonts w:hint="eastAsia" w:ascii="仿宋" w:hAnsi="仿宋" w:eastAsia="仿宋" w:cs="仿宋"/>
          <w:color w:val="auto"/>
          <w:highlight w:val="none"/>
        </w:rPr>
        <w:t>五、财政拨款支出决算明细表</w:t>
      </w:r>
      <w:bookmarkEnd w:id="92"/>
      <w:bookmarkEnd w:id="93"/>
      <w:bookmarkStart w:id="94" w:name="_Toc15396624"/>
    </w:p>
    <w:p w14:paraId="6956723F">
      <w:pPr>
        <w:pStyle w:val="4"/>
        <w:bidi w:val="0"/>
        <w:rPr>
          <w:rFonts w:hint="eastAsia" w:ascii="仿宋" w:hAnsi="仿宋" w:eastAsia="仿宋" w:cs="仿宋"/>
          <w:color w:val="auto"/>
          <w:highlight w:val="none"/>
        </w:rPr>
      </w:pPr>
      <w:bookmarkStart w:id="95" w:name="_Toc27698"/>
      <w:r>
        <w:rPr>
          <w:rFonts w:hint="eastAsia" w:ascii="仿宋" w:hAnsi="仿宋" w:eastAsia="仿宋" w:cs="仿宋"/>
          <w:color w:val="auto"/>
          <w:highlight w:val="none"/>
        </w:rPr>
        <w:t>六、一般公共预算财政拨款支出决算表</w:t>
      </w:r>
      <w:bookmarkEnd w:id="94"/>
      <w:bookmarkEnd w:id="95"/>
    </w:p>
    <w:p w14:paraId="04172572">
      <w:pPr>
        <w:pStyle w:val="4"/>
        <w:bidi w:val="0"/>
        <w:rPr>
          <w:rFonts w:hint="eastAsia" w:ascii="仿宋" w:hAnsi="仿宋" w:eastAsia="仿宋" w:cs="仿宋"/>
          <w:color w:val="auto"/>
          <w:highlight w:val="none"/>
        </w:rPr>
      </w:pPr>
      <w:bookmarkStart w:id="96" w:name="_Toc16786"/>
      <w:bookmarkStart w:id="97" w:name="_Toc15396625"/>
      <w:r>
        <w:rPr>
          <w:rFonts w:hint="eastAsia" w:ascii="仿宋" w:hAnsi="仿宋" w:eastAsia="仿宋" w:cs="仿宋"/>
          <w:color w:val="auto"/>
          <w:highlight w:val="none"/>
        </w:rPr>
        <w:t>七、一般公共预算财政拨款支出决算明细表</w:t>
      </w:r>
      <w:bookmarkEnd w:id="96"/>
      <w:bookmarkEnd w:id="97"/>
    </w:p>
    <w:p w14:paraId="6075B66A">
      <w:pPr>
        <w:pStyle w:val="4"/>
        <w:bidi w:val="0"/>
        <w:rPr>
          <w:rFonts w:hint="eastAsia" w:ascii="仿宋" w:hAnsi="仿宋" w:eastAsia="仿宋" w:cs="仿宋"/>
          <w:color w:val="auto"/>
          <w:highlight w:val="none"/>
        </w:rPr>
      </w:pPr>
      <w:bookmarkStart w:id="98" w:name="_Toc15396626"/>
      <w:bookmarkStart w:id="99" w:name="_Toc31149"/>
      <w:r>
        <w:rPr>
          <w:rFonts w:hint="eastAsia" w:ascii="仿宋" w:hAnsi="仿宋" w:eastAsia="仿宋" w:cs="仿宋"/>
          <w:color w:val="auto"/>
          <w:highlight w:val="none"/>
        </w:rPr>
        <w:t>八、一般公共预算财政拨款基本支出决算表</w:t>
      </w:r>
      <w:bookmarkEnd w:id="98"/>
      <w:bookmarkEnd w:id="99"/>
    </w:p>
    <w:p w14:paraId="40E3461B">
      <w:pPr>
        <w:pStyle w:val="4"/>
        <w:bidi w:val="0"/>
        <w:rPr>
          <w:rFonts w:hint="eastAsia" w:ascii="仿宋" w:hAnsi="仿宋" w:eastAsia="仿宋" w:cs="仿宋"/>
          <w:color w:val="auto"/>
          <w:highlight w:val="none"/>
        </w:rPr>
      </w:pPr>
      <w:bookmarkStart w:id="100" w:name="_Toc2969"/>
      <w:bookmarkStart w:id="101" w:name="_Toc15396627"/>
      <w:r>
        <w:rPr>
          <w:rFonts w:hint="eastAsia" w:ascii="仿宋" w:hAnsi="仿宋" w:eastAsia="仿宋" w:cs="仿宋"/>
          <w:color w:val="auto"/>
          <w:highlight w:val="none"/>
        </w:rPr>
        <w:t>九、一般公共预算财政拨款项目支出决算表</w:t>
      </w:r>
      <w:bookmarkEnd w:id="100"/>
      <w:bookmarkEnd w:id="101"/>
    </w:p>
    <w:p w14:paraId="55649F00">
      <w:pPr>
        <w:pStyle w:val="4"/>
        <w:bidi w:val="0"/>
        <w:rPr>
          <w:rFonts w:hint="eastAsia" w:ascii="仿宋" w:hAnsi="仿宋" w:eastAsia="仿宋" w:cs="仿宋"/>
          <w:color w:val="auto"/>
          <w:highlight w:val="none"/>
        </w:rPr>
      </w:pPr>
      <w:bookmarkStart w:id="102" w:name="_Toc15951"/>
      <w:bookmarkStart w:id="103" w:name="_Toc15396628"/>
      <w:r>
        <w:rPr>
          <w:rFonts w:hint="eastAsia" w:ascii="仿宋" w:hAnsi="仿宋" w:eastAsia="仿宋" w:cs="仿宋"/>
          <w:color w:val="auto"/>
          <w:highlight w:val="none"/>
        </w:rPr>
        <w:t>十、一般公共预算财政拨款“三公”经费支出决算表</w:t>
      </w:r>
      <w:bookmarkEnd w:id="102"/>
      <w:bookmarkEnd w:id="103"/>
    </w:p>
    <w:p w14:paraId="0BA8D09D">
      <w:pPr>
        <w:pStyle w:val="4"/>
        <w:bidi w:val="0"/>
        <w:rPr>
          <w:rFonts w:hint="eastAsia" w:ascii="仿宋" w:hAnsi="仿宋" w:eastAsia="仿宋" w:cs="仿宋"/>
          <w:color w:val="auto"/>
          <w:highlight w:val="none"/>
        </w:rPr>
      </w:pPr>
      <w:bookmarkStart w:id="104" w:name="_Toc26411"/>
      <w:bookmarkStart w:id="105" w:name="_Toc15396629"/>
      <w:r>
        <w:rPr>
          <w:rFonts w:hint="eastAsia" w:ascii="仿宋" w:hAnsi="仿宋" w:eastAsia="仿宋" w:cs="仿宋"/>
          <w:color w:val="auto"/>
          <w:highlight w:val="none"/>
        </w:rPr>
        <w:t>十一、政府性基金预算财政拨款收入支出决算表</w:t>
      </w:r>
      <w:bookmarkEnd w:id="104"/>
      <w:bookmarkEnd w:id="105"/>
    </w:p>
    <w:p w14:paraId="30C2C176">
      <w:pPr>
        <w:pStyle w:val="4"/>
        <w:bidi w:val="0"/>
        <w:rPr>
          <w:rFonts w:hint="eastAsia" w:ascii="仿宋" w:hAnsi="仿宋" w:eastAsia="仿宋" w:cs="仿宋"/>
          <w:color w:val="auto"/>
          <w:highlight w:val="none"/>
        </w:rPr>
      </w:pPr>
      <w:bookmarkStart w:id="106" w:name="_Toc31313"/>
      <w:bookmarkStart w:id="107" w:name="_Toc15396630"/>
      <w:r>
        <w:rPr>
          <w:rFonts w:hint="eastAsia" w:ascii="仿宋" w:hAnsi="仿宋" w:eastAsia="仿宋" w:cs="仿宋"/>
          <w:color w:val="auto"/>
          <w:highlight w:val="none"/>
        </w:rPr>
        <w:t>十二、政府性基金预算财政拨款“三公”经费支出决算表</w:t>
      </w:r>
      <w:bookmarkEnd w:id="106"/>
      <w:bookmarkEnd w:id="107"/>
    </w:p>
    <w:p w14:paraId="3F744302">
      <w:pPr>
        <w:pStyle w:val="4"/>
        <w:bidi w:val="0"/>
        <w:rPr>
          <w:rFonts w:hint="eastAsia" w:ascii="仿宋" w:hAnsi="仿宋" w:eastAsia="仿宋" w:cs="仿宋"/>
          <w:color w:val="auto"/>
          <w:highlight w:val="none"/>
        </w:rPr>
      </w:pPr>
      <w:bookmarkStart w:id="108" w:name="_Toc15396631"/>
      <w:bookmarkStart w:id="109" w:name="_Toc26015"/>
      <w:r>
        <w:rPr>
          <w:rFonts w:hint="eastAsia" w:ascii="仿宋" w:hAnsi="仿宋" w:eastAsia="仿宋" w:cs="仿宋"/>
          <w:color w:val="auto"/>
          <w:highlight w:val="none"/>
        </w:rPr>
        <w:t>十三、国有资本经营预算财政拨款收入支出决算表</w:t>
      </w:r>
      <w:bookmarkEnd w:id="108"/>
      <w:bookmarkEnd w:id="109"/>
    </w:p>
    <w:p w14:paraId="23A76674">
      <w:pPr>
        <w:pStyle w:val="4"/>
        <w:bidi w:val="0"/>
        <w:rPr>
          <w:rFonts w:hint="eastAsia" w:ascii="仿宋" w:hAnsi="仿宋" w:eastAsia="仿宋" w:cs="仿宋"/>
          <w:color w:val="auto"/>
          <w:highlight w:val="none"/>
        </w:rPr>
      </w:pPr>
      <w:bookmarkStart w:id="110" w:name="_Toc2980"/>
      <w:r>
        <w:rPr>
          <w:rFonts w:hint="eastAsia" w:ascii="仿宋" w:hAnsi="仿宋" w:eastAsia="仿宋" w:cs="仿宋"/>
          <w:color w:val="auto"/>
          <w:highlight w:val="none"/>
        </w:rPr>
        <w:t>十四、国有资本经营预算财政拨款支出决算表</w:t>
      </w:r>
      <w:bookmarkEnd w:id="110"/>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7F1309-4D5D-4411-ACFA-4962FC03FB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2" w:fontKey="{5C5E4E62-7262-43F8-9A87-39B39113E2BA}"/>
  </w:font>
  <w:font w:name="仿宋_GB2312">
    <w:altName w:val="仿宋"/>
    <w:panose1 w:val="00000000000000000000"/>
    <w:charset w:val="86"/>
    <w:family w:val="modern"/>
    <w:pitch w:val="default"/>
    <w:sig w:usb0="00000000" w:usb1="0000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00000" w:usb2="00000000" w:usb3="00000000" w:csb0="00040000" w:csb1="00000000"/>
    <w:embedRegular r:id="rId3" w:fontKey="{F757385E-4BE9-4E96-8D38-FE5121867284}"/>
  </w:font>
  <w:font w:name="方正小标宋_GBK">
    <w:panose1 w:val="02000000000000000000"/>
    <w:charset w:val="86"/>
    <w:family w:val="auto"/>
    <w:pitch w:val="default"/>
    <w:sig w:usb0="A00002BF" w:usb1="38CF7CFA" w:usb2="00082016" w:usb3="00000000" w:csb0="00040001" w:csb1="00000000"/>
    <w:embedRegular r:id="rId4" w:fontKey="{7D9CD57B-E596-40D0-A86F-9AF883E11C2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019235E4">
        <w:pPr>
          <w:pStyle w:val="11"/>
          <w:jc w:val="center"/>
        </w:pPr>
        <w:r>
          <w:fldChar w:fldCharType="begin"/>
        </w:r>
        <w:r>
          <w:instrText xml:space="preserve">PAGE   \* MERGEFORMAT</w:instrText>
        </w:r>
        <w:r>
          <w:fldChar w:fldCharType="separate"/>
        </w:r>
        <w:r>
          <w:rPr>
            <w:lang w:val="zh-CN"/>
          </w:rPr>
          <w:t>12</w:t>
        </w:r>
        <w:r>
          <w:fldChar w:fldCharType="end"/>
        </w:r>
      </w:p>
    </w:sdtContent>
  </w:sdt>
  <w:p w14:paraId="6708CEE8">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19C9DC">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A0C5E0"/>
    <w:multiLevelType w:val="singleLevel"/>
    <w:tmpl w:val="A5A0C5E0"/>
    <w:lvl w:ilvl="0" w:tentative="0">
      <w:start w:val="1"/>
      <w:numFmt w:val="chineseCounting"/>
      <w:suff w:val="nothing"/>
      <w:lvlText w:val="（%1）"/>
      <w:lvlJc w:val="left"/>
      <w:rPr>
        <w:rFonts w:hint="eastAsia"/>
      </w:rPr>
    </w:lvl>
  </w:abstractNum>
  <w:abstractNum w:abstractNumId="1">
    <w:nsid w:val="C6692B6C"/>
    <w:multiLevelType w:val="singleLevel"/>
    <w:tmpl w:val="C6692B6C"/>
    <w:lvl w:ilvl="0" w:tentative="0">
      <w:start w:val="1"/>
      <w:numFmt w:val="chineseCounting"/>
      <w:suff w:val="nothing"/>
      <w:lvlText w:val="（%1）"/>
      <w:lvlJc w:val="left"/>
      <w:rPr>
        <w:rFonts w:hint="eastAsia"/>
      </w:rPr>
    </w:lvl>
  </w:abstractNum>
  <w:abstractNum w:abstractNumId="2">
    <w:nsid w:val="CF652CEC"/>
    <w:multiLevelType w:val="singleLevel"/>
    <w:tmpl w:val="CF652CEC"/>
    <w:lvl w:ilvl="0" w:tentative="0">
      <w:start w:val="9"/>
      <w:numFmt w:val="chineseCounting"/>
      <w:suff w:val="nothing"/>
      <w:lvlText w:val="%1、"/>
      <w:lvlJc w:val="left"/>
      <w:rPr>
        <w:rFonts w:hint="eastAsia"/>
      </w:rPr>
    </w:lvl>
  </w:abstractNum>
  <w:abstractNum w:abstractNumId="3">
    <w:nsid w:val="CFB32AB4"/>
    <w:multiLevelType w:val="singleLevel"/>
    <w:tmpl w:val="CFB32AB4"/>
    <w:lvl w:ilvl="0" w:tentative="0">
      <w:start w:val="1"/>
      <w:numFmt w:val="chineseCounting"/>
      <w:suff w:val="nothing"/>
      <w:lvlText w:val="（%1）"/>
      <w:lvlJc w:val="left"/>
      <w:pPr>
        <w:ind w:left="640" w:firstLine="0"/>
      </w:pPr>
      <w:rPr>
        <w:rFonts w:hint="eastAsia"/>
      </w:rPr>
    </w:lvl>
  </w:abstractNum>
  <w:abstractNum w:abstractNumId="4">
    <w:nsid w:val="D99A952A"/>
    <w:multiLevelType w:val="singleLevel"/>
    <w:tmpl w:val="D99A952A"/>
    <w:lvl w:ilvl="0" w:tentative="0">
      <w:start w:val="1"/>
      <w:numFmt w:val="chineseCounting"/>
      <w:suff w:val="nothing"/>
      <w:lvlText w:val="（%1）"/>
      <w:lvlJc w:val="left"/>
      <w:pPr>
        <w:ind w:left="630" w:firstLine="0"/>
      </w:pPr>
      <w:rPr>
        <w:rFonts w:hint="eastAsia"/>
      </w:rPr>
    </w:lvl>
  </w:abstractNum>
  <w:abstractNum w:abstractNumId="5">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6">
    <w:nsid w:val="F0BCC606"/>
    <w:multiLevelType w:val="singleLevel"/>
    <w:tmpl w:val="F0BCC606"/>
    <w:lvl w:ilvl="0" w:tentative="0">
      <w:start w:val="1"/>
      <w:numFmt w:val="chineseCounting"/>
      <w:suff w:val="nothing"/>
      <w:lvlText w:val="（%1）"/>
      <w:lvlJc w:val="left"/>
      <w:rPr>
        <w:rFonts w:hint="eastAsia"/>
      </w:rPr>
    </w:lvl>
  </w:abstractNum>
  <w:abstractNum w:abstractNumId="7">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8">
    <w:nsid w:val="2393066B"/>
    <w:multiLevelType w:val="singleLevel"/>
    <w:tmpl w:val="2393066B"/>
    <w:lvl w:ilvl="0" w:tentative="0">
      <w:start w:val="1"/>
      <w:numFmt w:val="chineseCounting"/>
      <w:suff w:val="nothing"/>
      <w:lvlText w:val="%1、"/>
      <w:lvlJc w:val="left"/>
      <w:pPr>
        <w:ind w:left="635" w:firstLine="0"/>
      </w:pPr>
      <w:rPr>
        <w:rFonts w:hint="eastAsia"/>
      </w:rPr>
    </w:lvl>
  </w:abstractNum>
  <w:abstractNum w:abstractNumId="9">
    <w:nsid w:val="54479F72"/>
    <w:multiLevelType w:val="singleLevel"/>
    <w:tmpl w:val="54479F72"/>
    <w:lvl w:ilvl="0" w:tentative="0">
      <w:start w:val="1"/>
      <w:numFmt w:val="decimal"/>
      <w:suff w:val="nothing"/>
      <w:lvlText w:val="%1、"/>
      <w:lvlJc w:val="left"/>
      <w:pPr>
        <w:ind w:left="630" w:firstLine="0"/>
      </w:pPr>
    </w:lvl>
  </w:abstractNum>
  <w:abstractNum w:abstractNumId="10">
    <w:nsid w:val="6492B4FE"/>
    <w:multiLevelType w:val="singleLevel"/>
    <w:tmpl w:val="6492B4FE"/>
    <w:lvl w:ilvl="0" w:tentative="0">
      <w:start w:val="1"/>
      <w:numFmt w:val="chineseCounting"/>
      <w:suff w:val="nothing"/>
      <w:lvlText w:val="%1、"/>
      <w:lvlJc w:val="left"/>
      <w:rPr>
        <w:rFonts w:hint="eastAsia"/>
      </w:rPr>
    </w:lvl>
  </w:abstractNum>
  <w:num w:numId="1">
    <w:abstractNumId w:val="10"/>
  </w:num>
  <w:num w:numId="2">
    <w:abstractNumId w:val="8"/>
  </w:num>
  <w:num w:numId="3">
    <w:abstractNumId w:val="4"/>
  </w:num>
  <w:num w:numId="4">
    <w:abstractNumId w:val="3"/>
  </w:num>
  <w:num w:numId="5">
    <w:abstractNumId w:val="9"/>
  </w:num>
  <w:num w:numId="6">
    <w:abstractNumId w:val="0"/>
  </w:num>
  <w:num w:numId="7">
    <w:abstractNumId w:val="6"/>
  </w:num>
  <w:num w:numId="8">
    <w:abstractNumId w:val="1"/>
  </w:num>
  <w:num w:numId="9">
    <w:abstractNumId w:val="7"/>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jYzYzZmU5OWQ3NzgwYmRjMzI1YjU5NDZkMjc5OTA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9F766F"/>
    <w:rsid w:val="057C4AC0"/>
    <w:rsid w:val="066606B5"/>
    <w:rsid w:val="066D6250"/>
    <w:rsid w:val="092807EB"/>
    <w:rsid w:val="0A2032A3"/>
    <w:rsid w:val="0B8A37D8"/>
    <w:rsid w:val="0DA65670"/>
    <w:rsid w:val="0EC71F0D"/>
    <w:rsid w:val="10C055FF"/>
    <w:rsid w:val="112C6336"/>
    <w:rsid w:val="112C7A85"/>
    <w:rsid w:val="118107EC"/>
    <w:rsid w:val="11DD6519"/>
    <w:rsid w:val="12910332"/>
    <w:rsid w:val="157E27B0"/>
    <w:rsid w:val="16BB723D"/>
    <w:rsid w:val="175404DE"/>
    <w:rsid w:val="177D300F"/>
    <w:rsid w:val="18015F3F"/>
    <w:rsid w:val="18860743"/>
    <w:rsid w:val="1BE8440E"/>
    <w:rsid w:val="1D155CEE"/>
    <w:rsid w:val="1F046865"/>
    <w:rsid w:val="20F57F95"/>
    <w:rsid w:val="23066A21"/>
    <w:rsid w:val="240371BF"/>
    <w:rsid w:val="2446347C"/>
    <w:rsid w:val="24D54B4E"/>
    <w:rsid w:val="25C741E6"/>
    <w:rsid w:val="27842671"/>
    <w:rsid w:val="29FD04D3"/>
    <w:rsid w:val="2ABE7A3E"/>
    <w:rsid w:val="2BAE4DE0"/>
    <w:rsid w:val="2C0D4D5A"/>
    <w:rsid w:val="2EFA178C"/>
    <w:rsid w:val="30B46D73"/>
    <w:rsid w:val="319F7F4E"/>
    <w:rsid w:val="32E05DEF"/>
    <w:rsid w:val="353C0D20"/>
    <w:rsid w:val="39AE70AB"/>
    <w:rsid w:val="3A97039E"/>
    <w:rsid w:val="3C0C0783"/>
    <w:rsid w:val="3F795B0E"/>
    <w:rsid w:val="3F9F3A96"/>
    <w:rsid w:val="3FB02072"/>
    <w:rsid w:val="437E6B78"/>
    <w:rsid w:val="493C27E9"/>
    <w:rsid w:val="496F39ED"/>
    <w:rsid w:val="49FF41D3"/>
    <w:rsid w:val="4A185DC8"/>
    <w:rsid w:val="4BE068DB"/>
    <w:rsid w:val="4BF6002B"/>
    <w:rsid w:val="4ECE2238"/>
    <w:rsid w:val="4F301641"/>
    <w:rsid w:val="4FD61684"/>
    <w:rsid w:val="503645ED"/>
    <w:rsid w:val="508F3649"/>
    <w:rsid w:val="51DB4B86"/>
    <w:rsid w:val="52FB5859"/>
    <w:rsid w:val="530646C7"/>
    <w:rsid w:val="53241EFD"/>
    <w:rsid w:val="55333C3E"/>
    <w:rsid w:val="55DA5EAD"/>
    <w:rsid w:val="58737E60"/>
    <w:rsid w:val="5EEF25B2"/>
    <w:rsid w:val="64A80084"/>
    <w:rsid w:val="64CA39A1"/>
    <w:rsid w:val="65B126BB"/>
    <w:rsid w:val="68A36D6D"/>
    <w:rsid w:val="69F768F0"/>
    <w:rsid w:val="6C4A05C8"/>
    <w:rsid w:val="6C6E6699"/>
    <w:rsid w:val="6EDA0CDC"/>
    <w:rsid w:val="6F3134CD"/>
    <w:rsid w:val="72734D90"/>
    <w:rsid w:val="727D7081"/>
    <w:rsid w:val="72E456B5"/>
    <w:rsid w:val="744F4926"/>
    <w:rsid w:val="74E366CA"/>
    <w:rsid w:val="75B253D7"/>
    <w:rsid w:val="79E7B28D"/>
    <w:rsid w:val="7AC82E51"/>
    <w:rsid w:val="7BFA24EA"/>
    <w:rsid w:val="7CAB154F"/>
    <w:rsid w:val="7DB56BE2"/>
    <w:rsid w:val="7F8518D8"/>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jc w:val="center"/>
      <w:outlineLvl w:val="0"/>
    </w:pPr>
    <w:rPr>
      <w:rFonts w:ascii="Times New Roman" w:hAnsi="Times New Roman" w:eastAsia="宋体"/>
      <w:b/>
      <w:bCs/>
      <w:kern w:val="44"/>
      <w:sz w:val="44"/>
      <w:szCs w:val="44"/>
    </w:rPr>
  </w:style>
  <w:style w:type="paragraph" w:styleId="4">
    <w:name w:val="heading 2"/>
    <w:basedOn w:val="1"/>
    <w:next w:val="1"/>
    <w:link w:val="40"/>
    <w:unhideWhenUsed/>
    <w:qFormat/>
    <w:uiPriority w:val="9"/>
    <w:pPr>
      <w:keepNext/>
      <w:keepLines/>
      <w:spacing w:before="260" w:after="260" w:line="416" w:lineRule="auto"/>
      <w:ind w:firstLine="1440" w:firstLineChars="200"/>
      <w:outlineLvl w:val="1"/>
    </w:pPr>
    <w:rPr>
      <w:rFonts w:cs="仿宋" w:asciiTheme="majorAscii" w:hAnsiTheme="majorAscii" w:eastAsiaTheme="majorEastAsia"/>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eastAsia="宋体"/>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cs="仿宋" w:asciiTheme="majorAscii" w:hAnsiTheme="majorAscii" w:eastAsiaTheme="majorEastAsia"/>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7.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715.27</c:v>
                </c:pt>
                <c:pt idx="1">
                  <c:v>651.05</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715.27</c:v>
                </c:pt>
                <c:pt idx="1">
                  <c:v>651.05</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ea4f4d90-bf68-490f-8c00-e619f2fc2962}"/>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tx>
                <c:rich>
                  <a:bodyPr rot="0" spcFirstLastPara="0" vertOverflow="ellipsis" vert="horz" wrap="square" lIns="38100" tIns="19050" rIns="38100" bIns="19050" anchor="ctr" anchorCtr="1"/>
                  <a:lstStyle/>
                  <a:p>
                    <a:pPr defTabSz="914400">
                      <a:defRPr lang="zh-CN" sz="900" b="0" i="0" u="none" strike="noStrike" kern="1200" baseline="0">
                        <a:solidFill>
                          <a:schemeClr val="tx1">
                            <a:lumMod val="75000"/>
                            <a:lumOff val="25000"/>
                          </a:schemeClr>
                        </a:solidFill>
                        <a:latin typeface="+mn-lt"/>
                        <a:ea typeface="+mn-ea"/>
                        <a:cs typeface="+mn-cs"/>
                      </a:defRPr>
                    </a:pPr>
                    <a:r>
                      <a:rPr lang="en-US" altLang="zh-CN"/>
                      <a:t>100</a:t>
                    </a:r>
                    <a:r>
                      <a:t>%</a:t>
                    </a:r>
                  </a:p>
                </c:rich>
              </c:tx>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0.00%</c:formatCode>
                <c:ptCount val="1"/>
                <c:pt idx="0">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b8dfdc71-2528-464b-b6bd-bc67d25b5852}"/>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64.67</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35.33</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421.05</c:v>
                </c:pt>
                <c:pt idx="1">
                  <c:v>230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extLst>
      <c:ext uri="{0b15fc19-7d7d-44ad-8c2d-2c3a37ce22c3}">
        <chartProps xmlns="https://web.wps.cn/et/2018/main" chartId="{4bf1d0fd-e456-47ee-8eef-3c06e17c7f19}"/>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715.27</c:v>
                </c:pt>
                <c:pt idx="1">
                  <c:v>651.05</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715.27</c:v>
                </c:pt>
                <c:pt idx="1">
                  <c:v>651.05</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extLst>
      <c:ext uri="{0b15fc19-7d7d-44ad-8c2d-2c3a37ce22c3}">
        <chartProps xmlns="https://web.wps.cn/et/2018/main" chartId="{e4b0db14-2cff-4ad2-8d4a-1659cfd8bd76}"/>
      </c:ext>
    </c:extLst>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715.27</c:v>
                </c:pt>
                <c:pt idx="1">
                  <c:v>651.05</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fcea9aa-6fa4-462e-8f22-28f822b67aac}"/>
      </c:ext>
    </c:extLst>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852d40c-9d43-4372-8f5d-96f3587bbebd}"/>
      </c:ext>
    </c:extLst>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extLst>
      <c:ext uri="{0b15fc19-7d7d-44ad-8c2d-2c3a37ce22c3}">
        <chartProps xmlns="https://web.wps.cn/et/2018/main" chartId="{c745f6b0-ea54-4421-acce-c7d03cd3bdb0}"/>
      </c:ext>
    </c:extLst>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20</Pages>
  <Words>7127</Words>
  <Characters>7547</Characters>
  <Lines>47</Lines>
  <Paragraphs>13</Paragraphs>
  <TotalTime>2</TotalTime>
  <ScaleCrop>false</ScaleCrop>
  <LinksUpToDate>false</LinksUpToDate>
  <CharactersWithSpaces>7619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昭化融媒体</cp:lastModifiedBy>
  <cp:lastPrinted>2022-09-27T03:56:00Z</cp:lastPrinted>
  <dcterms:modified xsi:type="dcterms:W3CDTF">2025-01-08T09:27:34Z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578DD1D03F6547239545E70989D8F8FB</vt:lpwstr>
  </property>
  <property fmtid="{D5CDD505-2E9C-101B-9397-08002B2CF9AE}" pid="4" name="KSOTemplateDocerSaveRecord">
    <vt:lpwstr>eyJoZGlkIjoiMGVhYTg4NGNkZWJkODFjNzcyZDRjM2M4Y2UzNjI5ZmUiLCJ1c2VySWQiOiI2MTE2MzEwMDYifQ==</vt:lpwstr>
  </property>
</Properties>
</file>